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e. 31 / 2019</w:t>
      </w:r>
      <w:bookmarkEnd w:id="0"/>
    </w:p>
    <w:p>
      <w:pPr>
        <w:pStyle w:val="Style4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podnájmu nebytových prostor uzavřená podle zákona č. 89/2012 Sb.,</w:t>
      </w:r>
      <w:bookmarkEnd w:id="1"/>
    </w:p>
    <w:p>
      <w:pPr>
        <w:pStyle w:val="Style4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spacing w:before="0" w:after="255"/>
        <w:ind w:left="20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občanského zákoníku</w:t>
      </w:r>
      <w:bookmarkEnd w:id="2"/>
    </w:p>
    <w:p>
      <w:pPr>
        <w:pStyle w:val="Style6"/>
        <w:framePr w:w="8818" w:h="3774" w:hRule="exact" w:wrap="none" w:vAnchor="page" w:hAnchor="page" w:x="1698" w:y="1880"/>
        <w:tabs>
          <w:tab w:leader="none" w:pos="25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0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Základní škola a Mateřská škola Věry Čáslavské, Praha 6 </w:t>
      </w:r>
      <w:r>
        <w:rPr>
          <w:rStyle w:val="CharStyle8"/>
          <w:b w:val="0"/>
          <w:bCs w:val="0"/>
        </w:rPr>
        <w:t>se sídlem:</w:t>
        <w:tab/>
        <w:t>Praha 6 - Břevnov, Šantrochova 2/1800</w:t>
      </w:r>
    </w:p>
    <w:p>
      <w:pPr>
        <w:pStyle w:val="Style6"/>
        <w:framePr w:w="8818" w:h="3774" w:hRule="exact" w:wrap="none" w:vAnchor="page" w:hAnchor="page" w:x="1698" w:y="1880"/>
        <w:tabs>
          <w:tab w:leader="none" w:pos="25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zastoupená:</w:t>
        <w:tab/>
        <w:t>Mgr. Helenou Patákovou, ředitelkou školy</w:t>
      </w:r>
    </w:p>
    <w:p>
      <w:pPr>
        <w:pStyle w:val="Style9"/>
        <w:framePr w:w="8818" w:h="3774" w:hRule="exact" w:wrap="none" w:vAnchor="page" w:hAnchor="page" w:x="1698" w:y="1880"/>
        <w:tabs>
          <w:tab w:leader="none" w:pos="25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  <w:t>48133779</w:t>
      </w:r>
    </w:p>
    <w:p>
      <w:pPr>
        <w:pStyle w:val="Style9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ZŠ je plátcem DPH</w:t>
      </w:r>
    </w:p>
    <w:p>
      <w:pPr>
        <w:pStyle w:val="Style9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Zapsaná: v RES dne 1.1.1993</w:t>
      </w:r>
    </w:p>
    <w:p>
      <w:pPr>
        <w:pStyle w:val="Style9"/>
        <w:framePr w:w="8818" w:h="3774" w:hRule="exact" w:wrap="none" w:vAnchor="page" w:hAnchor="page" w:x="1698" w:y="18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0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č. účtu: Komerční banka, a. s., č. účtu 3030061/0100 (dále jen podnajímatel)</w:t>
      </w:r>
    </w:p>
    <w:p>
      <w:pPr>
        <w:pStyle w:val="Style6"/>
        <w:framePr w:w="1747" w:h="865" w:hRule="exact" w:wrap="none" w:vAnchor="page" w:hAnchor="page" w:x="1708" w:y="610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osoba:</w:t>
      </w:r>
    </w:p>
    <w:p>
      <w:pPr>
        <w:pStyle w:val="Style9"/>
        <w:framePr w:w="1747" w:h="865" w:hRule="exact" w:wrap="none" w:vAnchor="page" w:hAnchor="page" w:x="1708" w:y="610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sídlem: zastoupená:</w:t>
      </w:r>
    </w:p>
    <w:p>
      <w:pPr>
        <w:pStyle w:val="Style11"/>
        <w:framePr w:w="8818" w:h="1123" w:hRule="exact" w:wrap="none" w:vAnchor="page" w:hAnchor="page" w:x="1698" w:y="6109"/>
        <w:widowControl w:val="0"/>
        <w:keepNext w:val="0"/>
        <w:keepLines w:val="0"/>
        <w:shd w:val="clear" w:color="auto" w:fill="auto"/>
        <w:bidi w:val="0"/>
        <w:spacing w:before="0" w:after="0"/>
        <w:ind w:left="2587" w:right="205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Korejská škola, z.s.</w:t>
      </w:r>
      <w:bookmarkEnd w:id="3"/>
    </w:p>
    <w:p>
      <w:pPr>
        <w:pStyle w:val="Style9"/>
        <w:framePr w:w="8818" w:h="1123" w:hRule="exact" w:wrap="none" w:vAnchor="page" w:hAnchor="page" w:x="1698" w:y="6109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2587" w:right="19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Slavíčkova 213/5, 160 00 Praha 6 - Bubeneč</w:t>
        <w:br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Mr. Kim Hahn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Seop, ředitel</w:t>
        <w:br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Mrs.Kim Unju tel.'</w:t>
      </w:r>
    </w:p>
    <w:p>
      <w:pPr>
        <w:pStyle w:val="Style9"/>
        <w:framePr w:w="8818" w:h="1387" w:hRule="exact" w:wrap="none" w:vAnchor="page" w:hAnchor="page" w:x="1698" w:y="7448"/>
        <w:tabs>
          <w:tab w:leader="none" w:pos="2520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22661689</w:t>
      </w:r>
    </w:p>
    <w:p>
      <w:pPr>
        <w:pStyle w:val="Style9"/>
        <w:framePr w:w="8818" w:h="1387" w:hRule="exact" w:wrap="none" w:vAnchor="page" w:hAnchor="page" w:x="1698" w:y="7448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 není plátcem DPH</w:t>
      </w:r>
    </w:p>
    <w:p>
      <w:pPr>
        <w:pStyle w:val="Style9"/>
        <w:framePr w:w="8818" w:h="1387" w:hRule="exact" w:wrap="none" w:vAnchor="page" w:hAnchor="page" w:x="1698" w:y="7448"/>
        <w:tabs>
          <w:tab w:leader="none" w:pos="2520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Zapsaná:</w:t>
        <w:tab/>
        <w:t>v RES dne 18. 6. 2007</w:t>
      </w:r>
    </w:p>
    <w:p>
      <w:pPr>
        <w:pStyle w:val="Style9"/>
        <w:framePr w:w="8818" w:h="1387" w:hRule="exact" w:wrap="none" w:vAnchor="page" w:hAnchor="page" w:x="1698" w:y="7448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19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Bankovní spojení, číslo účtu: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Raiffeisen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Bank, a.s.„ č.účtu 87672931/5500 (dále jen podnájemce)</w:t>
      </w:r>
    </w:p>
    <w:p>
      <w:pPr>
        <w:pStyle w:val="Style13"/>
        <w:framePr w:w="8818" w:h="3370" w:hRule="exact" w:wrap="none" w:vAnchor="page" w:hAnchor="page" w:x="1698" w:y="9584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uzavírají</w:t>
      </w:r>
    </w:p>
    <w:p>
      <w:pPr>
        <w:pStyle w:val="Style9"/>
        <w:framePr w:w="8818" w:h="3370" w:hRule="exact" w:wrap="none" w:vAnchor="page" w:hAnchor="page" w:x="1698" w:y="9584"/>
        <w:widowControl w:val="0"/>
        <w:keepNext w:val="0"/>
        <w:keepLines w:val="0"/>
        <w:shd w:val="clear" w:color="auto" w:fill="auto"/>
        <w:bidi w:val="0"/>
        <w:jc w:val="left"/>
        <w:spacing w:before="0" w:after="220" w:line="244" w:lineRule="exact"/>
        <w:ind w:left="72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tuto podnájemní smlouvu o dočasném užívání prostor školy na dobu nejdéle jednoho roku.</w:t>
      </w:r>
    </w:p>
    <w:p>
      <w:pPr>
        <w:pStyle w:val="Style15"/>
        <w:framePr w:w="8818" w:h="3370" w:hRule="exact" w:wrap="none" w:vAnchor="page" w:hAnchor="page" w:x="1698" w:y="95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ČI.I</w:t>
      </w:r>
    </w:p>
    <w:p>
      <w:pPr>
        <w:pStyle w:val="Style9"/>
        <w:numPr>
          <w:ilvl w:val="0"/>
          <w:numId w:val="1"/>
        </w:numPr>
        <w:framePr w:w="8818" w:h="3370" w:hRule="exact" w:wrap="none" w:vAnchor="page" w:hAnchor="page" w:x="1698" w:y="9584"/>
        <w:tabs>
          <w:tab w:leader="none" w:pos="7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72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prohlašuje, že je v souladu se smlouvou o nájmu nemovitosti uzavřenou dne 12. 9. 2005 s Městskou částí Praha 6 oprávněn podnajímat níže uvedené prostory.</w:t>
      </w:r>
    </w:p>
    <w:p>
      <w:pPr>
        <w:pStyle w:val="Style9"/>
        <w:numPr>
          <w:ilvl w:val="0"/>
          <w:numId w:val="1"/>
        </w:numPr>
        <w:framePr w:w="8818" w:h="3370" w:hRule="exact" w:wrap="none" w:vAnchor="page" w:hAnchor="page" w:x="1698" w:y="9584"/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72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a podnájemce uzavírají tuto podnájemní smlouvu o dočasném užívání Níže uvedených prostor v Základní škole a Mateřské škole Věry Čáslavské, Praha 6.</w:t>
      </w:r>
    </w:p>
    <w:p>
      <w:pPr>
        <w:pStyle w:val="Style9"/>
        <w:numPr>
          <w:ilvl w:val="0"/>
          <w:numId w:val="1"/>
        </w:numPr>
        <w:framePr w:w="8818" w:h="3370" w:hRule="exact" w:wrap="none" w:vAnchor="page" w:hAnchor="page" w:x="1698" w:y="9584"/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72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Podnajímány jsou tyto prostory: 11 učeben o výměře á 53m2 a sociální zařízení k tomu přináležející o celkové výměře 40m2.</w:t>
      </w:r>
    </w:p>
    <w:p>
      <w:pPr>
        <w:pStyle w:val="Style9"/>
        <w:framePr w:w="8818" w:h="3370" w:hRule="exact" w:wrap="none" w:vAnchor="page" w:hAnchor="page" w:x="1698" w:y="9584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7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Výše uvedené prostory budou užívány podnájemcem v době:</w:t>
      </w:r>
    </w:p>
    <w:p>
      <w:pPr>
        <w:pStyle w:val="Style6"/>
        <w:framePr w:wrap="none" w:vAnchor="page" w:hAnchor="page" w:x="4266" w:y="14044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Pátek</w:t>
      </w:r>
    </w:p>
    <w:p>
      <w:pPr>
        <w:pStyle w:val="Style11"/>
        <w:framePr w:wrap="none" w:vAnchor="page" w:hAnchor="page" w:x="1698" w:y="14049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4474" w:right="2899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16.30:-19:30 h</w:t>
      </w:r>
      <w:bookmarkEnd w:id="4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1595" w:y="1920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Doba podnájmu se sjednává na dobu určitou od 6. 9. 2019 do 12. 6. 2020</w:t>
      </w:r>
    </w:p>
    <w:p>
      <w:pPr>
        <w:pStyle w:val="Style9"/>
        <w:framePr w:w="9024" w:h="2199" w:hRule="exact" w:wrap="none" w:vAnchor="page" w:hAnchor="page" w:x="1595" w:y="2710"/>
        <w:widowControl w:val="0"/>
        <w:keepNext w:val="0"/>
        <w:keepLines w:val="0"/>
        <w:shd w:val="clear" w:color="auto" w:fill="auto"/>
        <w:bidi w:val="0"/>
        <w:jc w:val="center"/>
        <w:spacing w:before="0" w:after="253" w:line="244" w:lineRule="exact"/>
        <w:ind w:left="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III</w:t>
      </w:r>
    </w:p>
    <w:p>
      <w:pPr>
        <w:pStyle w:val="Style9"/>
        <w:framePr w:w="9024" w:h="2199" w:hRule="exact" w:wrap="none" w:vAnchor="page" w:hAnchor="page" w:x="1595" w:y="2710"/>
        <w:widowControl w:val="0"/>
        <w:keepNext w:val="0"/>
        <w:keepLines w:val="0"/>
        <w:shd w:val="clear" w:color="auto" w:fill="auto"/>
        <w:bidi w:val="0"/>
        <w:jc w:val="left"/>
        <w:spacing w:before="0" w:after="308" w:line="278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shora vymezené prostory užívat pouze za účelem konání výuky korejského jazyka a korejských reálií pro děti z Korejské republiky.</w:t>
      </w:r>
    </w:p>
    <w:p>
      <w:pPr>
        <w:pStyle w:val="Style9"/>
        <w:framePr w:w="9024" w:h="2199" w:hRule="exact" w:wrap="none" w:vAnchor="page" w:hAnchor="page" w:x="1595" w:y="2710"/>
        <w:widowControl w:val="0"/>
        <w:keepNext w:val="0"/>
        <w:keepLines w:val="0"/>
        <w:shd w:val="clear" w:color="auto" w:fill="auto"/>
        <w:bidi w:val="0"/>
        <w:jc w:val="center"/>
        <w:spacing w:before="0" w:after="280" w:line="244" w:lineRule="exact"/>
        <w:ind w:left="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</w:p>
    <w:p>
      <w:pPr>
        <w:pStyle w:val="Style9"/>
        <w:framePr w:w="9024" w:h="2199" w:hRule="exact" w:wrap="none" w:vAnchor="page" w:hAnchor="page" w:x="1595" w:y="2710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jPodnájemce se zavazuje uhradit částku za podnájem dle tabulky.</w:t>
      </w:r>
    </w:p>
    <w:tbl>
      <w:tblPr>
        <w:tblOverlap w:val="never"/>
        <w:tblLayout w:type="fixed"/>
        <w:jc w:val="left"/>
      </w:tblPr>
      <w:tblGrid>
        <w:gridCol w:w="2971"/>
        <w:gridCol w:w="2981"/>
        <w:gridCol w:w="3034"/>
      </w:tblGrid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17"/>
              </w:rPr>
              <w:t>Cena za hodinu podnájmu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17"/>
              </w:rPr>
              <w:t>Počet 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20" w:right="0" w:firstLine="0"/>
            </w:pPr>
            <w:r>
              <w:rPr>
                <w:rStyle w:val="CharStyle17"/>
              </w:rPr>
              <w:t>Celkem za celou dobu užívání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7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7"/>
              </w:rPr>
              <w:t>891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17"/>
              </w:rPr>
              <w:t>133.650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20" w:firstLine="0"/>
            </w:pPr>
            <w:r>
              <w:rPr>
                <w:rStyle w:val="CharStyle18"/>
              </w:rPr>
              <w:t xml:space="preserve">Cena </w:t>
            </w:r>
            <w:r>
              <w:rPr>
                <w:rStyle w:val="CharStyle17"/>
              </w:rPr>
              <w:t>s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86" w:h="1162" w:wrap="none" w:vAnchor="page" w:hAnchor="page" w:x="1595" w:y="53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8986" w:h="1162" w:wrap="none" w:vAnchor="page" w:hAnchor="page" w:x="1595" w:y="53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20" w:right="0" w:firstLine="0"/>
            </w:pPr>
            <w:r>
              <w:rPr>
                <w:rStyle w:val="CharStyle17"/>
              </w:rPr>
              <w:t>133.650</w:t>
            </w:r>
          </w:p>
        </w:tc>
      </w:tr>
    </w:tbl>
    <w:p>
      <w:pPr>
        <w:pStyle w:val="Style9"/>
        <w:framePr w:w="9024" w:h="2731" w:hRule="exact" w:wrap="none" w:vAnchor="page" w:hAnchor="page" w:x="1595" w:y="6776"/>
        <w:widowControl w:val="0"/>
        <w:keepNext w:val="0"/>
        <w:keepLines w:val="0"/>
        <w:shd w:val="clear" w:color="auto" w:fill="auto"/>
        <w:bidi w:val="0"/>
        <w:spacing w:before="0" w:after="65" w:line="264" w:lineRule="exact"/>
        <w:ind w:left="660" w:right="0" w:hanging="1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2)Sjednanou platbu podnájmu, </w:t>
      </w:r>
      <w:r>
        <w:rPr>
          <w:rStyle w:val="CharStyle19"/>
        </w:rPr>
        <w:t xml:space="preserve">částku Kč 133.650,-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 Stotřicettřitisícšestsetpadesát Korun českých ) uhradí podnájemce převodem na základě vystavené faktury na účet podnajímatele takto:</w:t>
      </w:r>
    </w:p>
    <w:p>
      <w:pPr>
        <w:pStyle w:val="Style6"/>
        <w:framePr w:w="9024" w:h="2731" w:hRule="exact" w:wrap="none" w:vAnchor="page" w:hAnchor="page" w:x="1595" w:y="6776"/>
        <w:tabs>
          <w:tab w:leader="none" w:pos="54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33" w:lineRule="exact"/>
        <w:ind w:left="6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Září-prosinec 2019 do 25.11. 2019</w:t>
        <w:tab/>
        <w:t>64.350,-Kč</w:t>
      </w:r>
    </w:p>
    <w:p>
      <w:pPr>
        <w:pStyle w:val="Style6"/>
        <w:framePr w:w="9024" w:h="2731" w:hRule="exact" w:wrap="none" w:vAnchor="page" w:hAnchor="page" w:x="1595" w:y="6776"/>
        <w:tabs>
          <w:tab w:leader="none" w:pos="54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33" w:lineRule="exact"/>
        <w:ind w:left="6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Leden - červen 2020 do 31. 5. 2020</w:t>
        <w:tab/>
        <w:t>69.300,- Kč</w:t>
      </w:r>
    </w:p>
    <w:p>
      <w:pPr>
        <w:pStyle w:val="Style9"/>
        <w:framePr w:w="9024" w:h="2731" w:hRule="exact" w:wrap="none" w:vAnchor="page" w:hAnchor="page" w:x="1595" w:y="6776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6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Neuhrazením podnájemného do shora uvedených termínů opravňuje podnajímatele k okamžitému odstoupení od smlouvy.</w:t>
      </w:r>
    </w:p>
    <w:p>
      <w:pPr>
        <w:pStyle w:val="Style9"/>
        <w:framePr w:w="9024" w:h="1387" w:hRule="exact" w:wrap="none" w:vAnchor="page" w:hAnchor="page" w:x="1595" w:y="1039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660" w:right="0" w:hanging="1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3)Podnajímatel je oprávněn požadovat po podnájemci smluvní pokutu za každý započatý den prodlení s platbou úhrady za podnájem po sjednaném termínu splatnosti ve výši 1 % (jedno procento) z uvedených částek a podnájemce je povinen na výzvu podnajímatele tuto smluvní pokutu uhradit. Zaplacením smluvní pokuty není dotčeno právo podnajímatele na úhradu případné škody vzniklé pozdní platbou úhrady za podnájem.</w:t>
      </w:r>
    </w:p>
    <w:p>
      <w:pPr>
        <w:pStyle w:val="Style9"/>
        <w:framePr w:w="9024" w:h="3254" w:hRule="exact" w:wrap="none" w:vAnchor="page" w:hAnchor="page" w:x="1595" w:y="12272"/>
        <w:widowControl w:val="0"/>
        <w:keepNext w:val="0"/>
        <w:keepLines w:val="0"/>
        <w:shd w:val="clear" w:color="auto" w:fill="auto"/>
        <w:bidi w:val="0"/>
        <w:jc w:val="center"/>
        <w:spacing w:before="0" w:after="264" w:line="244" w:lineRule="exact"/>
        <w:ind w:left="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</w:t>
      </w:r>
    </w:p>
    <w:p>
      <w:pPr>
        <w:pStyle w:val="Style9"/>
        <w:numPr>
          <w:ilvl w:val="0"/>
          <w:numId w:val="3"/>
        </w:numPr>
        <w:framePr w:w="9024" w:h="3254" w:hRule="exact" w:wrap="none" w:vAnchor="page" w:hAnchor="page" w:x="1595" w:y="12272"/>
        <w:tabs>
          <w:tab w:leader="none" w:pos="3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v podnajatých prostorách provozovat činnost způsobem</w:t>
      </w:r>
    </w:p>
    <w:p>
      <w:pPr>
        <w:pStyle w:val="Style9"/>
        <w:framePr w:w="9024" w:h="3254" w:hRule="exact" w:wrap="none" w:vAnchor="page" w:hAnchor="page" w:x="1595" w:y="12272"/>
        <w:widowControl w:val="0"/>
        <w:keepNext w:val="0"/>
        <w:keepLines w:val="0"/>
        <w:shd w:val="clear" w:color="auto" w:fill="auto"/>
        <w:bidi w:val="0"/>
        <w:spacing w:before="0" w:after="284" w:line="264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stanoveným ve smlouvě a v souladu se školním řádem a s dalšími vnitřními předpisy školy.</w:t>
      </w:r>
    </w:p>
    <w:p>
      <w:pPr>
        <w:pStyle w:val="Style9"/>
        <w:numPr>
          <w:ilvl w:val="0"/>
          <w:numId w:val="3"/>
        </w:numPr>
        <w:framePr w:w="9024" w:h="3254" w:hRule="exact" w:wrap="none" w:vAnchor="page" w:hAnchor="page" w:x="1595" w:y="12272"/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zavazuje, že v podnajatých prostorách nebude plýtvat energií, bude šetřit</w:t>
      </w:r>
    </w:p>
    <w:p>
      <w:pPr>
        <w:pStyle w:val="Style9"/>
        <w:framePr w:w="9024" w:h="3254" w:hRule="exact" w:wrap="none" w:vAnchor="page" w:hAnchor="page" w:x="1595" w:y="12272"/>
        <w:widowControl w:val="0"/>
        <w:keepNext w:val="0"/>
        <w:keepLines w:val="0"/>
        <w:shd w:val="clear" w:color="auto" w:fill="auto"/>
        <w:bidi w:val="0"/>
        <w:spacing w:before="0" w:after="292" w:line="259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vybavení školy a v provozních otázkách se bude řídit pokyny odpovědného pracovníka školy (podnajímatele).</w:t>
      </w:r>
    </w:p>
    <w:p>
      <w:pPr>
        <w:pStyle w:val="Style9"/>
        <w:numPr>
          <w:ilvl w:val="0"/>
          <w:numId w:val="3"/>
        </w:numPr>
        <w:framePr w:w="9024" w:h="3254" w:hRule="exact" w:wrap="none" w:vAnchor="page" w:hAnchor="page" w:x="1595" w:y="12272"/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odpovídá za škody způsobené v důsledku užívání podnajatých prostor, a to jak</w:t>
      </w:r>
    </w:p>
    <w:p>
      <w:pPr>
        <w:pStyle w:val="Style9"/>
        <w:framePr w:w="9024" w:h="3254" w:hRule="exact" w:wrap="none" w:vAnchor="page" w:hAnchor="page" w:x="1595" w:y="12272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5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samotným podnájemcem, tak i osobami, kterým umožní do podnajatých prostor vstup.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74.55pt;margin-top:652.9pt;width:186.25pt;height:0;z-index:-251658240;mso-position-horizontal-relative:page;mso-position-vertical-relative:page">
            <v:stroke weight="1.45pt" endcap="round" dashstyle="1 1"/>
          </v:shape>
        </w:pict>
      </w:r>
    </w:p>
    <w:p>
      <w:pPr>
        <w:pStyle w:val="Style20"/>
        <w:framePr w:wrap="none" w:vAnchor="page" w:hAnchor="page" w:x="1554" w:y="19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</w:t>
      </w:r>
    </w:p>
    <w:p>
      <w:pPr>
        <w:pStyle w:val="Style9"/>
        <w:numPr>
          <w:ilvl w:val="0"/>
          <w:numId w:val="5"/>
        </w:numPr>
        <w:framePr w:w="9106" w:h="2437" w:hRule="exact" w:wrap="none" w:vAnchor="page" w:hAnchor="page" w:x="1554" w:y="2362"/>
        <w:tabs>
          <w:tab w:leader="none" w:pos="3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vztahy z této podnájemní smlouvy vyplývající se řídí zákonem č. 89/2012 Sb.,</w:t>
      </w:r>
    </w:p>
    <w:p>
      <w:pPr>
        <w:pStyle w:val="Style9"/>
        <w:framePr w:w="9106" w:h="2437" w:hRule="exact" w:wrap="none" w:vAnchor="page" w:hAnchor="page" w:x="1554" w:y="2362"/>
        <w:widowControl w:val="0"/>
        <w:keepNext w:val="0"/>
        <w:keepLines w:val="0"/>
        <w:shd w:val="clear" w:color="auto" w:fill="auto"/>
        <w:bidi w:val="0"/>
        <w:spacing w:before="0" w:after="264" w:line="244" w:lineRule="exact"/>
        <w:ind w:left="5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občanský zákoník, ve znění pozdějších předpisů.</w:t>
      </w:r>
    </w:p>
    <w:p>
      <w:pPr>
        <w:pStyle w:val="Style9"/>
        <w:numPr>
          <w:ilvl w:val="0"/>
          <w:numId w:val="5"/>
        </w:numPr>
        <w:framePr w:w="9106" w:h="2437" w:hRule="exact" w:wrap="none" w:vAnchor="page" w:hAnchor="page" w:x="1554" w:y="2362"/>
        <w:tabs>
          <w:tab w:leader="none" w:pos="3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Platnosti tato smlouva nabývá dnem podpisu oběma smluvními stranami.</w:t>
      </w:r>
    </w:p>
    <w:p>
      <w:pPr>
        <w:pStyle w:val="Style9"/>
        <w:framePr w:w="9106" w:h="2437" w:hRule="exact" w:wrap="none" w:vAnchor="page" w:hAnchor="page" w:x="1554" w:y="2362"/>
        <w:widowControl w:val="0"/>
        <w:keepNext w:val="0"/>
        <w:keepLines w:val="0"/>
        <w:shd w:val="clear" w:color="auto" w:fill="auto"/>
        <w:bidi w:val="0"/>
        <w:spacing w:before="0" w:after="296" w:line="264" w:lineRule="exact"/>
        <w:ind w:left="5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Změny smlouvy mohou být učiněny pouze formou písemných dodatků podepsaných oběma smluvními stranami.</w:t>
      </w:r>
    </w:p>
    <w:p>
      <w:pPr>
        <w:pStyle w:val="Style9"/>
        <w:numPr>
          <w:ilvl w:val="0"/>
          <w:numId w:val="5"/>
        </w:numPr>
        <w:framePr w:w="9106" w:h="2437" w:hRule="exact" w:wrap="none" w:vAnchor="page" w:hAnchor="page" w:x="1554" w:y="2362"/>
        <w:tabs>
          <w:tab w:leader="none" w:pos="362" w:val="left"/>
        </w:tabs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třech originálech, z nichž podnajímatel obdrží dva a</w:t>
      </w:r>
    </w:p>
    <w:p>
      <w:pPr>
        <w:pStyle w:val="Style9"/>
        <w:framePr w:w="9106" w:h="2437" w:hRule="exact" w:wrap="none" w:vAnchor="page" w:hAnchor="page" w:x="1554" w:y="2362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5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jeden.</w:t>
      </w:r>
    </w:p>
    <w:p>
      <w:pPr>
        <w:pStyle w:val="Style20"/>
        <w:framePr w:w="9106" w:h="313" w:hRule="exact" w:wrap="none" w:vAnchor="page" w:hAnchor="page" w:x="1554" w:y="529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</w:p>
    <w:p>
      <w:pPr>
        <w:pStyle w:val="Style9"/>
        <w:framePr w:w="9106" w:h="3259" w:hRule="exact" w:wrap="none" w:vAnchor="page" w:hAnchor="page" w:x="1554" w:y="5826"/>
        <w:widowControl w:val="0"/>
        <w:keepNext w:val="0"/>
        <w:keepLines w:val="0"/>
        <w:shd w:val="clear" w:color="auto" w:fill="auto"/>
        <w:bidi w:val="0"/>
        <w:spacing w:before="0" w:after="280" w:line="264" w:lineRule="exact"/>
        <w:ind w:left="67" w:right="6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bere na vědomí, že podnajímatel je povinen na dotaz třetí osoby poskytnout</w:t>
        <w:br/>
        <w:t>informace podle ustanovení zák. č. 106/1999 Sb., o svobodném přístupu k informacím, ve</w:t>
        <w:br/>
        <w:t>znění pozdějších předpisů.</w:t>
      </w:r>
    </w:p>
    <w:p>
      <w:pPr>
        <w:pStyle w:val="Style9"/>
        <w:framePr w:w="9106" w:h="3259" w:hRule="exact" w:wrap="none" w:vAnchor="page" w:hAnchor="page" w:x="1554" w:y="5826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67" w:right="6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berou na vědomí, že tato smlouva podléhá povinnosti jejího uveřejnění</w:t>
        <w:br/>
        <w:t>prostřednictvím registru smluv v souladu se zákonem č. 340/ 2015 Sb., zákon o registru</w:t>
        <w:br/>
        <w:t>smluv (vyjimky z povinnosti uveřejnění jsou uvedeny v ustanovení §zákona o registru</w:t>
        <w:br/>
        <w:t>smluv). Smluvní strany dále berou na vědomí, že od 1. 7. 2017 tato smlouva (dodatek</w:t>
        <w:br/>
        <w:t>smlouvy) nabývá účinnosti nejdříve dnem jejího uveřejnění v registru mluv. S účinností</w:t>
        <w:br/>
        <w:t>od 1. 7. 2017 dále platí, že nebude-li smlouva uveřejněna ani do tří měsíců od jejího</w:t>
        <w:br/>
        <w:t>uzavření, bude od počátku zrušena. Podnajímatel zašle tuto smlouvu správci registru</w:t>
        <w:br/>
        <w:t>smluv k uveřejnění bez zbytečného odkladu, nejpozději však do 30 dnů od jejího</w:t>
      </w:r>
    </w:p>
    <w:p>
      <w:pPr>
        <w:pStyle w:val="Style9"/>
        <w:framePr w:wrap="none" w:vAnchor="page" w:hAnchor="page" w:x="1617" w:y="9043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uzavření.</w:t>
      </w:r>
    </w:p>
    <w:p>
      <w:pPr>
        <w:pStyle w:val="Style9"/>
        <w:framePr w:wrap="none" w:vAnchor="page" w:hAnchor="page" w:x="1554" w:y="10982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Y Praze dne: 6. 9. 2019</w:t>
      </w:r>
    </w:p>
    <w:p>
      <w:pPr>
        <w:pStyle w:val="Style9"/>
        <w:framePr w:wrap="none" w:vAnchor="page" w:hAnchor="page" w:x="6225" w:y="10987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6. 9. 2019</w:t>
      </w:r>
    </w:p>
    <w:p>
      <w:pPr>
        <w:framePr w:wrap="none" w:vAnchor="page" w:hAnchor="page" w:x="1415" w:y="1231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60pt;height:30pt;">
            <v:imagedata r:id="rId5" r:href="rId6"/>
          </v:shape>
        </w:pict>
      </w:r>
    </w:p>
    <w:p>
      <w:pPr>
        <w:pStyle w:val="Style22"/>
        <w:framePr w:w="3134" w:h="542" w:hRule="exact" w:wrap="none" w:vAnchor="page" w:hAnchor="page" w:x="1425" w:y="118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</w:t>
        <w:br/>
        <w:t>Věry Čáslavské, Praha 6</w:t>
      </w:r>
    </w:p>
    <w:p>
      <w:pPr>
        <w:pStyle w:val="Style24"/>
        <w:framePr w:w="9106" w:h="924" w:hRule="exact" w:wrap="none" w:vAnchor="page" w:hAnchor="page" w:x="1554" w:y="119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30" w:right="0" w:firstLine="0"/>
      </w:pPr>
      <w:bookmarkStart w:id="5" w:name="bookmark5"/>
      <w:r>
        <w:rPr>
          <w:rStyle w:val="CharStyle26"/>
        </w:rPr>
        <w:t>Korejská škola z.s.</w:t>
      </w:r>
      <w:bookmarkEnd w:id="5"/>
    </w:p>
    <w:p>
      <w:pPr>
        <w:pStyle w:val="Style27"/>
        <w:framePr w:w="9106" w:h="924" w:hRule="exact" w:wrap="none" w:vAnchor="page" w:hAnchor="page" w:x="1554" w:y="119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10" w:right="840"/>
      </w:pPr>
      <w:r>
        <w:rPr>
          <w:rStyle w:val="CharStyle29"/>
        </w:rPr>
        <w:t xml:space="preserve">Slavíčkova </w:t>
      </w:r>
      <w:r>
        <w:rPr>
          <w:rStyle w:val="CharStyle30"/>
        </w:rPr>
        <w:t>213/5,160 00 Praha-Bubeneč</w:t>
        <w:br/>
        <w:t>IČO: 22661689</w:t>
        <w:br/>
        <w:t>DIČ: CZ22661689</w:t>
      </w:r>
    </w:p>
    <w:p>
      <w:pPr>
        <w:pStyle w:val="Style31"/>
        <w:framePr w:wrap="none" w:vAnchor="page" w:hAnchor="page" w:x="2260" w:y="126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 235 361 223</w:t>
      </w:r>
    </w:p>
    <w:p>
      <w:pPr>
        <w:pStyle w:val="Style33"/>
        <w:framePr w:wrap="none" w:vAnchor="page" w:hAnchor="page" w:x="4967" w:y="13261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rStyle w:val="CharStyle35"/>
        </w:rPr>
        <w:t>/</w:t>
      </w:r>
    </w:p>
    <w:p>
      <w:pPr>
        <w:pStyle w:val="Style33"/>
        <w:framePr w:wrap="none" w:vAnchor="page" w:hAnchor="page" w:x="9220" w:y="13729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rStyle w:val="CharStyle36"/>
        </w:rPr>
        <w:t>y</w:t>
      </w:r>
    </w:p>
    <w:p>
      <w:pPr>
        <w:pStyle w:val="Style33"/>
        <w:framePr w:wrap="none" w:vAnchor="page" w:hAnchor="page" w:x="7905" w:y="14835"/>
        <w:widowControl w:val="0"/>
        <w:keepNext w:val="0"/>
        <w:keepLines w:val="0"/>
        <w:shd w:val="clear" w:color="auto" w:fill="auto"/>
        <w:bidi w:val="0"/>
        <w:jc w:val="both"/>
        <w:spacing w:before="0" w:after="0" w:line="120" w:lineRule="exact"/>
        <w:ind w:left="0" w:right="0" w:firstLine="0"/>
      </w:pPr>
      <w:r>
        <w:rPr>
          <w:rStyle w:val="CharStyle37"/>
        </w:rPr>
        <w:t>/</w:t>
      </w:r>
    </w:p>
    <w:p>
      <w:pPr>
        <w:pStyle w:val="Style9"/>
        <w:framePr w:wrap="none" w:vAnchor="page" w:hAnchor="page" w:x="1554" w:y="15000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1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</w:t>
      </w:r>
    </w:p>
    <w:p>
      <w:pPr>
        <w:pStyle w:val="Style9"/>
        <w:framePr w:wrap="none" w:vAnchor="page" w:hAnchor="page" w:x="6810" w:y="15005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7">
    <w:name w:val="Body text|3_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8">
    <w:name w:val="Body text|3 + Not Bold"/>
    <w:basedOn w:val="CharStyle7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">
    <w:name w:val="Body text|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2">
    <w:name w:val="Heading #3|1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4">
    <w:name w:val="Body text|4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9"/>
      <w:szCs w:val="19"/>
      <w:spacing w:val="40"/>
    </w:rPr>
  </w:style>
  <w:style w:type="character" w:customStyle="1" w:styleId="CharStyle16">
    <w:name w:val="Body text|5_"/>
    <w:basedOn w:val="DefaultParagraphFont"/>
    <w:link w:val="Style15"/>
    <w:rPr>
      <w:b/>
      <w:bCs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17">
    <w:name w:val="Body text|2"/>
    <w:basedOn w:val="CharStyle10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Body text|2 + Bold"/>
    <w:basedOn w:val="CharStyle10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Body text|2 + Bold"/>
    <w:basedOn w:val="CharStyle10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Body text|6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3">
    <w:name w:val="Picture caption|1_"/>
    <w:basedOn w:val="DefaultParagraphFont"/>
    <w:link w:val="Style22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5">
    <w:name w:val="Heading #3|2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6">
    <w:name w:val="Heading #3|2"/>
    <w:basedOn w:val="CharStyle25"/>
    <w:rPr>
      <w:lang w:val="cs-CZ" w:eastAsia="cs-CZ" w:bidi="cs-CZ"/>
      <w:rFonts w:ascii="Times New Roman" w:eastAsia="Times New Roman" w:hAnsi="Times New Roman" w:cs="Times New Roman"/>
      <w:w w:val="100"/>
      <w:spacing w:val="0"/>
      <w:color w:val="264599"/>
      <w:position w:val="0"/>
    </w:rPr>
  </w:style>
  <w:style w:type="character" w:customStyle="1" w:styleId="CharStyle28">
    <w:name w:val="Body text|7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9">
    <w:name w:val="Body text|7 + Times New Roman,11 pt"/>
    <w:basedOn w:val="CharStyle28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264599"/>
      <w:position w:val="0"/>
    </w:rPr>
  </w:style>
  <w:style w:type="character" w:customStyle="1" w:styleId="CharStyle30">
    <w:name w:val="Body text|7"/>
    <w:basedOn w:val="CharStyle28"/>
    <w:rPr>
      <w:lang w:val="cs-CZ" w:eastAsia="cs-CZ" w:bidi="cs-CZ"/>
      <w:w w:val="100"/>
      <w:spacing w:val="0"/>
      <w:color w:val="264599"/>
      <w:position w:val="0"/>
    </w:rPr>
  </w:style>
  <w:style w:type="character" w:customStyle="1" w:styleId="CharStyle32">
    <w:name w:val="Picture caption|2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4">
    <w:name w:val="Other|1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5">
    <w:name w:val="Other|1 + 12 pt,Bold"/>
    <w:basedOn w:val="CharStyle34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264599"/>
      <w:position w:val="0"/>
    </w:rPr>
  </w:style>
  <w:style w:type="character" w:customStyle="1" w:styleId="CharStyle36">
    <w:name w:val="Other|1 + Bold"/>
    <w:basedOn w:val="CharStyle34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264599"/>
      <w:position w:val="0"/>
    </w:rPr>
  </w:style>
  <w:style w:type="character" w:customStyle="1" w:styleId="CharStyle37">
    <w:name w:val="Other|1 + 6 pt"/>
    <w:basedOn w:val="CharStyle34"/>
    <w:rPr>
      <w:lang w:val="cs-CZ" w:eastAsia="cs-CZ" w:bidi="cs-CZ"/>
      <w:sz w:val="12"/>
      <w:szCs w:val="12"/>
      <w:rFonts w:ascii="Times New Roman" w:eastAsia="Times New Roman" w:hAnsi="Times New Roman" w:cs="Times New Roman"/>
      <w:w w:val="100"/>
      <w:spacing w:val="0"/>
      <w:color w:val="635887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line="420" w:lineRule="exact"/>
    </w:pPr>
    <w:rPr>
      <w:b/>
      <w:bCs/>
      <w:i w:val="0"/>
      <w:iCs w:val="0"/>
      <w:u w:val="none"/>
      <w:strike w:val="0"/>
      <w:smallCaps w:val="0"/>
      <w:sz w:val="38"/>
      <w:szCs w:val="38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FFFFFF"/>
      <w:jc w:val="center"/>
      <w:outlineLvl w:val="1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FFFFFF"/>
      <w:spacing w:before="240" w:line="269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9">
    <w:name w:val="Body text|2"/>
    <w:basedOn w:val="Normal"/>
    <w:link w:val="CharStyle10"/>
    <w:pPr>
      <w:widowControl w:val="0"/>
      <w:shd w:val="clear" w:color="auto" w:fill="FFFFFF"/>
      <w:jc w:val="both"/>
      <w:spacing w:line="269" w:lineRule="exact"/>
      <w:ind w:hanging="32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1">
    <w:name w:val="Heading #3|1"/>
    <w:basedOn w:val="Normal"/>
    <w:link w:val="CharStyle12"/>
    <w:pPr>
      <w:widowControl w:val="0"/>
      <w:shd w:val="clear" w:color="auto" w:fill="FFFFFF"/>
      <w:jc w:val="both"/>
      <w:outlineLvl w:val="2"/>
      <w:spacing w:before="500" w:line="26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3">
    <w:name w:val="Body text|4"/>
    <w:basedOn w:val="Normal"/>
    <w:link w:val="CharStyle14"/>
    <w:pPr>
      <w:widowControl w:val="0"/>
      <w:shd w:val="clear" w:color="auto" w:fill="FFFFFF"/>
      <w:jc w:val="center"/>
      <w:spacing w:before="760"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spacing w:val="40"/>
    </w:rPr>
  </w:style>
  <w:style w:type="paragraph" w:customStyle="1" w:styleId="Style15">
    <w:name w:val="Body text|5"/>
    <w:basedOn w:val="Normal"/>
    <w:link w:val="CharStyle16"/>
    <w:pPr>
      <w:widowControl w:val="0"/>
      <w:shd w:val="clear" w:color="auto" w:fill="FFFFFF"/>
      <w:spacing w:before="240" w:line="269" w:lineRule="exact"/>
    </w:pPr>
    <w:rPr>
      <w:b/>
      <w:bCs/>
      <w:i w:val="0"/>
      <w:iCs w:val="0"/>
      <w:u w:val="none"/>
      <w:strike w:val="0"/>
      <w:smallCaps w:val="0"/>
      <w:sz w:val="14"/>
      <w:szCs w:val="14"/>
    </w:rPr>
  </w:style>
  <w:style w:type="paragraph" w:customStyle="1" w:styleId="Style20">
    <w:name w:val="Body text|6"/>
    <w:basedOn w:val="Normal"/>
    <w:link w:val="CharStyle21"/>
    <w:pPr>
      <w:widowControl w:val="0"/>
      <w:shd w:val="clear" w:color="auto" w:fill="FFFFFF"/>
      <w:spacing w:after="14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2">
    <w:name w:val="Picture caption|1"/>
    <w:basedOn w:val="Normal"/>
    <w:link w:val="CharStyle23"/>
    <w:pPr>
      <w:widowControl w:val="0"/>
      <w:shd w:val="clear" w:color="auto" w:fill="FFFFFF"/>
      <w:jc w:val="center"/>
      <w:spacing w:line="226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4">
    <w:name w:val="Heading #3|2"/>
    <w:basedOn w:val="Normal"/>
    <w:link w:val="CharStyle25"/>
    <w:pPr>
      <w:widowControl w:val="0"/>
      <w:shd w:val="clear" w:color="auto" w:fill="FFFFFF"/>
      <w:outlineLvl w:val="2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7">
    <w:name w:val="Body text|7"/>
    <w:basedOn w:val="Normal"/>
    <w:link w:val="CharStyle28"/>
    <w:pPr>
      <w:widowControl w:val="0"/>
      <w:shd w:val="clear" w:color="auto" w:fill="FFFFFF"/>
      <w:spacing w:after="2160" w:line="206" w:lineRule="exact"/>
      <w:ind w:hanging="78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31">
    <w:name w:val="Picture caption|2"/>
    <w:basedOn w:val="Normal"/>
    <w:link w:val="CharStyle32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3">
    <w:name w:val="Other|1"/>
    <w:basedOn w:val="Normal"/>
    <w:link w:val="CharStyle3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