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6B94D67F" w:rsidR="00923483" w:rsidRDefault="006B70E5"/>
    <w:p w14:paraId="166B1127" w14:textId="77777777" w:rsidR="00604890" w:rsidRPr="00F003E0" w:rsidRDefault="00604890" w:rsidP="00A75721">
      <w:pPr>
        <w:spacing w:after="0"/>
        <w:jc w:val="center"/>
        <w:rPr>
          <w:b/>
          <w:sz w:val="40"/>
          <w:szCs w:val="40"/>
        </w:rPr>
      </w:pPr>
      <w:r w:rsidRPr="00F003E0">
        <w:rPr>
          <w:b/>
          <w:sz w:val="40"/>
          <w:szCs w:val="40"/>
        </w:rPr>
        <w:t>O B J E D N Á V K</w:t>
      </w:r>
      <w:r w:rsidR="00A75721" w:rsidRPr="00F003E0">
        <w:rPr>
          <w:b/>
          <w:sz w:val="40"/>
          <w:szCs w:val="40"/>
        </w:rPr>
        <w:t> </w:t>
      </w:r>
      <w:r w:rsidRPr="00F003E0">
        <w:rPr>
          <w:b/>
          <w:sz w:val="40"/>
          <w:szCs w:val="40"/>
        </w:rPr>
        <w:t>A</w:t>
      </w:r>
    </w:p>
    <w:p w14:paraId="41D44F15" w14:textId="5D8CDEF7" w:rsidR="009D35A1" w:rsidRPr="00F003E0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F003E0">
        <w:rPr>
          <w:sz w:val="24"/>
          <w:szCs w:val="24"/>
        </w:rPr>
        <w:t>Číslo objednávky:</w:t>
      </w:r>
      <w:r w:rsidR="00BF7155" w:rsidRPr="00F003E0">
        <w:rPr>
          <w:sz w:val="24"/>
          <w:szCs w:val="24"/>
        </w:rPr>
        <w:t xml:space="preserve"> 06EU-004457</w:t>
      </w:r>
      <w:r w:rsidR="008E3E46" w:rsidRPr="00F003E0">
        <w:rPr>
          <w:sz w:val="20"/>
          <w:szCs w:val="20"/>
        </w:rPr>
        <w:t>(uvádějte při fakturaci)</w:t>
      </w:r>
    </w:p>
    <w:p w14:paraId="211824E7" w14:textId="790A4F43" w:rsidR="008E3E46" w:rsidRPr="00F003E0" w:rsidRDefault="008E3E46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F003E0">
        <w:rPr>
          <w:bCs/>
          <w:sz w:val="24"/>
          <w:szCs w:val="24"/>
        </w:rPr>
        <w:t xml:space="preserve">Číslo dodavatele: </w:t>
      </w:r>
      <w:r w:rsidR="00F003E0" w:rsidRPr="00F003E0">
        <w:rPr>
          <w:bCs/>
          <w:sz w:val="24"/>
          <w:szCs w:val="24"/>
          <w:highlight w:val="black"/>
        </w:rPr>
        <w:t>POBJ/2019068</w:t>
      </w:r>
    </w:p>
    <w:p w14:paraId="364C7595" w14:textId="6DC50D95" w:rsidR="008E3E46" w:rsidRPr="00F003E0" w:rsidRDefault="00BF7155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F003E0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003E0">
        <w:rPr>
          <w:bCs/>
          <w:sz w:val="24"/>
          <w:szCs w:val="24"/>
        </w:rPr>
        <w:t xml:space="preserve">ISPROFIN: </w:t>
      </w:r>
      <w:r w:rsidRPr="00F003E0">
        <w:rPr>
          <w:bCs/>
          <w:sz w:val="24"/>
          <w:szCs w:val="24"/>
          <w:highlight w:val="black"/>
        </w:rPr>
        <w:t>3271113012.20668.1833</w:t>
      </w:r>
      <w:r w:rsidRPr="00F003E0">
        <w:rPr>
          <w:bCs/>
          <w:sz w:val="24"/>
          <w:szCs w:val="24"/>
        </w:rPr>
        <w:t xml:space="preserve"> </w:t>
      </w:r>
      <w:r w:rsidR="008E3E46" w:rsidRPr="00F003E0">
        <w:rPr>
          <w:sz w:val="20"/>
          <w:szCs w:val="20"/>
        </w:rPr>
        <w:t>(uvádějte při fakturaci)</w:t>
      </w:r>
    </w:p>
    <w:p w14:paraId="2E47A06F" w14:textId="77777777" w:rsidR="008E3E46" w:rsidRPr="00F003E0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2B6E1830" w14:textId="7F212E71" w:rsidR="00BF7155" w:rsidRPr="00F003E0" w:rsidRDefault="00BF7155" w:rsidP="008E3E46">
      <w:pPr>
        <w:tabs>
          <w:tab w:val="left" w:pos="2268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F003E0">
        <w:rPr>
          <w:b/>
          <w:bCs/>
          <w:sz w:val="32"/>
          <w:szCs w:val="32"/>
          <w:u w:val="single"/>
        </w:rPr>
        <w:t>I/26 Babylon – obchvat</w:t>
      </w:r>
    </w:p>
    <w:p w14:paraId="0CE28ADC" w14:textId="147D713E" w:rsidR="008E3E46" w:rsidRPr="00F003E0" w:rsidRDefault="00BF7155" w:rsidP="008E3E46">
      <w:pPr>
        <w:tabs>
          <w:tab w:val="left" w:pos="2268"/>
        </w:tabs>
        <w:spacing w:after="0"/>
        <w:jc w:val="center"/>
        <w:rPr>
          <w:b/>
          <w:bCs/>
          <w:sz w:val="32"/>
          <w:szCs w:val="32"/>
        </w:rPr>
      </w:pPr>
      <w:r w:rsidRPr="00F003E0">
        <w:rPr>
          <w:b/>
          <w:bCs/>
          <w:sz w:val="32"/>
          <w:szCs w:val="32"/>
          <w:u w:val="single"/>
        </w:rPr>
        <w:t>Aktualizace videokompozice</w:t>
      </w:r>
    </w:p>
    <w:p w14:paraId="4463750E" w14:textId="5E07D30D" w:rsidR="00CB3AB0" w:rsidRPr="00F003E0" w:rsidRDefault="00CB3AB0" w:rsidP="002E029E">
      <w:pPr>
        <w:spacing w:after="0"/>
        <w:rPr>
          <w:b/>
        </w:rPr>
      </w:pPr>
    </w:p>
    <w:p w14:paraId="6D38822C" w14:textId="77777777" w:rsidR="008E3E46" w:rsidRPr="00F003E0" w:rsidRDefault="008E3E46" w:rsidP="002E029E">
      <w:pPr>
        <w:spacing w:after="0"/>
        <w:rPr>
          <w:b/>
        </w:rPr>
        <w:sectPr w:rsidR="008E3E46" w:rsidRPr="00F003E0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F003E0" w:rsidRDefault="00604890">
      <w:pPr>
        <w:rPr>
          <w:b/>
          <w:sz w:val="24"/>
          <w:szCs w:val="24"/>
        </w:rPr>
      </w:pPr>
      <w:r w:rsidRPr="00F003E0">
        <w:rPr>
          <w:b/>
          <w:sz w:val="24"/>
          <w:szCs w:val="24"/>
        </w:rPr>
        <w:t>Objednatel:</w:t>
      </w:r>
    </w:p>
    <w:p w14:paraId="2D91457E" w14:textId="060960B4" w:rsidR="00604890" w:rsidRPr="00F003E0" w:rsidRDefault="00604890" w:rsidP="00153D94">
      <w:pPr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>Ředitelství silnic a dálnic ČR</w:t>
      </w:r>
    </w:p>
    <w:p w14:paraId="30CF88F9" w14:textId="3FB27FFF" w:rsidR="008E3E46" w:rsidRPr="00F003E0" w:rsidRDefault="008E3E46" w:rsidP="00153D94">
      <w:pPr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>Správa Plzeň, Hřímalého 37, 301 00 Plzeň</w:t>
      </w:r>
    </w:p>
    <w:p w14:paraId="2C4E01A4" w14:textId="77777777" w:rsidR="00604890" w:rsidRPr="00F003E0" w:rsidRDefault="00604890" w:rsidP="00153D94">
      <w:pPr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 xml:space="preserve">Bankovní spojení: </w:t>
      </w:r>
      <w:r w:rsidRPr="00F003E0">
        <w:rPr>
          <w:sz w:val="24"/>
          <w:szCs w:val="24"/>
          <w:highlight w:val="black"/>
        </w:rPr>
        <w:t>ČNB</w:t>
      </w:r>
    </w:p>
    <w:p w14:paraId="47A1C014" w14:textId="77777777" w:rsidR="00604890" w:rsidRPr="00F003E0" w:rsidRDefault="00604890" w:rsidP="00153D94">
      <w:pPr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 xml:space="preserve">Číslo účtu: </w:t>
      </w:r>
      <w:r w:rsidRPr="00F003E0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F003E0" w:rsidRDefault="00604890" w:rsidP="00153D94">
      <w:pPr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>IČO: 65993390</w:t>
      </w:r>
    </w:p>
    <w:p w14:paraId="312D64FA" w14:textId="7F98D14B" w:rsidR="00604890" w:rsidRPr="00F003E0" w:rsidRDefault="00604890" w:rsidP="00153D94">
      <w:pPr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 xml:space="preserve">DIČ: </w:t>
      </w:r>
      <w:r w:rsidR="00105E6A" w:rsidRPr="00F003E0">
        <w:rPr>
          <w:sz w:val="24"/>
          <w:szCs w:val="24"/>
        </w:rPr>
        <w:t>CZ65993390</w:t>
      </w:r>
    </w:p>
    <w:p w14:paraId="696270D3" w14:textId="377C799F" w:rsidR="00FD16D6" w:rsidRPr="00F003E0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F003E0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F003E0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5B39ADB" w14:textId="1DC35361" w:rsidR="00FD16D6" w:rsidRPr="00F003E0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F003E0">
        <w:rPr>
          <w:b/>
          <w:sz w:val="24"/>
          <w:szCs w:val="24"/>
        </w:rPr>
        <w:t>Dodavatel:</w:t>
      </w:r>
    </w:p>
    <w:p w14:paraId="7648917B" w14:textId="7F5AD19D" w:rsidR="00FD16D6" w:rsidRPr="00F003E0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F003E0">
        <w:rPr>
          <w:sz w:val="24"/>
          <w:szCs w:val="24"/>
        </w:rPr>
        <w:t xml:space="preserve">Obchodní jméno: </w:t>
      </w:r>
      <w:proofErr w:type="gramStart"/>
      <w:r w:rsidR="00F003E0">
        <w:rPr>
          <w:sz w:val="24"/>
          <w:szCs w:val="24"/>
        </w:rPr>
        <w:t>CTECH</w:t>
      </w:r>
      <w:proofErr w:type="gramEnd"/>
      <w:r w:rsidR="00F003E0">
        <w:rPr>
          <w:sz w:val="24"/>
          <w:szCs w:val="24"/>
        </w:rPr>
        <w:t xml:space="preserve"> s.r.o.</w:t>
      </w:r>
    </w:p>
    <w:p w14:paraId="0B808D36" w14:textId="3096EE78" w:rsidR="0046499B" w:rsidRPr="00F003E0" w:rsidRDefault="00FD16D6" w:rsidP="0046499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F003E0">
        <w:rPr>
          <w:sz w:val="24"/>
          <w:szCs w:val="24"/>
        </w:rPr>
        <w:t xml:space="preserve">Adresa: </w:t>
      </w:r>
      <w:r w:rsidR="0046499B">
        <w:rPr>
          <w:sz w:val="24"/>
          <w:szCs w:val="24"/>
        </w:rPr>
        <w:t>Michelská 29/6, 140 00  Praha 4</w:t>
      </w:r>
    </w:p>
    <w:p w14:paraId="406AAB6B" w14:textId="711A5740" w:rsidR="00FD16D6" w:rsidRPr="00F003E0" w:rsidRDefault="00FD16D6" w:rsidP="0046499B">
      <w:pPr>
        <w:tabs>
          <w:tab w:val="left" w:pos="2268"/>
        </w:tabs>
        <w:spacing w:after="0"/>
        <w:ind w:right="-496"/>
        <w:rPr>
          <w:sz w:val="24"/>
          <w:szCs w:val="24"/>
        </w:rPr>
      </w:pPr>
      <w:r w:rsidRPr="00F003E0">
        <w:rPr>
          <w:sz w:val="24"/>
          <w:szCs w:val="24"/>
        </w:rPr>
        <w:t xml:space="preserve">Bankovní spojení: </w:t>
      </w:r>
      <w:r w:rsidRPr="0046499B">
        <w:rPr>
          <w:sz w:val="24"/>
          <w:szCs w:val="24"/>
          <w:highlight w:val="black"/>
        </w:rPr>
        <w:t>[bude doplněno]</w:t>
      </w:r>
      <w:proofErr w:type="spellStart"/>
      <w:r w:rsidR="0046499B" w:rsidRPr="0046499B">
        <w:rPr>
          <w:sz w:val="24"/>
          <w:szCs w:val="24"/>
          <w:highlight w:val="black"/>
        </w:rPr>
        <w:t>xx</w:t>
      </w:r>
      <w:proofErr w:type="spellEnd"/>
      <w:r w:rsidRPr="00F003E0">
        <w:rPr>
          <w:sz w:val="24"/>
          <w:szCs w:val="24"/>
        </w:rPr>
        <w:tab/>
      </w:r>
    </w:p>
    <w:p w14:paraId="573F0E39" w14:textId="4CE76223" w:rsidR="00FD16D6" w:rsidRPr="00F003E0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 xml:space="preserve">Číslo účtu: </w:t>
      </w:r>
      <w:r w:rsidRPr="0046499B">
        <w:rPr>
          <w:sz w:val="24"/>
          <w:szCs w:val="24"/>
          <w:highlight w:val="black"/>
        </w:rPr>
        <w:t>[bude doplněno]</w:t>
      </w:r>
    </w:p>
    <w:p w14:paraId="29117F31" w14:textId="6F942731" w:rsidR="00FD16D6" w:rsidRPr="00F003E0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 xml:space="preserve">IČO: </w:t>
      </w:r>
      <w:r w:rsidR="0046499B">
        <w:rPr>
          <w:sz w:val="24"/>
          <w:szCs w:val="24"/>
        </w:rPr>
        <w:t>26494183</w:t>
      </w:r>
    </w:p>
    <w:p w14:paraId="1F495684" w14:textId="4A0F6736" w:rsidR="00FD16D6" w:rsidRPr="00F003E0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 xml:space="preserve">DIČ: </w:t>
      </w:r>
      <w:r w:rsidR="0046499B">
        <w:rPr>
          <w:sz w:val="24"/>
          <w:szCs w:val="24"/>
        </w:rPr>
        <w:t>CZ26494183</w:t>
      </w:r>
    </w:p>
    <w:p w14:paraId="5B88C604" w14:textId="36FBC6C5" w:rsidR="00FD16D6" w:rsidRPr="00F003E0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F003E0">
        <w:rPr>
          <w:sz w:val="24"/>
          <w:szCs w:val="24"/>
        </w:rPr>
        <w:t xml:space="preserve">Kontaktní osoba: </w:t>
      </w:r>
      <w:r w:rsidR="0046499B" w:rsidRPr="006B70E5">
        <w:rPr>
          <w:sz w:val="24"/>
          <w:szCs w:val="24"/>
          <w:highlight w:val="black"/>
        </w:rPr>
        <w:t>Lukáš Kubáček</w:t>
      </w:r>
      <w:r w:rsidRPr="00F003E0">
        <w:rPr>
          <w:sz w:val="24"/>
          <w:szCs w:val="24"/>
        </w:rPr>
        <w:tab/>
      </w:r>
    </w:p>
    <w:p w14:paraId="29216CE8" w14:textId="77777777" w:rsidR="00FD16D6" w:rsidRPr="00F003E0" w:rsidRDefault="00FD16D6" w:rsidP="00FD16D6">
      <w:pPr>
        <w:rPr>
          <w:sz w:val="24"/>
          <w:szCs w:val="24"/>
        </w:rPr>
      </w:pPr>
    </w:p>
    <w:p w14:paraId="10320009" w14:textId="77777777" w:rsidR="00EF028F" w:rsidRPr="00F003E0" w:rsidRDefault="00EF028F">
      <w:pPr>
        <w:rPr>
          <w:sz w:val="24"/>
          <w:szCs w:val="24"/>
        </w:rPr>
      </w:pPr>
    </w:p>
    <w:p w14:paraId="693818E2" w14:textId="77777777" w:rsidR="00EF028F" w:rsidRPr="00F003E0" w:rsidRDefault="00EF028F">
      <w:pPr>
        <w:rPr>
          <w:b/>
          <w:sz w:val="24"/>
          <w:szCs w:val="24"/>
        </w:rPr>
        <w:sectPr w:rsidR="00EF028F" w:rsidRPr="00F003E0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2E683FCE" w:rsidR="00A87460" w:rsidRPr="00F003E0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 xml:space="preserve">Tato objednávka </w:t>
      </w:r>
      <w:r w:rsidR="00607143" w:rsidRPr="00F003E0">
        <w:rPr>
          <w:rFonts w:cs="Times New Roman"/>
          <w:sz w:val="24"/>
          <w:szCs w:val="24"/>
        </w:rPr>
        <w:t>O</w:t>
      </w:r>
      <w:r w:rsidRPr="00F003E0">
        <w:rPr>
          <w:rFonts w:cs="Times New Roman"/>
          <w:sz w:val="24"/>
          <w:szCs w:val="24"/>
        </w:rPr>
        <w:t xml:space="preserve">bjednatele zavazuje po jejím potvrzení </w:t>
      </w:r>
      <w:r w:rsidR="00607143" w:rsidRPr="00F003E0">
        <w:rPr>
          <w:rFonts w:cs="Times New Roman"/>
          <w:sz w:val="24"/>
          <w:szCs w:val="24"/>
        </w:rPr>
        <w:t>D</w:t>
      </w:r>
      <w:r w:rsidRPr="00F003E0">
        <w:rPr>
          <w:rFonts w:cs="Times New Roman"/>
          <w:sz w:val="24"/>
          <w:szCs w:val="24"/>
        </w:rPr>
        <w:t>odavatele</w:t>
      </w:r>
      <w:r w:rsidR="00DE7F99" w:rsidRPr="00F003E0">
        <w:rPr>
          <w:rFonts w:cs="Times New Roman"/>
          <w:sz w:val="24"/>
          <w:szCs w:val="24"/>
        </w:rPr>
        <w:t>m</w:t>
      </w:r>
      <w:r w:rsidRPr="00F003E0">
        <w:rPr>
          <w:rFonts w:cs="Times New Roman"/>
          <w:sz w:val="24"/>
          <w:szCs w:val="24"/>
        </w:rPr>
        <w:t xml:space="preserve"> obě </w:t>
      </w:r>
      <w:r w:rsidR="00542302" w:rsidRPr="00F003E0">
        <w:rPr>
          <w:rFonts w:cs="Times New Roman"/>
          <w:sz w:val="24"/>
          <w:szCs w:val="24"/>
        </w:rPr>
        <w:t>s</w:t>
      </w:r>
      <w:r w:rsidRPr="00F003E0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F003E0">
        <w:rPr>
          <w:rFonts w:cs="Times New Roman"/>
          <w:sz w:val="24"/>
          <w:szCs w:val="24"/>
        </w:rPr>
        <w:t xml:space="preserve">Dodavatel </w:t>
      </w:r>
      <w:r w:rsidRPr="00F003E0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F003E0">
        <w:rPr>
          <w:rFonts w:cs="Times New Roman"/>
          <w:sz w:val="24"/>
          <w:szCs w:val="24"/>
        </w:rPr>
        <w:t>O</w:t>
      </w:r>
      <w:r w:rsidRPr="00F003E0">
        <w:rPr>
          <w:rFonts w:cs="Times New Roman"/>
          <w:sz w:val="24"/>
          <w:szCs w:val="24"/>
        </w:rPr>
        <w:t xml:space="preserve">bjednatele služby specifikované níže. Objednatel se zavazuje zaplatit za služby poskytnuté v souladu s touto </w:t>
      </w:r>
      <w:r w:rsidR="00FD1FB4" w:rsidRPr="00F003E0">
        <w:rPr>
          <w:rFonts w:cs="Times New Roman"/>
          <w:sz w:val="24"/>
          <w:szCs w:val="24"/>
        </w:rPr>
        <w:t>objednávkou</w:t>
      </w:r>
      <w:r w:rsidRPr="00F003E0">
        <w:rPr>
          <w:rFonts w:cs="Times New Roman"/>
          <w:sz w:val="24"/>
          <w:szCs w:val="24"/>
        </w:rPr>
        <w:t xml:space="preserve"> cenu uvedenou níže.</w:t>
      </w:r>
    </w:p>
    <w:p w14:paraId="5A4F9420" w14:textId="0E7106F2" w:rsidR="00604890" w:rsidRPr="00F003E0" w:rsidRDefault="00604890" w:rsidP="00A87460">
      <w:pPr>
        <w:rPr>
          <w:b/>
          <w:sz w:val="24"/>
          <w:szCs w:val="24"/>
        </w:rPr>
      </w:pPr>
      <w:r w:rsidRPr="00F003E0">
        <w:rPr>
          <w:b/>
          <w:sz w:val="24"/>
          <w:szCs w:val="24"/>
        </w:rPr>
        <w:t>Místo dodání:</w:t>
      </w:r>
      <w:r w:rsidR="00453955" w:rsidRPr="00F003E0">
        <w:rPr>
          <w:b/>
          <w:sz w:val="24"/>
          <w:szCs w:val="24"/>
        </w:rPr>
        <w:t xml:space="preserve"> </w:t>
      </w:r>
      <w:r w:rsidR="00BF7155" w:rsidRPr="00F003E0">
        <w:rPr>
          <w:sz w:val="24"/>
          <w:szCs w:val="24"/>
        </w:rPr>
        <w:t>Ředitelství silnic a dálnic ČR, Správa Plzeň, Hřímalého 37, 301 00 Plzeň</w:t>
      </w:r>
    </w:p>
    <w:p w14:paraId="26946945" w14:textId="77777777" w:rsidR="008E3E46" w:rsidRPr="0046499B" w:rsidRDefault="00FD1FB4" w:rsidP="008E3E46">
      <w:pPr>
        <w:ind w:right="-426"/>
        <w:rPr>
          <w:b/>
          <w:sz w:val="24"/>
          <w:szCs w:val="24"/>
        </w:rPr>
      </w:pPr>
      <w:r w:rsidRPr="00F003E0">
        <w:rPr>
          <w:b/>
          <w:sz w:val="24"/>
          <w:szCs w:val="24"/>
        </w:rPr>
        <w:t>Kontaktní osoba O</w:t>
      </w:r>
      <w:r w:rsidR="00604890" w:rsidRPr="00F003E0">
        <w:rPr>
          <w:b/>
          <w:sz w:val="24"/>
          <w:szCs w:val="24"/>
        </w:rPr>
        <w:t>bjednatele:</w:t>
      </w:r>
      <w:r w:rsidR="00453955" w:rsidRPr="00F003E0">
        <w:rPr>
          <w:b/>
          <w:sz w:val="24"/>
          <w:szCs w:val="24"/>
        </w:rPr>
        <w:t xml:space="preserve"> </w:t>
      </w:r>
      <w:r w:rsidR="008E3E46" w:rsidRPr="0046499B">
        <w:rPr>
          <w:sz w:val="24"/>
          <w:szCs w:val="24"/>
          <w:highlight w:val="black"/>
        </w:rPr>
        <w:t>Ladislava Martínková</w:t>
      </w:r>
      <w:r w:rsidR="008E3E46" w:rsidRPr="0046499B">
        <w:rPr>
          <w:b/>
          <w:sz w:val="24"/>
          <w:szCs w:val="24"/>
          <w:highlight w:val="black"/>
        </w:rPr>
        <w:t>,</w:t>
      </w:r>
      <w:r w:rsidR="008E3E46" w:rsidRPr="00F003E0">
        <w:rPr>
          <w:b/>
          <w:sz w:val="24"/>
          <w:szCs w:val="24"/>
        </w:rPr>
        <w:t xml:space="preserve"> </w:t>
      </w:r>
      <w:r w:rsidR="008E3E46" w:rsidRPr="00F003E0">
        <w:rPr>
          <w:sz w:val="24"/>
          <w:szCs w:val="24"/>
        </w:rPr>
        <w:t xml:space="preserve">tel. </w:t>
      </w:r>
      <w:r w:rsidR="008E3E46" w:rsidRPr="0046499B">
        <w:rPr>
          <w:sz w:val="24"/>
          <w:szCs w:val="24"/>
          <w:highlight w:val="black"/>
        </w:rPr>
        <w:t>377 333 761</w:t>
      </w:r>
      <w:r w:rsidR="008E3E46" w:rsidRPr="0046499B">
        <w:rPr>
          <w:b/>
          <w:sz w:val="24"/>
          <w:szCs w:val="24"/>
          <w:highlight w:val="black"/>
        </w:rPr>
        <w:t>,</w:t>
      </w:r>
      <w:r w:rsidR="008E3E46" w:rsidRPr="00F003E0">
        <w:rPr>
          <w:b/>
          <w:sz w:val="24"/>
          <w:szCs w:val="24"/>
        </w:rPr>
        <w:t xml:space="preserve"> </w:t>
      </w:r>
      <w:r w:rsidR="008E3E46" w:rsidRPr="00F003E0">
        <w:rPr>
          <w:sz w:val="24"/>
          <w:szCs w:val="24"/>
        </w:rPr>
        <w:t xml:space="preserve"> e-mail: </w:t>
      </w:r>
      <w:hyperlink r:id="rId11" w:history="1">
        <w:r w:rsidR="008E3E46" w:rsidRPr="0046499B">
          <w:rPr>
            <w:rStyle w:val="Hypertextovodkaz"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46499B">
        <w:rPr>
          <w:sz w:val="24"/>
          <w:szCs w:val="24"/>
        </w:rPr>
        <w:t xml:space="preserve">  </w:t>
      </w:r>
    </w:p>
    <w:p w14:paraId="39F2742E" w14:textId="5D911EBE" w:rsidR="00604890" w:rsidRPr="0046499B" w:rsidRDefault="008E3E46">
      <w:pPr>
        <w:rPr>
          <w:sz w:val="24"/>
          <w:szCs w:val="24"/>
        </w:rPr>
      </w:pPr>
      <w:r w:rsidRPr="00F003E0">
        <w:rPr>
          <w:rFonts w:cs="Times New Roman"/>
          <w:b/>
          <w:sz w:val="24"/>
          <w:szCs w:val="24"/>
        </w:rPr>
        <w:t>Kontakt</w:t>
      </w:r>
      <w:r w:rsidR="00BF7155" w:rsidRPr="00F003E0">
        <w:rPr>
          <w:rFonts w:cs="Times New Roman"/>
          <w:b/>
          <w:sz w:val="24"/>
          <w:szCs w:val="24"/>
        </w:rPr>
        <w:t xml:space="preserve">ní osoba ve věcech technických: </w:t>
      </w:r>
      <w:r w:rsidR="00BF7155" w:rsidRPr="0046499B">
        <w:rPr>
          <w:rFonts w:cs="Times New Roman"/>
          <w:sz w:val="24"/>
          <w:szCs w:val="24"/>
          <w:highlight w:val="black"/>
        </w:rPr>
        <w:t xml:space="preserve">Bc. Miroslav Blabol, </w:t>
      </w:r>
      <w:proofErr w:type="spellStart"/>
      <w:r w:rsidR="00BF7155" w:rsidRPr="0046499B">
        <w:rPr>
          <w:rFonts w:cs="Times New Roman"/>
          <w:sz w:val="24"/>
          <w:szCs w:val="24"/>
          <w:highlight w:val="black"/>
        </w:rPr>
        <w:t>DiS</w:t>
      </w:r>
      <w:proofErr w:type="spellEnd"/>
      <w:r w:rsidR="00BF7155" w:rsidRPr="0046499B">
        <w:rPr>
          <w:rFonts w:cs="Times New Roman"/>
          <w:sz w:val="24"/>
          <w:szCs w:val="24"/>
          <w:highlight w:val="black"/>
        </w:rPr>
        <w:t>.,</w:t>
      </w:r>
      <w:r w:rsidR="00BF7155" w:rsidRPr="00F003E0">
        <w:rPr>
          <w:rFonts w:cs="Times New Roman"/>
          <w:sz w:val="24"/>
          <w:szCs w:val="24"/>
        </w:rPr>
        <w:t xml:space="preserve"> tel </w:t>
      </w:r>
      <w:r w:rsidR="00BF7155" w:rsidRPr="0046499B">
        <w:rPr>
          <w:rFonts w:cs="Times New Roman"/>
          <w:sz w:val="24"/>
          <w:szCs w:val="24"/>
          <w:highlight w:val="black"/>
        </w:rPr>
        <w:t>377 333 729,</w:t>
      </w:r>
      <w:r w:rsidR="00BF7155" w:rsidRPr="00F003E0">
        <w:rPr>
          <w:rFonts w:cs="Times New Roman"/>
          <w:sz w:val="24"/>
          <w:szCs w:val="24"/>
        </w:rPr>
        <w:t xml:space="preserve"> e-mail: </w:t>
      </w:r>
      <w:hyperlink r:id="rId12" w:history="1">
        <w:r w:rsidR="00BF7155" w:rsidRPr="0046499B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miroslav.blabol@rsd.cz</w:t>
        </w:r>
      </w:hyperlink>
      <w:r w:rsidR="00BF7155" w:rsidRPr="0046499B">
        <w:rPr>
          <w:rFonts w:cs="Times New Roman"/>
          <w:sz w:val="24"/>
          <w:szCs w:val="24"/>
        </w:rPr>
        <w:t xml:space="preserve"> </w:t>
      </w:r>
    </w:p>
    <w:p w14:paraId="255FD969" w14:textId="6E6F3EA0" w:rsidR="00604890" w:rsidRPr="00F003E0" w:rsidRDefault="00604890" w:rsidP="00153D94">
      <w:pPr>
        <w:jc w:val="both"/>
        <w:rPr>
          <w:sz w:val="24"/>
          <w:szCs w:val="24"/>
        </w:rPr>
      </w:pPr>
      <w:r w:rsidRPr="00F003E0">
        <w:rPr>
          <w:b/>
          <w:sz w:val="24"/>
          <w:szCs w:val="24"/>
        </w:rPr>
        <w:t xml:space="preserve">Fakturujte: </w:t>
      </w:r>
      <w:r w:rsidR="008E3E46" w:rsidRPr="00F003E0">
        <w:rPr>
          <w:sz w:val="24"/>
          <w:szCs w:val="24"/>
        </w:rPr>
        <w:t>Ředitelství silnic a dálnic ČR, Správa Plzeň, Hřímalého 37, 301 00 Plzeň</w:t>
      </w:r>
    </w:p>
    <w:p w14:paraId="42C0E761" w14:textId="3DEEAD36" w:rsidR="004D5C72" w:rsidRPr="00F003E0" w:rsidRDefault="00604890" w:rsidP="00F42E23">
      <w:pPr>
        <w:jc w:val="both"/>
        <w:rPr>
          <w:sz w:val="24"/>
          <w:szCs w:val="24"/>
        </w:rPr>
      </w:pPr>
      <w:r w:rsidRPr="00F003E0">
        <w:rPr>
          <w:b/>
          <w:sz w:val="24"/>
          <w:szCs w:val="24"/>
        </w:rPr>
        <w:t>Obchodní a platební podmínky:</w:t>
      </w:r>
      <w:r w:rsidR="00153D94" w:rsidRPr="00F003E0">
        <w:rPr>
          <w:b/>
          <w:sz w:val="24"/>
          <w:szCs w:val="24"/>
        </w:rPr>
        <w:t xml:space="preserve"> </w:t>
      </w:r>
      <w:r w:rsidR="00153D94" w:rsidRPr="00F003E0">
        <w:rPr>
          <w:sz w:val="24"/>
          <w:szCs w:val="24"/>
        </w:rPr>
        <w:t xml:space="preserve">Objednatel uhradí cenu jednorázovým bankovním převodem na účet </w:t>
      </w:r>
      <w:r w:rsidR="00DB2E94" w:rsidRPr="00F003E0">
        <w:rPr>
          <w:sz w:val="24"/>
          <w:szCs w:val="24"/>
        </w:rPr>
        <w:t>D</w:t>
      </w:r>
      <w:r w:rsidR="00153D94" w:rsidRPr="00F003E0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F003E0">
        <w:rPr>
          <w:sz w:val="24"/>
          <w:szCs w:val="24"/>
        </w:rPr>
        <w:t>O</w:t>
      </w:r>
      <w:r w:rsidR="00153D94" w:rsidRPr="00F003E0">
        <w:rPr>
          <w:sz w:val="24"/>
          <w:szCs w:val="24"/>
        </w:rPr>
        <w:t xml:space="preserve">bjednateli. Fakturu lze předložit nejdříve po protokolárním převzetí </w:t>
      </w:r>
      <w:r w:rsidR="00BF7155" w:rsidRPr="00F003E0">
        <w:rPr>
          <w:sz w:val="24"/>
          <w:szCs w:val="24"/>
        </w:rPr>
        <w:t xml:space="preserve">služeb </w:t>
      </w:r>
      <w:r w:rsidR="00FD1FB4" w:rsidRPr="00F003E0">
        <w:rPr>
          <w:sz w:val="24"/>
          <w:szCs w:val="24"/>
        </w:rPr>
        <w:t>O</w:t>
      </w:r>
      <w:r w:rsidR="00153D94" w:rsidRPr="00F003E0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cenu, ani dílčí platby ceny.</w:t>
      </w:r>
      <w:r w:rsidR="00D766F5" w:rsidRPr="00F003E0">
        <w:rPr>
          <w:sz w:val="24"/>
          <w:szCs w:val="24"/>
        </w:rPr>
        <w:t xml:space="preserve"> </w:t>
      </w:r>
      <w:r w:rsidR="00C01C05" w:rsidRPr="00F003E0">
        <w:rPr>
          <w:sz w:val="24"/>
          <w:szCs w:val="24"/>
        </w:rPr>
        <w:t>Potvrzením přijetí (akceptací)</w:t>
      </w:r>
      <w:r w:rsidR="00D766F5" w:rsidRPr="00F003E0">
        <w:rPr>
          <w:sz w:val="24"/>
          <w:szCs w:val="24"/>
        </w:rPr>
        <w:t xml:space="preserve"> tét</w:t>
      </w:r>
      <w:r w:rsidR="00FD1FB4" w:rsidRPr="00F003E0">
        <w:rPr>
          <w:sz w:val="24"/>
          <w:szCs w:val="24"/>
        </w:rPr>
        <w:t>o objednávky se D</w:t>
      </w:r>
      <w:r w:rsidR="00D766F5" w:rsidRPr="00F003E0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F003E0">
        <w:rPr>
          <w:sz w:val="24"/>
          <w:szCs w:val="24"/>
        </w:rPr>
        <w:t>akceptaci</w:t>
      </w:r>
      <w:r w:rsidR="00FD1FB4" w:rsidRPr="00F003E0">
        <w:rPr>
          <w:sz w:val="24"/>
          <w:szCs w:val="24"/>
        </w:rPr>
        <w:t xml:space="preserve"> objednávky D</w:t>
      </w:r>
      <w:r w:rsidR="00D766F5" w:rsidRPr="00F003E0">
        <w:rPr>
          <w:sz w:val="24"/>
          <w:szCs w:val="24"/>
        </w:rPr>
        <w:t>odavatelem s jakýmikoliv změnami</w:t>
      </w:r>
      <w:r w:rsidR="0095425D" w:rsidRPr="00F003E0">
        <w:rPr>
          <w:sz w:val="24"/>
          <w:szCs w:val="24"/>
        </w:rPr>
        <w:t xml:space="preserve"> jejího obsahu, k takovému právnímu jednání </w:t>
      </w:r>
      <w:r w:rsidR="00B15555" w:rsidRPr="00F003E0">
        <w:rPr>
          <w:sz w:val="24"/>
          <w:szCs w:val="24"/>
        </w:rPr>
        <w:t xml:space="preserve">Dodavatele </w:t>
      </w:r>
      <w:r w:rsidR="0095425D" w:rsidRPr="00F003E0">
        <w:rPr>
          <w:sz w:val="24"/>
          <w:szCs w:val="24"/>
        </w:rPr>
        <w:t>se nepřihlíží</w:t>
      </w:r>
      <w:r w:rsidR="00C01C05" w:rsidRPr="00F003E0">
        <w:rPr>
          <w:sz w:val="24"/>
          <w:szCs w:val="24"/>
        </w:rPr>
        <w:t xml:space="preserve">. </w:t>
      </w:r>
      <w:r w:rsidR="00F42E23" w:rsidRPr="00F003E0">
        <w:rPr>
          <w:sz w:val="24"/>
          <w:szCs w:val="24"/>
        </w:rPr>
        <w:t>Dodavatel poskytuje souhlas s uveřejněním objednávky</w:t>
      </w:r>
      <w:r w:rsidR="00D03DA3" w:rsidRPr="00F003E0">
        <w:rPr>
          <w:sz w:val="24"/>
          <w:szCs w:val="24"/>
        </w:rPr>
        <w:t xml:space="preserve"> a</w:t>
      </w:r>
      <w:r w:rsidR="00F204DF" w:rsidRPr="00F003E0">
        <w:rPr>
          <w:sz w:val="24"/>
          <w:szCs w:val="24"/>
        </w:rPr>
        <w:t xml:space="preserve"> </w:t>
      </w:r>
      <w:r w:rsidR="00D03DA3" w:rsidRPr="00F003E0">
        <w:rPr>
          <w:sz w:val="24"/>
          <w:szCs w:val="24"/>
        </w:rPr>
        <w:t>jejího potvrzení</w:t>
      </w:r>
      <w:r w:rsidR="00F42E23" w:rsidRPr="00F003E0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 w:rsidRPr="00F003E0">
        <w:rPr>
          <w:sz w:val="24"/>
          <w:szCs w:val="24"/>
        </w:rPr>
        <w:t>ako „zákon o registru smluv“), O</w:t>
      </w:r>
      <w:r w:rsidR="00F42E23" w:rsidRPr="00F003E0">
        <w:rPr>
          <w:sz w:val="24"/>
          <w:szCs w:val="24"/>
        </w:rPr>
        <w:t>bjednatelem.</w:t>
      </w:r>
      <w:r w:rsidR="000C7C8D" w:rsidRPr="00F003E0">
        <w:rPr>
          <w:sz w:val="24"/>
          <w:szCs w:val="24"/>
        </w:rPr>
        <w:t xml:space="preserve"> </w:t>
      </w:r>
      <w:r w:rsidR="00F31356" w:rsidRPr="00F003E0">
        <w:rPr>
          <w:sz w:val="24"/>
          <w:szCs w:val="24"/>
        </w:rPr>
        <w:lastRenderedPageBreak/>
        <w:t>Objednávka je účinná okamžikem zveřejnění v registru smluv</w:t>
      </w:r>
      <w:r w:rsidR="000F1A3C" w:rsidRPr="00F003E0">
        <w:rPr>
          <w:sz w:val="24"/>
          <w:szCs w:val="24"/>
        </w:rPr>
        <w:t>.</w:t>
      </w:r>
      <w:r w:rsidR="00105E6A" w:rsidRPr="00F003E0">
        <w:rPr>
          <w:sz w:val="24"/>
          <w:szCs w:val="24"/>
        </w:rPr>
        <w:t xml:space="preserve"> 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088F2015" w:rsidR="000F1A3C" w:rsidRPr="00F003E0" w:rsidRDefault="000F1A3C" w:rsidP="00F42E23">
      <w:pPr>
        <w:jc w:val="both"/>
        <w:rPr>
          <w:b/>
          <w:sz w:val="24"/>
          <w:szCs w:val="24"/>
        </w:rPr>
      </w:pPr>
      <w:r w:rsidRPr="00F003E0">
        <w:rPr>
          <w:b/>
          <w:sz w:val="24"/>
          <w:szCs w:val="24"/>
        </w:rPr>
        <w:t xml:space="preserve">Záruční lhůta: </w:t>
      </w:r>
      <w:r w:rsidR="00BF7155" w:rsidRPr="00F003E0">
        <w:rPr>
          <w:sz w:val="24"/>
          <w:szCs w:val="24"/>
        </w:rPr>
        <w:t>dle Občanského zákoníku</w:t>
      </w:r>
    </w:p>
    <w:p w14:paraId="3DE3979E" w14:textId="18E73F86" w:rsidR="00604890" w:rsidRPr="00F003E0" w:rsidRDefault="00604890" w:rsidP="00153D94">
      <w:pPr>
        <w:jc w:val="both"/>
        <w:rPr>
          <w:b/>
          <w:sz w:val="24"/>
          <w:szCs w:val="24"/>
        </w:rPr>
      </w:pPr>
      <w:r w:rsidRPr="00F003E0">
        <w:rPr>
          <w:b/>
          <w:sz w:val="24"/>
          <w:szCs w:val="24"/>
        </w:rPr>
        <w:t>Objednáváme u Vás:</w:t>
      </w:r>
      <w:r w:rsidR="00453955" w:rsidRPr="00F003E0">
        <w:rPr>
          <w:b/>
          <w:sz w:val="24"/>
          <w:szCs w:val="24"/>
        </w:rPr>
        <w:t xml:space="preserve"> </w:t>
      </w:r>
      <w:r w:rsidR="00BF7155" w:rsidRPr="00F003E0">
        <w:rPr>
          <w:sz w:val="24"/>
          <w:szCs w:val="24"/>
        </w:rPr>
        <w:t>aktualizaci videokompozice</w:t>
      </w:r>
    </w:p>
    <w:p w14:paraId="4B6DBF34" w14:textId="393B88D1" w:rsidR="000F1A3C" w:rsidRPr="00F003E0" w:rsidRDefault="00604890" w:rsidP="000F1A3C">
      <w:pPr>
        <w:jc w:val="both"/>
        <w:rPr>
          <w:b/>
          <w:sz w:val="24"/>
          <w:szCs w:val="24"/>
        </w:rPr>
      </w:pPr>
      <w:r w:rsidRPr="00F003E0">
        <w:rPr>
          <w:b/>
          <w:sz w:val="24"/>
          <w:szCs w:val="24"/>
        </w:rPr>
        <w:t>Lhůta pro dodání či termín dodání:</w:t>
      </w:r>
      <w:r w:rsidR="00F73CB7" w:rsidRPr="00F003E0">
        <w:rPr>
          <w:b/>
          <w:sz w:val="24"/>
          <w:szCs w:val="24"/>
        </w:rPr>
        <w:t xml:space="preserve"> </w:t>
      </w:r>
      <w:r w:rsidR="00BF7155" w:rsidRPr="00F003E0">
        <w:rPr>
          <w:b/>
          <w:sz w:val="24"/>
          <w:szCs w:val="24"/>
          <w:u w:val="single"/>
        </w:rPr>
        <w:t>videokompozice v čistopise do 01/2020</w:t>
      </w:r>
    </w:p>
    <w:p w14:paraId="21A0252C" w14:textId="2FDCDBE3" w:rsidR="00604890" w:rsidRPr="00F003E0" w:rsidRDefault="00604890" w:rsidP="00153D94">
      <w:pPr>
        <w:jc w:val="both"/>
        <w:rPr>
          <w:sz w:val="24"/>
          <w:szCs w:val="24"/>
        </w:rPr>
      </w:pPr>
      <w:r w:rsidRPr="00F003E0">
        <w:rPr>
          <w:b/>
          <w:sz w:val="24"/>
          <w:szCs w:val="24"/>
        </w:rPr>
        <w:t>Celkov</w:t>
      </w:r>
      <w:r w:rsidR="000F1A3C" w:rsidRPr="00F003E0">
        <w:rPr>
          <w:b/>
          <w:sz w:val="24"/>
          <w:szCs w:val="24"/>
        </w:rPr>
        <w:t>á hodnota objednávky v Kč:</w:t>
      </w:r>
    </w:p>
    <w:p w14:paraId="0F101587" w14:textId="6CA625C8" w:rsidR="000F1A3C" w:rsidRPr="0046499B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F003E0">
        <w:rPr>
          <w:b/>
          <w:sz w:val="24"/>
          <w:szCs w:val="24"/>
        </w:rPr>
        <w:t>Cena bez DPH</w:t>
      </w:r>
      <w:r w:rsidRPr="0046499B">
        <w:rPr>
          <w:b/>
          <w:sz w:val="24"/>
          <w:szCs w:val="24"/>
        </w:rPr>
        <w:t xml:space="preserve">:         </w:t>
      </w:r>
      <w:r w:rsidR="0046499B" w:rsidRPr="0046499B">
        <w:rPr>
          <w:b/>
          <w:sz w:val="24"/>
          <w:szCs w:val="24"/>
        </w:rPr>
        <w:t xml:space="preserve">    </w:t>
      </w:r>
      <w:r w:rsidRPr="0046499B">
        <w:rPr>
          <w:b/>
          <w:sz w:val="24"/>
          <w:szCs w:val="24"/>
        </w:rPr>
        <w:t xml:space="preserve"> </w:t>
      </w:r>
      <w:r w:rsidR="0046499B" w:rsidRPr="0046499B">
        <w:rPr>
          <w:b/>
          <w:sz w:val="24"/>
          <w:szCs w:val="24"/>
        </w:rPr>
        <w:t>238 000 Kč</w:t>
      </w:r>
    </w:p>
    <w:p w14:paraId="77169A4E" w14:textId="77777777" w:rsidR="000F1A3C" w:rsidRPr="0046499B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392AA05E" w14:textId="0CB082DF" w:rsidR="000F1A3C" w:rsidRPr="0046499B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6499B">
        <w:rPr>
          <w:b/>
          <w:sz w:val="24"/>
          <w:szCs w:val="24"/>
        </w:rPr>
        <w:t xml:space="preserve">DPH 21%:                  </w:t>
      </w:r>
      <w:r w:rsidR="0046499B" w:rsidRPr="0046499B">
        <w:rPr>
          <w:b/>
          <w:sz w:val="24"/>
          <w:szCs w:val="24"/>
        </w:rPr>
        <w:t xml:space="preserve">    </w:t>
      </w:r>
      <w:r w:rsidRPr="0046499B">
        <w:rPr>
          <w:b/>
          <w:sz w:val="24"/>
          <w:szCs w:val="24"/>
        </w:rPr>
        <w:t xml:space="preserve"> </w:t>
      </w:r>
      <w:r w:rsidR="0046499B" w:rsidRPr="0046499B">
        <w:rPr>
          <w:b/>
          <w:sz w:val="24"/>
          <w:szCs w:val="24"/>
        </w:rPr>
        <w:t>49 980 Kč</w:t>
      </w:r>
    </w:p>
    <w:p w14:paraId="3356FDB5" w14:textId="77777777" w:rsidR="000F1A3C" w:rsidRPr="0046499B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B4FCE24" w14:textId="5FE9F17C" w:rsidR="000F1A3C" w:rsidRPr="0046499B" w:rsidRDefault="000F1A3C" w:rsidP="000F1A3C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46499B">
        <w:rPr>
          <w:b/>
          <w:sz w:val="24"/>
          <w:szCs w:val="24"/>
        </w:rPr>
        <w:t xml:space="preserve">Cena celkem s DPH:  </w:t>
      </w:r>
      <w:r w:rsidR="0046499B" w:rsidRPr="0046499B">
        <w:rPr>
          <w:b/>
          <w:sz w:val="24"/>
          <w:szCs w:val="24"/>
        </w:rPr>
        <w:t xml:space="preserve">  </w:t>
      </w:r>
      <w:r w:rsidR="006B70E5">
        <w:rPr>
          <w:b/>
          <w:sz w:val="24"/>
          <w:szCs w:val="24"/>
        </w:rPr>
        <w:t xml:space="preserve"> </w:t>
      </w:r>
      <w:bookmarkStart w:id="0" w:name="_GoBack"/>
      <w:bookmarkEnd w:id="0"/>
      <w:r w:rsidR="0046499B" w:rsidRPr="0046499B">
        <w:rPr>
          <w:b/>
          <w:sz w:val="24"/>
          <w:szCs w:val="24"/>
        </w:rPr>
        <w:t>287 980 Kč</w:t>
      </w:r>
    </w:p>
    <w:p w14:paraId="35931061" w14:textId="77777777" w:rsidR="000F1A3C" w:rsidRPr="00F003E0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46499B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3" w:history="1">
        <w:r w:rsidR="000F1A3C" w:rsidRPr="0046499B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46499B">
        <w:rPr>
          <w:rFonts w:cs="Times New Roman"/>
          <w:sz w:val="24"/>
          <w:szCs w:val="24"/>
          <w:highlight w:val="black"/>
        </w:rPr>
        <w:t>.</w:t>
      </w:r>
      <w:r w:rsidR="000F1A3C" w:rsidRPr="0046499B">
        <w:rPr>
          <w:rFonts w:cs="Times New Roman"/>
          <w:sz w:val="24"/>
          <w:szCs w:val="24"/>
        </w:rPr>
        <w:t xml:space="preserve"> </w:t>
      </w:r>
      <w:r w:rsidR="006024F2" w:rsidRPr="0046499B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F003E0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F003E0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 xml:space="preserve">Nedílnou součástí této </w:t>
      </w:r>
      <w:r w:rsidR="00765848" w:rsidRPr="00F003E0">
        <w:rPr>
          <w:rFonts w:cs="Times New Roman"/>
          <w:sz w:val="24"/>
          <w:szCs w:val="24"/>
        </w:rPr>
        <w:t>objednávky</w:t>
      </w:r>
      <w:r w:rsidRPr="00F003E0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36A3132E" w:rsidR="00282421" w:rsidRPr="00F003E0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>Příloha č. 1 – Specifikace služeb</w:t>
      </w:r>
    </w:p>
    <w:p w14:paraId="7870F805" w14:textId="133DAC60" w:rsidR="00282421" w:rsidRPr="00F003E0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>Příloha č. 2 – Položkový rozpis ceny</w:t>
      </w:r>
    </w:p>
    <w:p w14:paraId="400A9C64" w14:textId="77777777" w:rsidR="00FD16D6" w:rsidRPr="00F003E0" w:rsidRDefault="00FD16D6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</w:p>
    <w:p w14:paraId="48A05FB2" w14:textId="64796A5A" w:rsidR="00EC18C0" w:rsidRPr="00F003E0" w:rsidRDefault="00EC18C0" w:rsidP="00EC18C0">
      <w:pPr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 xml:space="preserve">V </w:t>
      </w:r>
      <w:r w:rsidR="000C7C3B" w:rsidRPr="00F003E0">
        <w:rPr>
          <w:rFonts w:cs="Times New Roman"/>
          <w:sz w:val="24"/>
          <w:szCs w:val="24"/>
        </w:rPr>
        <w:t>Plzni</w:t>
      </w:r>
      <w:r w:rsidRPr="00F003E0">
        <w:rPr>
          <w:rFonts w:cs="Times New Roman"/>
          <w:sz w:val="24"/>
          <w:szCs w:val="24"/>
        </w:rPr>
        <w:t xml:space="preserve"> dne </w:t>
      </w:r>
      <w:r w:rsidR="00BF7155" w:rsidRPr="00F003E0">
        <w:rPr>
          <w:rFonts w:cs="Times New Roman"/>
          <w:sz w:val="24"/>
          <w:szCs w:val="24"/>
        </w:rPr>
        <w:t xml:space="preserve">   </w:t>
      </w:r>
      <w:r w:rsidR="0046499B">
        <w:rPr>
          <w:rFonts w:cs="Times New Roman"/>
          <w:sz w:val="24"/>
          <w:szCs w:val="24"/>
        </w:rPr>
        <w:t>03-10-2019</w:t>
      </w:r>
      <w:r w:rsidR="00BF7155" w:rsidRPr="00F003E0">
        <w:rPr>
          <w:rFonts w:cs="Times New Roman"/>
          <w:sz w:val="24"/>
          <w:szCs w:val="24"/>
        </w:rPr>
        <w:t xml:space="preserve">                           </w:t>
      </w:r>
      <w:r w:rsidR="0046499B">
        <w:rPr>
          <w:rFonts w:cs="Times New Roman"/>
          <w:sz w:val="24"/>
          <w:szCs w:val="24"/>
        </w:rPr>
        <w:t xml:space="preserve">           </w:t>
      </w:r>
      <w:r w:rsidR="00BF7155" w:rsidRPr="00F003E0">
        <w:rPr>
          <w:rFonts w:cs="Times New Roman"/>
          <w:sz w:val="24"/>
          <w:szCs w:val="24"/>
        </w:rPr>
        <w:t xml:space="preserve">        </w:t>
      </w:r>
      <w:r w:rsidR="000C7C3B" w:rsidRPr="00F003E0">
        <w:rPr>
          <w:rFonts w:cs="Times New Roman"/>
          <w:sz w:val="24"/>
          <w:szCs w:val="24"/>
        </w:rPr>
        <w:t>V</w:t>
      </w:r>
      <w:r w:rsidR="0046499B">
        <w:rPr>
          <w:rFonts w:cs="Times New Roman"/>
          <w:sz w:val="24"/>
          <w:szCs w:val="24"/>
        </w:rPr>
        <w:t xml:space="preserve"> Praze dne </w:t>
      </w:r>
      <w:proofErr w:type="gramStart"/>
      <w:r w:rsidR="0046499B">
        <w:rPr>
          <w:rFonts w:cs="Times New Roman"/>
          <w:sz w:val="24"/>
          <w:szCs w:val="24"/>
        </w:rPr>
        <w:t>2.10.2019</w:t>
      </w:r>
      <w:proofErr w:type="gramEnd"/>
      <w:r w:rsidR="000C7C3B" w:rsidRPr="00F003E0">
        <w:rPr>
          <w:rFonts w:cs="Times New Roman"/>
          <w:sz w:val="24"/>
          <w:szCs w:val="24"/>
        </w:rPr>
        <w:t xml:space="preserve">     </w:t>
      </w:r>
    </w:p>
    <w:p w14:paraId="0B953F3C" w14:textId="4E886A69" w:rsidR="000C7C3B" w:rsidRPr="00F003E0" w:rsidRDefault="00EC18C0" w:rsidP="00EC18C0">
      <w:pPr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>Za Objednatele:</w:t>
      </w:r>
      <w:r w:rsidR="000C7C3B" w:rsidRPr="00F003E0">
        <w:rPr>
          <w:rFonts w:cs="Times New Roman"/>
          <w:sz w:val="24"/>
          <w:szCs w:val="24"/>
        </w:rPr>
        <w:t xml:space="preserve">                                                             Za Dodavatele:</w:t>
      </w:r>
    </w:p>
    <w:p w14:paraId="26B2E549" w14:textId="77777777" w:rsidR="000C7C3B" w:rsidRPr="00F003E0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F003E0" w:rsidRDefault="00EC18C0" w:rsidP="00EC18C0">
      <w:pPr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F003E0" w:rsidRDefault="000C7C3B" w:rsidP="00EC18C0">
      <w:pPr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6D8EA93F" w14:textId="2F51424F" w:rsidR="000C7C3B" w:rsidRDefault="000C7C3B" w:rsidP="00EC18C0">
      <w:pPr>
        <w:jc w:val="both"/>
        <w:rPr>
          <w:rFonts w:cs="Times New Roman"/>
          <w:sz w:val="24"/>
          <w:szCs w:val="24"/>
        </w:rPr>
      </w:pPr>
    </w:p>
    <w:p w14:paraId="5B69946F" w14:textId="5DF416EB" w:rsidR="0046499B" w:rsidRDefault="0046499B" w:rsidP="00EC18C0">
      <w:pPr>
        <w:jc w:val="both"/>
        <w:rPr>
          <w:rFonts w:cs="Times New Roman"/>
          <w:sz w:val="24"/>
          <w:szCs w:val="24"/>
        </w:rPr>
      </w:pPr>
    </w:p>
    <w:p w14:paraId="782014D4" w14:textId="03E80507" w:rsidR="0046499B" w:rsidRDefault="0046499B" w:rsidP="00EC18C0">
      <w:pPr>
        <w:jc w:val="both"/>
        <w:rPr>
          <w:rFonts w:cs="Times New Roman"/>
          <w:sz w:val="24"/>
          <w:szCs w:val="24"/>
        </w:rPr>
      </w:pPr>
    </w:p>
    <w:p w14:paraId="7715992F" w14:textId="25E09D7B" w:rsidR="0046499B" w:rsidRDefault="0046499B" w:rsidP="00EC18C0">
      <w:pPr>
        <w:jc w:val="both"/>
        <w:rPr>
          <w:rFonts w:cs="Times New Roman"/>
          <w:sz w:val="24"/>
          <w:szCs w:val="24"/>
        </w:rPr>
      </w:pPr>
    </w:p>
    <w:p w14:paraId="350633DA" w14:textId="68DDE0C5" w:rsidR="0046499B" w:rsidRDefault="0046499B" w:rsidP="00EC18C0">
      <w:pPr>
        <w:jc w:val="both"/>
        <w:rPr>
          <w:rFonts w:cs="Times New Roman"/>
          <w:sz w:val="24"/>
          <w:szCs w:val="24"/>
        </w:rPr>
      </w:pPr>
    </w:p>
    <w:p w14:paraId="2304DEE1" w14:textId="77777777" w:rsidR="0046499B" w:rsidRPr="00F003E0" w:rsidRDefault="0046499B" w:rsidP="00EC18C0">
      <w:pPr>
        <w:jc w:val="both"/>
        <w:rPr>
          <w:rFonts w:cs="Times New Roman"/>
          <w:sz w:val="24"/>
          <w:szCs w:val="24"/>
        </w:rPr>
      </w:pPr>
    </w:p>
    <w:p w14:paraId="55636593" w14:textId="64EFA2B1" w:rsidR="000C7C3B" w:rsidRPr="00F003E0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F003E0">
        <w:rPr>
          <w:rFonts w:cs="Times New Roman"/>
          <w:b/>
          <w:sz w:val="36"/>
          <w:szCs w:val="36"/>
          <w:u w:val="single"/>
        </w:rPr>
        <w:lastRenderedPageBreak/>
        <w:t>Příloha č. 1 - Specifikace služeb</w:t>
      </w:r>
    </w:p>
    <w:p w14:paraId="5EC898D4" w14:textId="77777777" w:rsidR="00DB5E8B" w:rsidRPr="00F003E0" w:rsidRDefault="00DB5E8B" w:rsidP="00DB5E8B">
      <w:pPr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b/>
          <w:sz w:val="24"/>
          <w:szCs w:val="24"/>
        </w:rPr>
        <w:t>Odůvodnění:</w:t>
      </w:r>
      <w:r w:rsidRPr="00F003E0">
        <w:rPr>
          <w:rFonts w:cs="Times New Roman"/>
          <w:sz w:val="24"/>
          <w:szCs w:val="24"/>
        </w:rPr>
        <w:t xml:space="preserve"> Aktualizace videokompozice je vyvolaná změnami v projektové dokumentaci, oproti původní PD ve stupni DÚR z 12/2004. Změny PD se týkají všech 3 křižovatek, včetně úprav hlavní trasy (připojovací a předjížděcí pruhy, změna osy komunikace – změna velikosti průměru směrového oblouku). Změny je tedy nutné zapracovat do připravované videokompozice tak, aby byla pro účely prezentace veřejnosti vypovídající a odpovídala aktuálnímu trasování a technickému návrhu budoucí silnice I/26.</w:t>
      </w:r>
    </w:p>
    <w:p w14:paraId="3C0FED93" w14:textId="1EAC4D01" w:rsidR="00DB5E8B" w:rsidRPr="00F003E0" w:rsidRDefault="00DB5E8B" w:rsidP="00DB5E8B">
      <w:pPr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b/>
          <w:sz w:val="24"/>
          <w:szCs w:val="24"/>
        </w:rPr>
        <w:t>Počet vyhotovení</w:t>
      </w:r>
      <w:r w:rsidRPr="00F003E0">
        <w:rPr>
          <w:rFonts w:cs="Times New Roman"/>
          <w:sz w:val="24"/>
          <w:szCs w:val="24"/>
        </w:rPr>
        <w:t>: 20 x elektronická videokompozice na datovém nosiči</w:t>
      </w:r>
    </w:p>
    <w:p w14:paraId="5312E426" w14:textId="03399B51" w:rsidR="007E3813" w:rsidRPr="00F003E0" w:rsidRDefault="007E3813" w:rsidP="00DB5E8B">
      <w:pPr>
        <w:jc w:val="both"/>
        <w:rPr>
          <w:rFonts w:cs="Times New Roman"/>
          <w:b/>
          <w:sz w:val="24"/>
          <w:szCs w:val="24"/>
        </w:rPr>
      </w:pPr>
      <w:r w:rsidRPr="00F003E0">
        <w:rPr>
          <w:rFonts w:cs="Times New Roman"/>
          <w:b/>
          <w:sz w:val="24"/>
          <w:szCs w:val="24"/>
        </w:rPr>
        <w:t>Soupis prací:</w:t>
      </w:r>
    </w:p>
    <w:tbl>
      <w:tblPr>
        <w:tblW w:w="9490" w:type="dxa"/>
        <w:tblInd w:w="10" w:type="dxa"/>
        <w:tblCellMar>
          <w:top w:w="9" w:type="dxa"/>
          <w:left w:w="72" w:type="dxa"/>
        </w:tblCellMar>
        <w:tblLook w:val="04A0" w:firstRow="1" w:lastRow="0" w:firstColumn="1" w:lastColumn="0" w:noHBand="0" w:noVBand="1"/>
      </w:tblPr>
      <w:tblGrid>
        <w:gridCol w:w="4954"/>
        <w:gridCol w:w="989"/>
        <w:gridCol w:w="854"/>
        <w:gridCol w:w="1272"/>
        <w:gridCol w:w="1421"/>
      </w:tblGrid>
      <w:tr w:rsidR="007E3813" w:rsidRPr="00F003E0" w14:paraId="1128C46D" w14:textId="77777777" w:rsidTr="006514C4">
        <w:trPr>
          <w:trHeight w:val="581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D13E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Ocenění jednotlivých etap plnění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523A5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MJ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4EF9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Počet MJ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A517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Cena za MJ bez DPH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15EF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Cena celkem </w:t>
            </w:r>
          </w:p>
          <w:p w14:paraId="62B33C9A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 v Kč </w:t>
            </w:r>
          </w:p>
        </w:tc>
      </w:tr>
      <w:tr w:rsidR="007E3813" w:rsidRPr="00F003E0" w14:paraId="66B012CE" w14:textId="77777777" w:rsidTr="006514C4">
        <w:trPr>
          <w:trHeight w:val="773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45353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Příprava podkladů - scénář, studium projektové dokumentace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D8D2B" w14:textId="09BD5D49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D6151" w14:textId="04D5662C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B5132" w14:textId="6A1D65C0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6ACCE" w14:textId="7E71AD9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47127753" w14:textId="77777777" w:rsidTr="006514C4">
        <w:trPr>
          <w:trHeight w:val="701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5CFA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Příprava podkladů pro prezentaci projektu - finální scénář, komentář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1AB21" w14:textId="0EB3B9DB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ECF54" w14:textId="613A253F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4A826" w14:textId="4B9D00F2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3A374" w14:textId="40B06EF2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19B66F72" w14:textId="77777777" w:rsidTr="006514C4">
        <w:trPr>
          <w:trHeight w:val="547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8915B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Zpracování terénu - model, textury, úpravy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D209B" w14:textId="10235F6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BE43" w14:textId="2A33612A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F62A" w14:textId="7F70ECA5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BA3C3" w14:textId="1FEDC37A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53242AFD" w14:textId="77777777" w:rsidTr="006514C4">
        <w:trPr>
          <w:trHeight w:val="542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28C8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Zpracování jednotlivých modelů - objekty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3542" w14:textId="42B12AD3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AEC16" w14:textId="5B6166CA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FC9ED" w14:textId="4CC92370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2834E" w14:textId="380FAF69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394E29E0" w14:textId="77777777" w:rsidTr="006514C4">
        <w:trPr>
          <w:trHeight w:val="629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1C14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Začlenění trasy do terénu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01E2" w14:textId="23B13D6D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1140A" w14:textId="17689F3A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AB4C6" w14:textId="130DE721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5F468" w14:textId="21C4B985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651210A5" w14:textId="77777777" w:rsidTr="006514C4">
        <w:trPr>
          <w:trHeight w:val="706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94607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Kompozice - stabilizace obrazu, kompozice, tracking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0313E" w14:textId="71D493BD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E1ED" w14:textId="5AF7DC8A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12919" w14:textId="2BE3BDDF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2826A" w14:textId="618E51C4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7C73511D" w14:textId="77777777" w:rsidTr="006514C4">
        <w:trPr>
          <w:trHeight w:val="562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78C4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Animace - animace objektů a jednotlivých kamer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69D1E" w14:textId="3401CB39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5E4A" w14:textId="42939D2E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C32C8" w14:textId="17A8D22C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5087B" w14:textId="0334B24C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2719E3BB" w14:textId="77777777" w:rsidTr="006514C4">
        <w:trPr>
          <w:trHeight w:val="547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BBE3E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Rendering - náhledový v průběhu prací a finální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E4257" w14:textId="01FB2CE5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3DA27" w14:textId="74EEA349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4B5C7" w14:textId="3A3A9839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E6232" w14:textId="43DE178F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01907CE3" w14:textId="77777777" w:rsidTr="006514C4">
        <w:trPr>
          <w:trHeight w:val="888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24AAC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Prezentace formou videokompozice - export, střih, efekty, barevné korekce, zvuky, hudba, komentář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7807D" w14:textId="43C7B07E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90EFE" w14:textId="642A3F35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104B8" w14:textId="495BDC96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F240" w14:textId="1BF60CF5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E3813" w:rsidRPr="00F003E0" w14:paraId="2F422F2A" w14:textId="77777777" w:rsidTr="006514C4">
        <w:trPr>
          <w:trHeight w:val="566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B8DB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52A7595D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Celkem bez DPH </w:t>
            </w:r>
            <w:r w:rsidRPr="00F003E0">
              <w:rPr>
                <w:rFonts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1C25C7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E2357C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2AA8FE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A1F50A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7E3813" w:rsidRPr="00F003E0" w14:paraId="586882C7" w14:textId="77777777" w:rsidTr="007E3813">
        <w:trPr>
          <w:trHeight w:val="506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3062" w14:textId="26034DCF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004D613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DPH 21% </w:t>
            </w:r>
            <w:r w:rsidRPr="00F003E0">
              <w:rPr>
                <w:rFonts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9572C3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609734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95831B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354C9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7E3813" w:rsidRPr="00F003E0" w14:paraId="5D3305AC" w14:textId="77777777" w:rsidTr="006514C4">
        <w:trPr>
          <w:trHeight w:val="504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EB61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 Cena celkem vč. DPH </w:t>
            </w:r>
            <w:r w:rsidRPr="00F003E0">
              <w:rPr>
                <w:rFonts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EBAEF8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A44BEA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013876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DFC270" w14:textId="77777777" w:rsidR="007E3813" w:rsidRPr="00F003E0" w:rsidRDefault="007E3813" w:rsidP="007E3813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14:paraId="1F70C98C" w14:textId="751F0944" w:rsidR="000C7C3B" w:rsidRPr="00F003E0" w:rsidRDefault="007E3813" w:rsidP="00EC18C0">
      <w:pPr>
        <w:jc w:val="both"/>
        <w:rPr>
          <w:rFonts w:cs="Times New Roman"/>
          <w:sz w:val="24"/>
          <w:szCs w:val="24"/>
        </w:rPr>
      </w:pPr>
      <w:r w:rsidRPr="00F003E0">
        <w:rPr>
          <w:rFonts w:cs="Times New Roman"/>
          <w:b/>
          <w:sz w:val="24"/>
          <w:szCs w:val="24"/>
        </w:rPr>
        <w:t xml:space="preserve"> </w:t>
      </w:r>
    </w:p>
    <w:p w14:paraId="5B50CCC6" w14:textId="77777777" w:rsidR="000C7C3B" w:rsidRP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F003E0">
        <w:rPr>
          <w:rFonts w:cs="Times New Roman"/>
          <w:b/>
          <w:sz w:val="36"/>
          <w:szCs w:val="36"/>
          <w:u w:val="single"/>
        </w:rPr>
        <w:lastRenderedPageBreak/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tbl>
      <w:tblPr>
        <w:tblW w:w="9490" w:type="dxa"/>
        <w:tblInd w:w="10" w:type="dxa"/>
        <w:tblCellMar>
          <w:top w:w="9" w:type="dxa"/>
          <w:left w:w="72" w:type="dxa"/>
        </w:tblCellMar>
        <w:tblLook w:val="04A0" w:firstRow="1" w:lastRow="0" w:firstColumn="1" w:lastColumn="0" w:noHBand="0" w:noVBand="1"/>
      </w:tblPr>
      <w:tblGrid>
        <w:gridCol w:w="4954"/>
        <w:gridCol w:w="989"/>
        <w:gridCol w:w="854"/>
        <w:gridCol w:w="1272"/>
        <w:gridCol w:w="1421"/>
      </w:tblGrid>
      <w:tr w:rsidR="0046499B" w:rsidRPr="00F003E0" w14:paraId="02A434CC" w14:textId="77777777" w:rsidTr="00BD238A">
        <w:trPr>
          <w:trHeight w:val="581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628F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Ocenění jednotlivých etap plnění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7B6A2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MJ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61E8B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Počet MJ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B574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Cena za MJ bez DPH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3FFD3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Cena celkem </w:t>
            </w:r>
          </w:p>
          <w:p w14:paraId="216A35F1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 v Kč </w:t>
            </w:r>
          </w:p>
        </w:tc>
      </w:tr>
      <w:tr w:rsidR="0046499B" w:rsidRPr="00F003E0" w14:paraId="26885ABD" w14:textId="77777777" w:rsidTr="00BD238A">
        <w:trPr>
          <w:trHeight w:val="773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A2C34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Příprava podkladů - scénář, studium projektové dokumentace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ECCA3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82D3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AB00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CEA61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F003E0" w14:paraId="5B7991E2" w14:textId="77777777" w:rsidTr="00BD238A">
        <w:trPr>
          <w:trHeight w:val="701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DD3C9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Příprava podkladů pro prezentaci projektu - finální scénář, komentář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298AB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79903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5C71A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4276E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F003E0" w14:paraId="00B99264" w14:textId="77777777" w:rsidTr="00BD238A">
        <w:trPr>
          <w:trHeight w:val="547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E6CBB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Zpracování terénu - model, textury, úpravy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E35C6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1BFBA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51165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92CD3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F003E0" w14:paraId="27FF3534" w14:textId="77777777" w:rsidTr="00BD238A">
        <w:trPr>
          <w:trHeight w:val="542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1C3D8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Zpracování jednotlivých modelů - objekty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3142F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9FE6E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29402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4E699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F003E0" w14:paraId="3D6B5D60" w14:textId="77777777" w:rsidTr="00BD238A">
        <w:trPr>
          <w:trHeight w:val="629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8D985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Začlenění trasy do terénu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D7DAF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8F86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DBF33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CF838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F003E0" w14:paraId="4387B1AA" w14:textId="77777777" w:rsidTr="00BD238A">
        <w:trPr>
          <w:trHeight w:val="706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A0E54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Kompozice - stabilizace obrazu, kompozice, tracking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4A047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5B5FB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3577E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5989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F003E0" w14:paraId="7C251348" w14:textId="77777777" w:rsidTr="00BD238A">
        <w:trPr>
          <w:trHeight w:val="562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798E1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Animace - animace objektů a jednotlivých kamer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0CC92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4FF44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1A1B4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5539B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F003E0" w14:paraId="561E47AC" w14:textId="77777777" w:rsidTr="00BD238A">
        <w:trPr>
          <w:trHeight w:val="547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1B747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Rendering - náhledový v průběhu prací a finální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FE08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2737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32633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D40DE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F003E0" w14:paraId="0B01D7BD" w14:textId="77777777" w:rsidTr="00BD238A">
        <w:trPr>
          <w:trHeight w:val="888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06A76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Prezentace formou videokompozice - export, střih, efekty, barevné korekce, zvuky, hudba, komentář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11247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6E65D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05CF1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7D9D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499B" w:rsidRPr="0046499B" w14:paraId="600223C2" w14:textId="77777777" w:rsidTr="00BD238A">
        <w:trPr>
          <w:trHeight w:val="566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301F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7B48F385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b/>
                <w:sz w:val="24"/>
                <w:szCs w:val="24"/>
              </w:rPr>
              <w:t xml:space="preserve">Celkem bez DPH </w:t>
            </w:r>
            <w:r w:rsidRPr="00F003E0">
              <w:rPr>
                <w:rFonts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B3227D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3EE1E9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6D92F1" w14:textId="77777777" w:rsidR="0046499B" w:rsidRPr="0046499B" w:rsidRDefault="0046499B" w:rsidP="00BD238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AB0595" w14:textId="16042055" w:rsidR="0046499B" w:rsidRPr="0046499B" w:rsidRDefault="0046499B" w:rsidP="00BD238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6499B">
              <w:rPr>
                <w:rFonts w:cs="Times New Roman"/>
                <w:b/>
                <w:sz w:val="24"/>
                <w:szCs w:val="24"/>
              </w:rPr>
              <w:t>238 000</w:t>
            </w:r>
          </w:p>
        </w:tc>
      </w:tr>
      <w:tr w:rsidR="0046499B" w:rsidRPr="00F003E0" w14:paraId="7902C94D" w14:textId="77777777" w:rsidTr="00BD238A">
        <w:trPr>
          <w:trHeight w:val="506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2A26A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4BDADA6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DPH 21% </w:t>
            </w:r>
            <w:r w:rsidRPr="00F003E0">
              <w:rPr>
                <w:rFonts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BB9DC9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A0F1C0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672266" w14:textId="41CEC382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9F801D" w14:textId="10A35AE3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49 980</w:t>
            </w:r>
          </w:p>
        </w:tc>
      </w:tr>
      <w:tr w:rsidR="0046499B" w:rsidRPr="00F003E0" w14:paraId="7BFE7315" w14:textId="77777777" w:rsidTr="00BD238A">
        <w:trPr>
          <w:trHeight w:val="504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76F8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3E0">
              <w:rPr>
                <w:rFonts w:cs="Times New Roman"/>
                <w:sz w:val="24"/>
                <w:szCs w:val="24"/>
              </w:rPr>
              <w:t xml:space="preserve"> Cena celkem vč. DPH </w:t>
            </w:r>
            <w:r w:rsidRPr="00F003E0">
              <w:rPr>
                <w:rFonts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6E0CCB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ED9599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90DDDB" w14:textId="77777777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BFB23" w14:textId="4D836334" w:rsidR="0046499B" w:rsidRPr="00F003E0" w:rsidRDefault="0046499B" w:rsidP="00BD23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287 980</w:t>
            </w:r>
          </w:p>
        </w:tc>
      </w:tr>
    </w:tbl>
    <w:p w14:paraId="507ADB83" w14:textId="0DCAB564" w:rsidR="000C7C3B" w:rsidRPr="000C7C8D" w:rsidRDefault="000C7C3B" w:rsidP="00EC18C0">
      <w:pPr>
        <w:jc w:val="both"/>
        <w:rPr>
          <w:sz w:val="24"/>
          <w:szCs w:val="24"/>
        </w:rPr>
      </w:pPr>
    </w:p>
    <w:sectPr w:rsidR="000C7C3B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B995" w14:textId="37E0AB27" w:rsidR="008E3E46" w:rsidRDefault="008E3E46">
    <w:pPr>
      <w:pStyle w:val="Zpat"/>
      <w:jc w:val="center"/>
    </w:pPr>
  </w:p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59C7C8D8" w:rsidR="00EC18C0" w:rsidRPr="0046499B" w:rsidRDefault="00EC18C0" w:rsidP="004649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91B5E"/>
    <w:rsid w:val="0019503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6499B"/>
    <w:rsid w:val="004B1430"/>
    <w:rsid w:val="004D5C72"/>
    <w:rsid w:val="005274AA"/>
    <w:rsid w:val="00542302"/>
    <w:rsid w:val="00565D34"/>
    <w:rsid w:val="005845D4"/>
    <w:rsid w:val="00585166"/>
    <w:rsid w:val="005C65D9"/>
    <w:rsid w:val="005D5D80"/>
    <w:rsid w:val="006024F2"/>
    <w:rsid w:val="00604890"/>
    <w:rsid w:val="00607143"/>
    <w:rsid w:val="00672DAC"/>
    <w:rsid w:val="0069013D"/>
    <w:rsid w:val="006B70E5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E3813"/>
    <w:rsid w:val="007F1C6E"/>
    <w:rsid w:val="00841EC0"/>
    <w:rsid w:val="0086751E"/>
    <w:rsid w:val="0087408F"/>
    <w:rsid w:val="008E3E46"/>
    <w:rsid w:val="008F156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7460"/>
    <w:rsid w:val="00A913B3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BF7155"/>
    <w:rsid w:val="00C01C05"/>
    <w:rsid w:val="00C10B95"/>
    <w:rsid w:val="00C3475E"/>
    <w:rsid w:val="00C429EB"/>
    <w:rsid w:val="00C44CA3"/>
    <w:rsid w:val="00C53805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B5E8B"/>
    <w:rsid w:val="00DD6B42"/>
    <w:rsid w:val="00DE713C"/>
    <w:rsid w:val="00DE7F99"/>
    <w:rsid w:val="00E71FCA"/>
    <w:rsid w:val="00EA2967"/>
    <w:rsid w:val="00EC18C0"/>
    <w:rsid w:val="00EF028F"/>
    <w:rsid w:val="00EF78BB"/>
    <w:rsid w:val="00F003E0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dislava.martinkova@rs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oslav.blabol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FF24-88D2-4AB2-929C-3DAEB5C9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6</cp:revision>
  <cp:lastPrinted>2017-02-21T10:07:00Z</cp:lastPrinted>
  <dcterms:created xsi:type="dcterms:W3CDTF">2019-10-04T10:08:00Z</dcterms:created>
  <dcterms:modified xsi:type="dcterms:W3CDTF">2019-10-04T10:29:00Z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