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13" w:rsidRPr="00E0339D" w:rsidRDefault="00472213">
      <w:pPr>
        <w:jc w:val="center"/>
        <w:rPr>
          <w:b/>
          <w:bCs/>
          <w:sz w:val="32"/>
          <w:szCs w:val="32"/>
        </w:rPr>
      </w:pPr>
      <w:r w:rsidRPr="00E0339D">
        <w:rPr>
          <w:b/>
          <w:bCs/>
          <w:sz w:val="32"/>
          <w:szCs w:val="32"/>
        </w:rPr>
        <w:t xml:space="preserve">Dodatek č. </w:t>
      </w:r>
      <w:r>
        <w:rPr>
          <w:b/>
          <w:bCs/>
          <w:sz w:val="32"/>
          <w:szCs w:val="32"/>
        </w:rPr>
        <w:t>4</w:t>
      </w:r>
    </w:p>
    <w:p w:rsidR="00472213" w:rsidRDefault="00472213">
      <w:pPr>
        <w:jc w:val="center"/>
      </w:pPr>
      <w:r w:rsidRPr="00E0339D">
        <w:t xml:space="preserve">uzavřený podle § </w:t>
      </w:r>
      <w:r w:rsidRPr="006B7EB5">
        <w:t>222 odst. 5, 6, 7 zákona</w:t>
      </w:r>
      <w:r w:rsidRPr="00E0339D">
        <w:t xml:space="preserve"> č. 134/2016 Sb., </w:t>
      </w:r>
    </w:p>
    <w:p w:rsidR="00472213" w:rsidRPr="00396762" w:rsidRDefault="00472213">
      <w:pPr>
        <w:jc w:val="center"/>
      </w:pPr>
      <w:r w:rsidRPr="00E0339D">
        <w:t>o zadávání veřejných zakázek v platném znění (dále jen také „Zákon“)</w:t>
      </w:r>
    </w:p>
    <w:p w:rsidR="00472213" w:rsidRDefault="00472213">
      <w:pPr>
        <w:jc w:val="center"/>
        <w:rPr>
          <w:b/>
          <w:bCs/>
          <w:sz w:val="28"/>
          <w:szCs w:val="28"/>
        </w:rPr>
      </w:pPr>
      <w:r w:rsidRPr="00C614B2">
        <w:rPr>
          <w:b/>
          <w:bCs/>
          <w:sz w:val="28"/>
          <w:szCs w:val="28"/>
        </w:rPr>
        <w:t xml:space="preserve">ke smlouvě o </w:t>
      </w:r>
      <w:r w:rsidRPr="00A1234B">
        <w:rPr>
          <w:b/>
          <w:bCs/>
          <w:sz w:val="28"/>
          <w:szCs w:val="28"/>
        </w:rPr>
        <w:t>dílo na realizaci stavby</w:t>
      </w:r>
      <w:bookmarkStart w:id="0" w:name="_GoBack"/>
      <w:bookmarkEnd w:id="0"/>
    </w:p>
    <w:p w:rsidR="00472213" w:rsidRDefault="00472213" w:rsidP="00882013">
      <w:pPr>
        <w:ind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„Revitalizace prostoru parkánů historického jádra v Kadani – </w:t>
      </w:r>
      <w:smartTag w:uri="urn:schemas-microsoft-com:office:smarttags" w:element="metricconverter">
        <w:smartTagPr>
          <w:attr w:name="ProductID" w:val="3. a"/>
        </w:smartTagPr>
        <w:r>
          <w:rPr>
            <w:b/>
            <w:bCs/>
            <w:sz w:val="28"/>
            <w:szCs w:val="28"/>
          </w:rPr>
          <w:t>3. a</w:t>
        </w:r>
      </w:smartTag>
      <w:r>
        <w:rPr>
          <w:b/>
          <w:bCs/>
          <w:sz w:val="28"/>
          <w:szCs w:val="28"/>
        </w:rPr>
        <w:t xml:space="preserve"> 4. segment“</w:t>
      </w:r>
    </w:p>
    <w:p w:rsidR="00472213" w:rsidRPr="00882013" w:rsidRDefault="00472213">
      <w:pPr>
        <w:jc w:val="center"/>
        <w:rPr>
          <w:b/>
          <w:bCs/>
          <w:sz w:val="24"/>
          <w:szCs w:val="24"/>
        </w:rPr>
      </w:pPr>
      <w:r w:rsidRPr="00882013">
        <w:rPr>
          <w:b/>
          <w:bCs/>
          <w:sz w:val="24"/>
          <w:szCs w:val="24"/>
        </w:rPr>
        <w:t>č. 00138-OVY/2018 (objednatel), resp. 14527/18 (zhotovitel)</w:t>
      </w:r>
    </w:p>
    <w:p w:rsidR="00472213" w:rsidRPr="00E0339D" w:rsidRDefault="00472213">
      <w:pPr>
        <w:jc w:val="center"/>
        <w:rPr>
          <w:szCs w:val="16"/>
        </w:rPr>
      </w:pPr>
      <w:r w:rsidRPr="00FF7EF7">
        <w:rPr>
          <w:szCs w:val="16"/>
        </w:rPr>
        <w:t xml:space="preserve">uzavřené v souladu s § 2586 a násl. Zákona č. 89/2012 Sb., občanský zákoníku (dále jen zákon), mezi níže </w:t>
      </w:r>
      <w:r w:rsidRPr="00E0339D">
        <w:rPr>
          <w:szCs w:val="16"/>
        </w:rPr>
        <w:t>uvedenými smluvními stranami (dále jen také „Dodatek“, resp. „Smlouva“)</w:t>
      </w:r>
    </w:p>
    <w:p w:rsidR="00472213" w:rsidRDefault="00472213">
      <w:pPr>
        <w:rPr>
          <w:sz w:val="24"/>
        </w:rPr>
      </w:pPr>
    </w:p>
    <w:p w:rsidR="00472213" w:rsidRPr="00350CAC" w:rsidRDefault="00472213">
      <w:pPr>
        <w:jc w:val="center"/>
        <w:rPr>
          <w:b/>
          <w:bCs/>
          <w:sz w:val="22"/>
          <w:szCs w:val="22"/>
        </w:rPr>
      </w:pPr>
      <w:r w:rsidRPr="00350CAC">
        <w:rPr>
          <w:b/>
          <w:bCs/>
          <w:sz w:val="22"/>
          <w:szCs w:val="22"/>
        </w:rPr>
        <w:t xml:space="preserve">I. </w:t>
      </w:r>
    </w:p>
    <w:p w:rsidR="00472213" w:rsidRPr="00350CAC" w:rsidRDefault="00472213">
      <w:pPr>
        <w:jc w:val="center"/>
        <w:rPr>
          <w:b/>
          <w:bCs/>
          <w:sz w:val="22"/>
          <w:szCs w:val="22"/>
        </w:rPr>
      </w:pPr>
      <w:r w:rsidRPr="00350CAC">
        <w:rPr>
          <w:b/>
          <w:bCs/>
          <w:sz w:val="22"/>
          <w:szCs w:val="22"/>
        </w:rPr>
        <w:t>Smluvní strany</w:t>
      </w:r>
    </w:p>
    <w:p w:rsidR="00472213" w:rsidRPr="00350CAC" w:rsidRDefault="00472213">
      <w:pPr>
        <w:tabs>
          <w:tab w:val="left" w:pos="2160"/>
          <w:tab w:val="left" w:pos="3420"/>
        </w:tabs>
        <w:jc w:val="both"/>
        <w:rPr>
          <w:sz w:val="8"/>
          <w:szCs w:val="8"/>
        </w:rPr>
      </w:pPr>
    </w:p>
    <w:p w:rsidR="00472213" w:rsidRPr="00350CAC" w:rsidRDefault="00472213">
      <w:pPr>
        <w:tabs>
          <w:tab w:val="left" w:pos="2160"/>
          <w:tab w:val="left" w:pos="3420"/>
        </w:tabs>
        <w:jc w:val="both"/>
        <w:rPr>
          <w:b/>
          <w:sz w:val="22"/>
          <w:szCs w:val="22"/>
        </w:rPr>
      </w:pPr>
      <w:r w:rsidRPr="00350CAC">
        <w:rPr>
          <w:b/>
          <w:bCs/>
          <w:sz w:val="22"/>
          <w:szCs w:val="22"/>
        </w:rPr>
        <w:t>Objednatel :</w:t>
      </w:r>
      <w:r w:rsidRPr="00350CAC">
        <w:rPr>
          <w:b/>
          <w:bCs/>
          <w:sz w:val="22"/>
          <w:szCs w:val="22"/>
        </w:rPr>
        <w:tab/>
      </w:r>
      <w:r w:rsidRPr="00350CAC">
        <w:rPr>
          <w:b/>
          <w:sz w:val="22"/>
          <w:szCs w:val="22"/>
        </w:rPr>
        <w:t>Město Kadaň</w:t>
      </w:r>
    </w:p>
    <w:p w:rsidR="00472213" w:rsidRPr="00350CAC" w:rsidRDefault="00472213">
      <w:pPr>
        <w:rPr>
          <w:sz w:val="22"/>
          <w:szCs w:val="22"/>
        </w:rPr>
      </w:pPr>
      <w:r w:rsidRPr="00350CAC">
        <w:rPr>
          <w:b/>
          <w:sz w:val="22"/>
          <w:szCs w:val="22"/>
        </w:rPr>
        <w:t xml:space="preserve">Zastoupený: </w:t>
      </w:r>
      <w:r w:rsidRPr="00350CAC">
        <w:rPr>
          <w:sz w:val="22"/>
          <w:szCs w:val="22"/>
        </w:rPr>
        <w:tab/>
      </w:r>
      <w:r w:rsidRPr="00350CAC">
        <w:rPr>
          <w:sz w:val="22"/>
          <w:szCs w:val="22"/>
        </w:rPr>
        <w:tab/>
        <w:t>PaedDr. Jiřím Kulhánkem, starostou</w:t>
      </w:r>
    </w:p>
    <w:p w:rsidR="00472213" w:rsidRPr="00350CAC" w:rsidRDefault="00472213">
      <w:pPr>
        <w:tabs>
          <w:tab w:val="left" w:pos="2160"/>
          <w:tab w:val="left" w:pos="3420"/>
        </w:tabs>
        <w:jc w:val="both"/>
        <w:rPr>
          <w:b/>
          <w:bCs/>
          <w:sz w:val="22"/>
          <w:szCs w:val="22"/>
        </w:rPr>
      </w:pPr>
      <w:r w:rsidRPr="00350CAC">
        <w:rPr>
          <w:b/>
          <w:bCs/>
          <w:sz w:val="22"/>
          <w:szCs w:val="22"/>
        </w:rPr>
        <w:t>Sídlo:</w:t>
      </w:r>
      <w:r w:rsidRPr="00350CAC">
        <w:rPr>
          <w:b/>
          <w:bCs/>
          <w:sz w:val="22"/>
          <w:szCs w:val="22"/>
        </w:rPr>
        <w:tab/>
      </w:r>
      <w:r w:rsidRPr="00350CAC">
        <w:rPr>
          <w:bCs/>
          <w:sz w:val="22"/>
          <w:szCs w:val="22"/>
        </w:rPr>
        <w:t>432 01 Kadaň, Mírové náměstí čp. 1</w:t>
      </w:r>
      <w:r w:rsidRPr="00350CAC">
        <w:rPr>
          <w:b/>
          <w:bCs/>
          <w:sz w:val="22"/>
          <w:szCs w:val="22"/>
        </w:rPr>
        <w:t xml:space="preserve"> </w:t>
      </w:r>
    </w:p>
    <w:p w:rsidR="00472213" w:rsidRPr="00350CAC" w:rsidRDefault="00472213" w:rsidP="00CB6F14">
      <w:pPr>
        <w:tabs>
          <w:tab w:val="left" w:pos="2160"/>
          <w:tab w:val="left" w:pos="3420"/>
        </w:tabs>
        <w:jc w:val="both"/>
        <w:rPr>
          <w:sz w:val="22"/>
          <w:szCs w:val="22"/>
        </w:rPr>
      </w:pPr>
      <w:r w:rsidRPr="00350CAC">
        <w:rPr>
          <w:b/>
          <w:bCs/>
          <w:sz w:val="22"/>
          <w:szCs w:val="22"/>
        </w:rPr>
        <w:t>IČO / DIČ:</w:t>
      </w:r>
      <w:r w:rsidRPr="00350CAC">
        <w:rPr>
          <w:b/>
          <w:bCs/>
          <w:sz w:val="22"/>
          <w:szCs w:val="22"/>
        </w:rPr>
        <w:tab/>
      </w:r>
      <w:r w:rsidRPr="00350CAC">
        <w:rPr>
          <w:sz w:val="22"/>
          <w:szCs w:val="22"/>
        </w:rPr>
        <w:t>00261912 / CZ00261912</w:t>
      </w:r>
    </w:p>
    <w:p w:rsidR="00472213" w:rsidRPr="00350CAC" w:rsidRDefault="00472213">
      <w:pPr>
        <w:tabs>
          <w:tab w:val="left" w:pos="2160"/>
        </w:tabs>
        <w:rPr>
          <w:sz w:val="22"/>
          <w:szCs w:val="22"/>
        </w:rPr>
      </w:pPr>
      <w:r w:rsidRPr="00350CAC">
        <w:rPr>
          <w:b/>
          <w:sz w:val="22"/>
          <w:szCs w:val="22"/>
        </w:rPr>
        <w:t>Bankovní spojení:</w:t>
      </w:r>
      <w:r w:rsidRPr="00350CAC">
        <w:rPr>
          <w:b/>
          <w:sz w:val="22"/>
          <w:szCs w:val="22"/>
        </w:rPr>
        <w:tab/>
      </w:r>
      <w:r>
        <w:rPr>
          <w:sz w:val="22"/>
          <w:szCs w:val="22"/>
        </w:rPr>
        <w:t>xxxxxxxxxxxxxxxx</w:t>
      </w:r>
    </w:p>
    <w:p w:rsidR="00472213" w:rsidRPr="00882013" w:rsidRDefault="00472213">
      <w:pPr>
        <w:rPr>
          <w:bCs/>
          <w:sz w:val="16"/>
          <w:szCs w:val="16"/>
        </w:rPr>
      </w:pPr>
    </w:p>
    <w:p w:rsidR="00472213" w:rsidRPr="00350CAC" w:rsidRDefault="00472213">
      <w:pPr>
        <w:tabs>
          <w:tab w:val="left" w:pos="2160"/>
        </w:tabs>
        <w:rPr>
          <w:b/>
          <w:bCs/>
          <w:sz w:val="22"/>
          <w:szCs w:val="22"/>
        </w:rPr>
      </w:pPr>
      <w:r w:rsidRPr="00350CAC">
        <w:rPr>
          <w:b/>
          <w:bCs/>
          <w:sz w:val="22"/>
          <w:szCs w:val="22"/>
        </w:rPr>
        <w:t>Zhotovitel:</w:t>
      </w:r>
      <w:r w:rsidRPr="00350CAC">
        <w:rPr>
          <w:b/>
          <w:bCs/>
          <w:sz w:val="22"/>
          <w:szCs w:val="22"/>
        </w:rPr>
        <w:tab/>
        <w:t>FRK s.r.o.</w:t>
      </w:r>
    </w:p>
    <w:p w:rsidR="00472213" w:rsidRPr="00350CAC" w:rsidRDefault="00472213">
      <w:pPr>
        <w:ind w:left="2160"/>
        <w:rPr>
          <w:sz w:val="22"/>
          <w:szCs w:val="22"/>
        </w:rPr>
      </w:pPr>
      <w:r w:rsidRPr="00350CAC">
        <w:rPr>
          <w:sz w:val="22"/>
          <w:szCs w:val="22"/>
        </w:rPr>
        <w:t xml:space="preserve">zapsaný do obchodního rejstříku vedeného Krajským soudem v Ústí nad Labem, oddíl C, vložka 6897 </w:t>
      </w:r>
    </w:p>
    <w:p w:rsidR="00472213" w:rsidRPr="00350CAC" w:rsidRDefault="00472213">
      <w:pPr>
        <w:tabs>
          <w:tab w:val="left" w:pos="2160"/>
        </w:tabs>
        <w:rPr>
          <w:sz w:val="22"/>
          <w:szCs w:val="22"/>
        </w:rPr>
      </w:pPr>
      <w:r w:rsidRPr="00350CAC">
        <w:rPr>
          <w:b/>
          <w:sz w:val="22"/>
          <w:szCs w:val="22"/>
        </w:rPr>
        <w:t>Zastoupený:</w:t>
      </w:r>
      <w:r w:rsidRPr="00350CAC">
        <w:rPr>
          <w:sz w:val="22"/>
          <w:szCs w:val="22"/>
        </w:rPr>
        <w:t xml:space="preserve"> </w:t>
      </w:r>
      <w:r w:rsidRPr="00350CAC">
        <w:rPr>
          <w:sz w:val="22"/>
          <w:szCs w:val="22"/>
        </w:rPr>
        <w:tab/>
        <w:t>Ahmadem Raadem, jednatelem</w:t>
      </w:r>
    </w:p>
    <w:p w:rsidR="00472213" w:rsidRPr="00350CAC" w:rsidRDefault="00472213">
      <w:pPr>
        <w:tabs>
          <w:tab w:val="left" w:pos="2160"/>
        </w:tabs>
        <w:rPr>
          <w:b/>
          <w:bCs/>
          <w:sz w:val="22"/>
          <w:szCs w:val="22"/>
        </w:rPr>
      </w:pPr>
      <w:r w:rsidRPr="00350CAC">
        <w:rPr>
          <w:b/>
          <w:bCs/>
          <w:sz w:val="22"/>
          <w:szCs w:val="22"/>
        </w:rPr>
        <w:t>Sídlo:</w:t>
      </w:r>
      <w:r w:rsidRPr="00350CAC">
        <w:rPr>
          <w:b/>
          <w:bCs/>
          <w:sz w:val="22"/>
          <w:szCs w:val="22"/>
        </w:rPr>
        <w:tab/>
      </w:r>
      <w:r w:rsidRPr="00350CAC">
        <w:rPr>
          <w:bCs/>
          <w:sz w:val="22"/>
          <w:szCs w:val="22"/>
        </w:rPr>
        <w:t>Chomutovská 1254, 432 01 Kadaň</w:t>
      </w:r>
    </w:p>
    <w:p w:rsidR="00472213" w:rsidRPr="00350CAC" w:rsidRDefault="00472213">
      <w:pPr>
        <w:tabs>
          <w:tab w:val="left" w:pos="2160"/>
        </w:tabs>
        <w:rPr>
          <w:sz w:val="22"/>
          <w:szCs w:val="22"/>
        </w:rPr>
      </w:pPr>
      <w:r w:rsidRPr="00350CAC">
        <w:rPr>
          <w:b/>
          <w:bCs/>
          <w:sz w:val="22"/>
          <w:szCs w:val="22"/>
        </w:rPr>
        <w:t>IČO / DIČ:</w:t>
      </w:r>
      <w:r w:rsidRPr="00350CAC">
        <w:rPr>
          <w:b/>
          <w:bCs/>
          <w:sz w:val="22"/>
          <w:szCs w:val="22"/>
        </w:rPr>
        <w:tab/>
      </w:r>
      <w:r w:rsidRPr="00350CAC">
        <w:rPr>
          <w:bCs/>
          <w:sz w:val="22"/>
          <w:szCs w:val="22"/>
        </w:rPr>
        <w:t>613 24 817 CZ61324817</w:t>
      </w:r>
    </w:p>
    <w:p w:rsidR="00472213" w:rsidRPr="00350CAC" w:rsidRDefault="00472213" w:rsidP="0041757F">
      <w:pPr>
        <w:tabs>
          <w:tab w:val="left" w:pos="2160"/>
          <w:tab w:val="left" w:pos="3420"/>
        </w:tabs>
        <w:rPr>
          <w:bCs/>
          <w:sz w:val="22"/>
          <w:szCs w:val="22"/>
        </w:rPr>
      </w:pPr>
      <w:r w:rsidRPr="00350CAC">
        <w:rPr>
          <w:b/>
          <w:bCs/>
          <w:sz w:val="22"/>
          <w:szCs w:val="22"/>
        </w:rPr>
        <w:t>Bankovní spojení:</w:t>
      </w:r>
      <w:r w:rsidRPr="00350CAC"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xxxxxxxxxxxxxxxxxxxxxxxxxxx</w:t>
      </w:r>
    </w:p>
    <w:p w:rsidR="00472213" w:rsidRPr="00350CAC" w:rsidRDefault="00472213" w:rsidP="0041757F">
      <w:pPr>
        <w:tabs>
          <w:tab w:val="left" w:pos="2160"/>
          <w:tab w:val="left" w:pos="3420"/>
        </w:tabs>
        <w:rPr>
          <w:sz w:val="22"/>
          <w:szCs w:val="22"/>
        </w:rPr>
      </w:pPr>
      <w:r w:rsidRPr="00350CAC">
        <w:rPr>
          <w:b/>
          <w:sz w:val="22"/>
          <w:szCs w:val="22"/>
        </w:rPr>
        <w:t>Tel. / e-mail:</w:t>
      </w:r>
      <w:r w:rsidRPr="00350CAC">
        <w:rPr>
          <w:b/>
          <w:sz w:val="22"/>
          <w:szCs w:val="22"/>
        </w:rPr>
        <w:tab/>
      </w:r>
      <w:r>
        <w:rPr>
          <w:sz w:val="22"/>
          <w:szCs w:val="22"/>
        </w:rPr>
        <w:t>xxxxxxxxxxxxxxxxxxxxxxxxxxx</w:t>
      </w:r>
    </w:p>
    <w:p w:rsidR="00472213" w:rsidRPr="005C44A1" w:rsidRDefault="00472213">
      <w:pPr>
        <w:rPr>
          <w:sz w:val="22"/>
          <w:szCs w:val="22"/>
        </w:rPr>
      </w:pPr>
    </w:p>
    <w:p w:rsidR="00472213" w:rsidRPr="005C44A1" w:rsidRDefault="00472213">
      <w:pPr>
        <w:rPr>
          <w:sz w:val="22"/>
          <w:szCs w:val="22"/>
        </w:rPr>
      </w:pPr>
    </w:p>
    <w:p w:rsidR="00472213" w:rsidRPr="005C44A1" w:rsidRDefault="00472213" w:rsidP="00F659C4">
      <w:pPr>
        <w:jc w:val="center"/>
        <w:rPr>
          <w:b/>
          <w:bCs/>
          <w:sz w:val="22"/>
          <w:szCs w:val="22"/>
        </w:rPr>
      </w:pPr>
      <w:r w:rsidRPr="005C44A1">
        <w:rPr>
          <w:b/>
          <w:bCs/>
          <w:sz w:val="22"/>
          <w:szCs w:val="22"/>
        </w:rPr>
        <w:t>II. Předmět Dodatku</w:t>
      </w:r>
    </w:p>
    <w:p w:rsidR="00472213" w:rsidRPr="00350CAC" w:rsidRDefault="00472213">
      <w:pPr>
        <w:rPr>
          <w:sz w:val="8"/>
          <w:szCs w:val="8"/>
        </w:rPr>
      </w:pPr>
    </w:p>
    <w:p w:rsidR="00472213" w:rsidRPr="005C44A1" w:rsidRDefault="00472213" w:rsidP="00E0339D">
      <w:pPr>
        <w:jc w:val="both"/>
        <w:rPr>
          <w:bCs/>
          <w:sz w:val="22"/>
          <w:szCs w:val="22"/>
        </w:rPr>
      </w:pPr>
      <w:r w:rsidRPr="005C44A1">
        <w:rPr>
          <w:bCs/>
          <w:sz w:val="22"/>
          <w:szCs w:val="22"/>
        </w:rPr>
        <w:t xml:space="preserve">Důvodem uzavření tohoto Dodatku jsou změny, které jsou popsány ve změnových listech ZL č. </w:t>
      </w:r>
      <w:r>
        <w:rPr>
          <w:bCs/>
          <w:sz w:val="22"/>
          <w:szCs w:val="22"/>
        </w:rPr>
        <w:t xml:space="preserve">022 </w:t>
      </w:r>
      <w:r w:rsidRPr="005C44A1">
        <w:rPr>
          <w:bCs/>
          <w:sz w:val="22"/>
          <w:szCs w:val="22"/>
        </w:rPr>
        <w:t xml:space="preserve"> až </w:t>
      </w:r>
      <w:r>
        <w:rPr>
          <w:bCs/>
          <w:sz w:val="22"/>
          <w:szCs w:val="22"/>
        </w:rPr>
        <w:t>032</w:t>
      </w:r>
      <w:r w:rsidRPr="005C44A1">
        <w:rPr>
          <w:bCs/>
          <w:sz w:val="22"/>
          <w:szCs w:val="22"/>
        </w:rPr>
        <w:t xml:space="preserve">, které jsou přílohou tohoto Dodatku </w:t>
      </w:r>
      <w:r w:rsidRPr="00721699">
        <w:rPr>
          <w:bCs/>
          <w:sz w:val="22"/>
          <w:szCs w:val="22"/>
        </w:rPr>
        <w:t>včetně odůvodnění.</w:t>
      </w:r>
    </w:p>
    <w:p w:rsidR="00472213" w:rsidRPr="00882013" w:rsidRDefault="00472213" w:rsidP="00E0339D">
      <w:pPr>
        <w:jc w:val="both"/>
        <w:rPr>
          <w:bCs/>
          <w:sz w:val="12"/>
          <w:szCs w:val="12"/>
        </w:rPr>
      </w:pPr>
      <w:r w:rsidRPr="00882013">
        <w:rPr>
          <w:bCs/>
          <w:sz w:val="12"/>
          <w:szCs w:val="12"/>
        </w:rPr>
        <w:t xml:space="preserve"> </w:t>
      </w:r>
    </w:p>
    <w:p w:rsidR="00472213" w:rsidRDefault="00472213" w:rsidP="00E0339D">
      <w:pPr>
        <w:jc w:val="both"/>
        <w:rPr>
          <w:bCs/>
          <w:sz w:val="22"/>
          <w:szCs w:val="22"/>
        </w:rPr>
      </w:pPr>
      <w:r w:rsidRPr="005C44A1">
        <w:rPr>
          <w:b/>
          <w:sz w:val="22"/>
          <w:szCs w:val="22"/>
        </w:rPr>
        <w:t>1)</w:t>
      </w:r>
      <w:r w:rsidRPr="005C44A1">
        <w:rPr>
          <w:bCs/>
          <w:sz w:val="22"/>
          <w:szCs w:val="22"/>
        </w:rPr>
        <w:t xml:space="preserve"> Změny uvedené </w:t>
      </w:r>
      <w:r w:rsidRPr="00E57CD1">
        <w:rPr>
          <w:bCs/>
          <w:sz w:val="22"/>
          <w:szCs w:val="22"/>
        </w:rPr>
        <w:t>ve ZL č. 022 až 025, 027 až 032</w:t>
      </w:r>
      <w:r w:rsidRPr="005C44A1">
        <w:rPr>
          <w:bCs/>
          <w:sz w:val="22"/>
          <w:szCs w:val="22"/>
        </w:rPr>
        <w:t xml:space="preserve"> jsou důsledkem skutečností, které nastaly až následně po uzavření Smlouvy a poté, co již byly zahájeny a prováděny práce na díle. Jedná se jednak o změny, resp. vícepráce (méněpráce), které nebyly součástí zadávací dokumentace, avšak jsou nezbytné pro dokončení díla (viz změnové listy č.: </w:t>
      </w:r>
      <w:r>
        <w:rPr>
          <w:bCs/>
          <w:sz w:val="22"/>
          <w:szCs w:val="22"/>
        </w:rPr>
        <w:t xml:space="preserve">022, 032, nezbytné sjezdy do staveniště včetně jejich likvidace a konečných úprav) </w:t>
      </w:r>
      <w:r w:rsidRPr="005C44A1">
        <w:rPr>
          <w:bCs/>
          <w:sz w:val="22"/>
          <w:szCs w:val="22"/>
        </w:rPr>
        <w:t xml:space="preserve">a jednak také změny, které vznikly v důsledku okolností, které zadavatel nemohl při náležité péči předvídat (viz změnové listy č.: </w:t>
      </w:r>
      <w:r>
        <w:rPr>
          <w:bCs/>
          <w:sz w:val="22"/>
          <w:szCs w:val="22"/>
        </w:rPr>
        <w:t>025, 030 – obnažená omítka v rohu nádvoří a upřesnění elektroinstalace ve stávající TS</w:t>
      </w:r>
      <w:r w:rsidRPr="005C44A1">
        <w:rPr>
          <w:bCs/>
          <w:sz w:val="22"/>
          <w:szCs w:val="22"/>
        </w:rPr>
        <w:t xml:space="preserve">). V rámci uvedených změn jsou také určité záměny položek rozpočtu, jak je uvedeno v příslušných změnových listech č. </w:t>
      </w:r>
      <w:r>
        <w:rPr>
          <w:bCs/>
          <w:sz w:val="22"/>
          <w:szCs w:val="22"/>
        </w:rPr>
        <w:t xml:space="preserve">023, 024, 027, 028, </w:t>
      </w:r>
      <w:smartTag w:uri="urn:schemas-microsoft-com:office:smarttags" w:element="metricconverter">
        <w:smartTagPr>
          <w:attr w:name="ProductID" w:val="028 a"/>
        </w:smartTagPr>
        <w:r>
          <w:rPr>
            <w:bCs/>
            <w:sz w:val="22"/>
            <w:szCs w:val="22"/>
          </w:rPr>
          <w:t>029 a</w:t>
        </w:r>
      </w:smartTag>
      <w:r>
        <w:rPr>
          <w:bCs/>
          <w:sz w:val="22"/>
          <w:szCs w:val="22"/>
        </w:rPr>
        <w:t xml:space="preserve"> 031.</w:t>
      </w:r>
      <w:r w:rsidRPr="005C44A1">
        <w:rPr>
          <w:bCs/>
          <w:sz w:val="22"/>
          <w:szCs w:val="22"/>
        </w:rPr>
        <w:t xml:space="preserve"> Zejména se pak jednalo o změny související se zjištěnými nesoulady mezi projektovou dokumentací a výkazem </w:t>
      </w:r>
      <w:r>
        <w:rPr>
          <w:bCs/>
          <w:sz w:val="22"/>
          <w:szCs w:val="22"/>
        </w:rPr>
        <w:t xml:space="preserve">výměr a požadovanou skutečností. V prostoru kaštanu byly  povrchy oproti původní štětové dlažbě nahrazeny dubovými pražci a mlatovou plochou okolo kmenu stávajícího kaštanu. Nové plochy lépe vyhovují  ochraně kořenového systému (ZL 024). Schodiště nádvoří v důsledku  kolize betonových pražců po stavebních úpravách z 80. tých let bylo schodiště posunuto do středu plochy z nádvoří, a tím bylo nutné doplnit kamenné parapetní zídky, které zlepšují komfort schodiště. Na zídkách je upevněno oboustranné ocelové zábradlí, zabezpečující lepší a bezpečnou funkci pro užívání. </w:t>
      </w:r>
      <w:r w:rsidRPr="006B7EB5">
        <w:rPr>
          <w:bCs/>
          <w:sz w:val="22"/>
          <w:szCs w:val="22"/>
        </w:rPr>
        <w:t xml:space="preserve">Rovněž bylo doplněno zábradlí u schodiště bašta (viz. ZL 023, </w:t>
      </w:r>
      <w:smartTag w:uri="urn:schemas-microsoft-com:office:smarttags" w:element="metricconverter">
        <w:smartTagPr>
          <w:attr w:name="ProductID" w:val="028 a"/>
        </w:smartTagPr>
        <w:r w:rsidRPr="006B7EB5">
          <w:rPr>
            <w:bCs/>
            <w:sz w:val="22"/>
            <w:szCs w:val="22"/>
          </w:rPr>
          <w:t>028 a</w:t>
        </w:r>
      </w:smartTag>
      <w:r w:rsidRPr="006B7EB5">
        <w:rPr>
          <w:bCs/>
          <w:sz w:val="22"/>
          <w:szCs w:val="22"/>
        </w:rPr>
        <w:t xml:space="preserve"> 029).</w:t>
      </w:r>
      <w:r>
        <w:rPr>
          <w:bCs/>
          <w:sz w:val="22"/>
          <w:szCs w:val="22"/>
        </w:rPr>
        <w:t xml:space="preserve"> V apendixu byly nahrazeny distanční prvky u dubových pražců z pozinku za kvalitnější, vyrobených z cortenových plechů (viz. ZL 031). Altán byl proveden z kvalitnějšího řeziva opatřeného nátěry odolnými vůči venkovním vlivům, zajišťující delší životnost materiálu (ZL 027).</w:t>
      </w:r>
    </w:p>
    <w:p w:rsidR="00472213" w:rsidRPr="00882013" w:rsidRDefault="00472213" w:rsidP="00E0339D">
      <w:pPr>
        <w:jc w:val="both"/>
        <w:rPr>
          <w:bCs/>
          <w:sz w:val="12"/>
          <w:szCs w:val="12"/>
        </w:rPr>
      </w:pPr>
    </w:p>
    <w:p w:rsidR="00472213" w:rsidRPr="005C44A1" w:rsidRDefault="00472213" w:rsidP="00E0339D">
      <w:pPr>
        <w:jc w:val="both"/>
        <w:rPr>
          <w:bCs/>
          <w:sz w:val="22"/>
          <w:szCs w:val="22"/>
        </w:rPr>
      </w:pPr>
      <w:r w:rsidRPr="005C44A1">
        <w:rPr>
          <w:bCs/>
          <w:sz w:val="22"/>
          <w:szCs w:val="22"/>
        </w:rPr>
        <w:t xml:space="preserve">Uvedené změny bylo nutné realizovat průběžně v rámci provádění díla, a to s ohledem na plynulost prací a interoperabilitu se stávajícími poskytovanými pracemi, resp. stávajícím zhotovitelem, časové důvody (nelze s ohledem na povinné termíny objednatele realizovat dodatečné zadávací řízení) i ekonomické důvody (objednatel má smluvně v návaznosti na zadávací podmínky zajištěné ceny, které korespondují, resp. jsou v poměru nabídkové ceny, kterou nabídl v rámci zadávacího řízení zhotovitel a předpokládané hodnoty zakázky) není možné a také ani účelné tyto dodatečné práce zadat jinému dodavateli. </w:t>
      </w:r>
    </w:p>
    <w:p w:rsidR="00472213" w:rsidRPr="00882013" w:rsidRDefault="00472213" w:rsidP="00E0339D">
      <w:pPr>
        <w:jc w:val="both"/>
        <w:rPr>
          <w:bCs/>
          <w:sz w:val="16"/>
          <w:szCs w:val="16"/>
        </w:rPr>
      </w:pPr>
    </w:p>
    <w:p w:rsidR="00472213" w:rsidRPr="005C44A1" w:rsidRDefault="00472213" w:rsidP="00E0339D">
      <w:pPr>
        <w:jc w:val="both"/>
        <w:rPr>
          <w:bCs/>
          <w:sz w:val="22"/>
          <w:szCs w:val="22"/>
        </w:rPr>
      </w:pPr>
      <w:r w:rsidRPr="005C44A1">
        <w:rPr>
          <w:b/>
          <w:sz w:val="22"/>
          <w:szCs w:val="22"/>
        </w:rPr>
        <w:t>2)</w:t>
      </w:r>
      <w:r w:rsidRPr="005C44A1">
        <w:rPr>
          <w:bCs/>
          <w:sz w:val="22"/>
          <w:szCs w:val="22"/>
        </w:rPr>
        <w:t xml:space="preserve"> Dále pak je důvodem uzavření tohoto dodatku, resp. změn díla uvedených ve ZL č. </w:t>
      </w:r>
      <w:r>
        <w:rPr>
          <w:bCs/>
          <w:sz w:val="22"/>
          <w:szCs w:val="22"/>
        </w:rPr>
        <w:t>026</w:t>
      </w:r>
      <w:r w:rsidRPr="005C44A1">
        <w:rPr>
          <w:bCs/>
          <w:sz w:val="22"/>
          <w:szCs w:val="22"/>
        </w:rPr>
        <w:t xml:space="preserve"> (méně práce, resp. vypuštění „Kolonády“) skutečnost, že tyto práce, které by ještě měly být provedeny dle původní dokumentace, a s nimi související vícepráce (které nebyly uvedeny v původní projektové dokumentaci a byly zjištěny při shledání rozporů mezi projektovou dokumentací, výkazem výměr a požadovanou skutečností, by již svojí hodnotou neodpovídaly požadavkům uvedeným v ust. § 222 odst. 4 až 6 Zákona a zadavatel by se tak mohl dopustit porušení Zákona, pokud by pokračoval dále a tyto další změny neprovedl v souladu se Zákonem, tedy v daném případě provedením nového zadávacího řízení. Proto se smluvní strany dohodly v rámci tohoto dodatku na zúžení rozsahu díla, jak je uvedeno ve ZL č. </w:t>
      </w:r>
      <w:r>
        <w:rPr>
          <w:bCs/>
          <w:sz w:val="22"/>
          <w:szCs w:val="22"/>
        </w:rPr>
        <w:t>026</w:t>
      </w:r>
      <w:r w:rsidRPr="005C44A1">
        <w:rPr>
          <w:bCs/>
          <w:sz w:val="22"/>
          <w:szCs w:val="22"/>
        </w:rPr>
        <w:t xml:space="preserve"> s tím, že práce, o které se dílo zužuje, budou zadány v novém zjednodušeném podlimitní řízení.</w:t>
      </w:r>
    </w:p>
    <w:p w:rsidR="00472213" w:rsidRPr="00882013" w:rsidRDefault="00472213" w:rsidP="00E0339D">
      <w:pPr>
        <w:jc w:val="both"/>
        <w:rPr>
          <w:bCs/>
          <w:sz w:val="12"/>
          <w:szCs w:val="12"/>
        </w:rPr>
      </w:pPr>
    </w:p>
    <w:p w:rsidR="00472213" w:rsidRPr="005C44A1" w:rsidRDefault="00472213" w:rsidP="00571B27">
      <w:pPr>
        <w:jc w:val="both"/>
        <w:rPr>
          <w:bCs/>
          <w:sz w:val="22"/>
          <w:szCs w:val="22"/>
        </w:rPr>
      </w:pPr>
      <w:r w:rsidRPr="005C44A1">
        <w:rPr>
          <w:bCs/>
          <w:sz w:val="22"/>
          <w:szCs w:val="22"/>
        </w:rPr>
        <w:t xml:space="preserve">Předmětné změny však nemění celkovou povahu předmětu zakázky. </w:t>
      </w:r>
    </w:p>
    <w:p w:rsidR="00472213" w:rsidRPr="00882013" w:rsidRDefault="00472213" w:rsidP="00571B27">
      <w:pPr>
        <w:jc w:val="both"/>
        <w:rPr>
          <w:bCs/>
          <w:sz w:val="12"/>
          <w:szCs w:val="12"/>
        </w:rPr>
      </w:pPr>
    </w:p>
    <w:p w:rsidR="00472213" w:rsidRPr="005C44A1" w:rsidRDefault="00472213" w:rsidP="00073D08">
      <w:pPr>
        <w:jc w:val="both"/>
        <w:rPr>
          <w:bCs/>
          <w:sz w:val="22"/>
          <w:szCs w:val="22"/>
        </w:rPr>
      </w:pPr>
      <w:r w:rsidRPr="005C44A1">
        <w:rPr>
          <w:bCs/>
          <w:sz w:val="22"/>
          <w:szCs w:val="22"/>
        </w:rPr>
        <w:t xml:space="preserve">Smluvní strany se tedy dohodly, že se předmět Smlouvy, resp. dílo mění tak, jak je popsáno ve změnových listech, které jsou přílohou tohoto Dodatku. </w:t>
      </w:r>
      <w:r w:rsidRPr="00FF7EF7">
        <w:rPr>
          <w:bCs/>
          <w:sz w:val="22"/>
          <w:szCs w:val="22"/>
        </w:rPr>
        <w:t>Zhotovitel se tedy zavazuje provést dílo (dokončit a předat objednateli jeho předmět) tak, jak je uvede</w:t>
      </w:r>
      <w:r w:rsidRPr="005C44A1">
        <w:rPr>
          <w:bCs/>
          <w:sz w:val="22"/>
          <w:szCs w:val="22"/>
        </w:rPr>
        <w:t>no ve Smlouvě ve znění tohoto Dodatku, resp. také všech předchozích dodatků.</w:t>
      </w:r>
    </w:p>
    <w:p w:rsidR="00472213" w:rsidRPr="00882013" w:rsidRDefault="00472213" w:rsidP="00073D08">
      <w:pPr>
        <w:jc w:val="both"/>
        <w:rPr>
          <w:bCs/>
          <w:sz w:val="12"/>
          <w:szCs w:val="12"/>
        </w:rPr>
      </w:pPr>
    </w:p>
    <w:p w:rsidR="00472213" w:rsidRPr="005C44A1" w:rsidRDefault="00472213" w:rsidP="00073D08">
      <w:pPr>
        <w:rPr>
          <w:sz w:val="22"/>
          <w:szCs w:val="22"/>
        </w:rPr>
      </w:pPr>
      <w:r w:rsidRPr="005C44A1">
        <w:rPr>
          <w:sz w:val="22"/>
          <w:szCs w:val="22"/>
        </w:rPr>
        <w:t>Předmětem tohoto Dodatku je pak dále změna ceny díla v návaznosti na změny díla, jak je uvedeno shora, která se mění následovně:</w:t>
      </w:r>
    </w:p>
    <w:p w:rsidR="00472213" w:rsidRPr="00882013" w:rsidRDefault="00472213" w:rsidP="00073D08">
      <w:pPr>
        <w:rPr>
          <w:sz w:val="12"/>
          <w:szCs w:val="12"/>
        </w:rPr>
      </w:pPr>
    </w:p>
    <w:p w:rsidR="00472213" w:rsidRPr="00E57CD1" w:rsidRDefault="00472213" w:rsidP="00FF7EF7">
      <w:pPr>
        <w:tabs>
          <w:tab w:val="left" w:pos="3420"/>
          <w:tab w:val="right" w:pos="5940"/>
          <w:tab w:val="left" w:pos="6120"/>
          <w:tab w:val="right" w:pos="9214"/>
        </w:tabs>
        <w:jc w:val="both"/>
        <w:rPr>
          <w:bCs/>
          <w:sz w:val="22"/>
          <w:szCs w:val="22"/>
        </w:rPr>
      </w:pPr>
      <w:bookmarkStart w:id="1" w:name="_Hlk16631674"/>
      <w:r w:rsidRPr="00E57CD1">
        <w:rPr>
          <w:bCs/>
          <w:sz w:val="22"/>
          <w:szCs w:val="22"/>
        </w:rPr>
        <w:t xml:space="preserve">Celková cena za provedení díla dle Smlouvy ve znění dodatku č. </w:t>
      </w:r>
      <w:bookmarkEnd w:id="1"/>
      <w:r w:rsidRPr="00E57CD1">
        <w:rPr>
          <w:bCs/>
          <w:sz w:val="22"/>
          <w:szCs w:val="22"/>
        </w:rPr>
        <w:t xml:space="preserve">3                </w:t>
      </w:r>
      <w:r w:rsidRPr="00E57CD1">
        <w:rPr>
          <w:bCs/>
          <w:sz w:val="22"/>
          <w:szCs w:val="22"/>
        </w:rPr>
        <w:tab/>
        <w:t>13 156 396,61 Kč bez DPH</w:t>
      </w:r>
    </w:p>
    <w:p w:rsidR="00472213" w:rsidRPr="00E57CD1" w:rsidRDefault="00472213" w:rsidP="00FF7EF7">
      <w:pPr>
        <w:tabs>
          <w:tab w:val="left" w:pos="3420"/>
          <w:tab w:val="right" w:pos="5940"/>
          <w:tab w:val="left" w:pos="6120"/>
          <w:tab w:val="left" w:pos="6804"/>
          <w:tab w:val="right" w:pos="9214"/>
        </w:tabs>
        <w:jc w:val="both"/>
        <w:rPr>
          <w:rFonts w:ascii="Calibri" w:hAnsi="Calibri"/>
          <w:color w:val="000000"/>
          <w:sz w:val="22"/>
          <w:szCs w:val="22"/>
        </w:rPr>
      </w:pPr>
      <w:r w:rsidRPr="00E57CD1">
        <w:rPr>
          <w:bCs/>
          <w:sz w:val="22"/>
          <w:szCs w:val="22"/>
        </w:rPr>
        <w:t>Celková cena víceprací a méněprací dle bodu 1) tohoto Dodatku</w:t>
      </w:r>
      <w:r w:rsidRPr="00E57CD1">
        <w:rPr>
          <w:bCs/>
          <w:sz w:val="22"/>
          <w:szCs w:val="22"/>
        </w:rPr>
        <w:tab/>
      </w:r>
      <w:r w:rsidRPr="00E57CD1">
        <w:rPr>
          <w:bCs/>
          <w:sz w:val="22"/>
          <w:szCs w:val="22"/>
        </w:rPr>
        <w:tab/>
      </w:r>
      <w:r w:rsidRPr="00E57CD1">
        <w:rPr>
          <w:bCs/>
          <w:sz w:val="22"/>
          <w:szCs w:val="22"/>
        </w:rPr>
        <w:tab/>
      </w:r>
      <w:r w:rsidRPr="00E57CD1">
        <w:rPr>
          <w:bCs/>
          <w:sz w:val="22"/>
          <w:szCs w:val="22"/>
        </w:rPr>
        <w:tab/>
        <w:t xml:space="preserve"> + </w:t>
      </w:r>
      <w:r>
        <w:rPr>
          <w:bCs/>
          <w:sz w:val="22"/>
          <w:szCs w:val="22"/>
        </w:rPr>
        <w:t>251 511,07</w:t>
      </w:r>
      <w:r w:rsidRPr="00E57CD1">
        <w:rPr>
          <w:bCs/>
          <w:sz w:val="22"/>
          <w:szCs w:val="22"/>
        </w:rPr>
        <w:t xml:space="preserve"> Kč bez DPH</w:t>
      </w:r>
    </w:p>
    <w:p w:rsidR="00472213" w:rsidRPr="00E57CD1" w:rsidRDefault="00472213" w:rsidP="00FF7EF7">
      <w:pPr>
        <w:tabs>
          <w:tab w:val="left" w:pos="6804"/>
          <w:tab w:val="right" w:pos="9214"/>
        </w:tabs>
        <w:jc w:val="both"/>
        <w:rPr>
          <w:bCs/>
          <w:sz w:val="22"/>
          <w:szCs w:val="22"/>
        </w:rPr>
      </w:pPr>
      <w:r w:rsidRPr="00E57CD1">
        <w:rPr>
          <w:bCs/>
          <w:sz w:val="22"/>
          <w:szCs w:val="22"/>
        </w:rPr>
        <w:t>Celková cena méněprací dle bodu 2) tohoto Dodatku</w:t>
      </w:r>
      <w:r w:rsidRPr="00E57CD1">
        <w:rPr>
          <w:bCs/>
          <w:sz w:val="22"/>
          <w:szCs w:val="22"/>
        </w:rPr>
        <w:tab/>
      </w:r>
      <w:r w:rsidRPr="00E57CD1">
        <w:rPr>
          <w:bCs/>
          <w:sz w:val="22"/>
          <w:szCs w:val="22"/>
        </w:rPr>
        <w:tab/>
        <w:t xml:space="preserve">- 524 377,08 Kč bez DPH  </w:t>
      </w:r>
    </w:p>
    <w:p w:rsidR="00472213" w:rsidRPr="00882013" w:rsidRDefault="00472213" w:rsidP="00073D08">
      <w:pPr>
        <w:tabs>
          <w:tab w:val="left" w:pos="3420"/>
          <w:tab w:val="right" w:pos="5940"/>
          <w:tab w:val="left" w:pos="6120"/>
        </w:tabs>
        <w:rPr>
          <w:bCs/>
          <w:sz w:val="12"/>
          <w:szCs w:val="12"/>
        </w:rPr>
      </w:pPr>
      <w:r w:rsidRPr="00882013">
        <w:rPr>
          <w:bCs/>
          <w:sz w:val="12"/>
          <w:szCs w:val="12"/>
        </w:rPr>
        <w:tab/>
      </w:r>
    </w:p>
    <w:p w:rsidR="00472213" w:rsidRPr="00E57CD1" w:rsidRDefault="00472213" w:rsidP="004B2CDA">
      <w:pPr>
        <w:rPr>
          <w:b/>
          <w:sz w:val="22"/>
          <w:szCs w:val="22"/>
        </w:rPr>
      </w:pPr>
      <w:r w:rsidRPr="00E57CD1">
        <w:rPr>
          <w:b/>
          <w:bCs/>
          <w:sz w:val="22"/>
          <w:szCs w:val="22"/>
        </w:rPr>
        <w:t>Celková cena za provedení díla dle Smlouvy ve znění dodatku č. 2 až č. 4</w:t>
      </w:r>
      <w:r w:rsidRPr="00E57CD1">
        <w:rPr>
          <w:b/>
          <w:sz w:val="22"/>
          <w:szCs w:val="22"/>
        </w:rPr>
        <w:t xml:space="preserve"> činí:</w:t>
      </w:r>
    </w:p>
    <w:p w:rsidR="00472213" w:rsidRPr="005C44A1" w:rsidRDefault="00472213" w:rsidP="004B2CDA">
      <w:pPr>
        <w:rPr>
          <w:bCs/>
          <w:sz w:val="22"/>
          <w:szCs w:val="22"/>
        </w:rPr>
      </w:pPr>
      <w:r w:rsidRPr="00E57CD1">
        <w:rPr>
          <w:b/>
          <w:sz w:val="22"/>
          <w:szCs w:val="22"/>
        </w:rPr>
        <w:t>12</w:t>
      </w:r>
      <w:r>
        <w:rPr>
          <w:b/>
          <w:sz w:val="22"/>
          <w:szCs w:val="22"/>
        </w:rPr>
        <w:t> 883 530,60</w:t>
      </w:r>
      <w:r w:rsidRPr="00E57CD1">
        <w:rPr>
          <w:b/>
          <w:sz w:val="22"/>
          <w:szCs w:val="22"/>
        </w:rPr>
        <w:t xml:space="preserve"> Kč bez DPH, tj. 15</w:t>
      </w:r>
      <w:r>
        <w:rPr>
          <w:b/>
          <w:sz w:val="22"/>
          <w:szCs w:val="22"/>
        </w:rPr>
        <w:t> 589 072,03</w:t>
      </w:r>
      <w:r w:rsidRPr="00E57CD1">
        <w:rPr>
          <w:b/>
          <w:sz w:val="22"/>
          <w:szCs w:val="22"/>
        </w:rPr>
        <w:t xml:space="preserve"> Kč vč. DPH.</w:t>
      </w:r>
    </w:p>
    <w:p w:rsidR="00472213" w:rsidRPr="00882013" w:rsidRDefault="00472213" w:rsidP="00073D08">
      <w:pPr>
        <w:tabs>
          <w:tab w:val="right" w:pos="5940"/>
          <w:tab w:val="left" w:pos="6120"/>
        </w:tabs>
        <w:rPr>
          <w:b/>
          <w:bCs/>
          <w:sz w:val="12"/>
          <w:szCs w:val="12"/>
        </w:rPr>
      </w:pPr>
      <w:r w:rsidRPr="00882013">
        <w:rPr>
          <w:b/>
          <w:bCs/>
          <w:sz w:val="12"/>
          <w:szCs w:val="12"/>
        </w:rPr>
        <w:tab/>
        <w:t xml:space="preserve">  </w:t>
      </w:r>
    </w:p>
    <w:p w:rsidR="00472213" w:rsidRPr="005C44A1" w:rsidRDefault="00472213" w:rsidP="00073D08">
      <w:pPr>
        <w:jc w:val="both"/>
        <w:rPr>
          <w:bCs/>
          <w:sz w:val="22"/>
          <w:szCs w:val="22"/>
        </w:rPr>
      </w:pPr>
      <w:r w:rsidRPr="005C44A1">
        <w:rPr>
          <w:bCs/>
          <w:sz w:val="22"/>
          <w:szCs w:val="22"/>
        </w:rPr>
        <w:t>DPH bude účtováno v zákonem stanovené výši pro dané zdaňovací období.</w:t>
      </w:r>
    </w:p>
    <w:p w:rsidR="00472213" w:rsidRPr="00882013" w:rsidRDefault="00472213" w:rsidP="00073D08">
      <w:pPr>
        <w:jc w:val="both"/>
        <w:rPr>
          <w:bCs/>
          <w:sz w:val="12"/>
          <w:szCs w:val="12"/>
        </w:rPr>
      </w:pPr>
    </w:p>
    <w:p w:rsidR="00472213" w:rsidRPr="005C44A1" w:rsidRDefault="00472213" w:rsidP="00073D08">
      <w:pPr>
        <w:jc w:val="both"/>
        <w:rPr>
          <w:bCs/>
          <w:sz w:val="22"/>
          <w:szCs w:val="22"/>
        </w:rPr>
      </w:pPr>
      <w:r w:rsidRPr="005C44A1">
        <w:rPr>
          <w:bCs/>
          <w:sz w:val="22"/>
          <w:szCs w:val="22"/>
        </w:rPr>
        <w:t>Nad rámec uvedeného v</w:t>
      </w:r>
      <w:r>
        <w:rPr>
          <w:bCs/>
          <w:sz w:val="22"/>
          <w:szCs w:val="22"/>
        </w:rPr>
        <w:t xml:space="preserve">e Smlouvě, resp. </w:t>
      </w:r>
      <w:r w:rsidRPr="005C44A1">
        <w:rPr>
          <w:bCs/>
          <w:sz w:val="22"/>
          <w:szCs w:val="22"/>
        </w:rPr>
        <w:t>Zadávací dokumentaci platí, že cena díla zahrnuje veškeré práce, dodávky, služby, výkony a média, kterých je třeba trvale či dočasně k zahájení, provedení, dokončení a zprovoznění předmětu stavebního díla vč. nákladů na zařízení staveniště, vyklizení a uvedení ploch do původního stavu a zajištění potřebných rozhodnutí, poplatků, dopravních opatření nutných k zajištění realizace stavby, vč. úhrady potřebných medií, zajištění a předání všech potřebných dokladů, revizí, osvědčení, atestů. Sjednanou cenu lze překročit pouze v případě realizace dodatečných stavebních prací nad rámec této smlouvy podle bodu 5.4, 5.5, 5.6, 5.7, 5.8</w:t>
      </w:r>
      <w:r>
        <w:rPr>
          <w:bCs/>
          <w:sz w:val="22"/>
          <w:szCs w:val="22"/>
        </w:rPr>
        <w:t>.</w:t>
      </w:r>
    </w:p>
    <w:p w:rsidR="00472213" w:rsidRPr="00350CAC" w:rsidRDefault="00472213" w:rsidP="00350CAC">
      <w:pPr>
        <w:jc w:val="center"/>
        <w:rPr>
          <w:b/>
          <w:bCs/>
        </w:rPr>
      </w:pPr>
    </w:p>
    <w:p w:rsidR="00472213" w:rsidRPr="00350CAC" w:rsidRDefault="00472213" w:rsidP="00350CAC">
      <w:pPr>
        <w:jc w:val="both"/>
        <w:rPr>
          <w:bCs/>
        </w:rPr>
      </w:pPr>
    </w:p>
    <w:p w:rsidR="00472213" w:rsidRDefault="00472213" w:rsidP="0041757F">
      <w:pPr>
        <w:jc w:val="center"/>
        <w:rPr>
          <w:b/>
          <w:bCs/>
          <w:sz w:val="22"/>
          <w:szCs w:val="22"/>
        </w:rPr>
      </w:pPr>
      <w:r w:rsidRPr="005C44A1">
        <w:rPr>
          <w:b/>
          <w:bCs/>
          <w:sz w:val="22"/>
          <w:szCs w:val="22"/>
        </w:rPr>
        <w:t xml:space="preserve">II. </w:t>
      </w:r>
      <w:r>
        <w:rPr>
          <w:b/>
          <w:bCs/>
          <w:sz w:val="22"/>
          <w:szCs w:val="22"/>
        </w:rPr>
        <w:t xml:space="preserve">Doba plnění </w:t>
      </w:r>
    </w:p>
    <w:p w:rsidR="00472213" w:rsidRPr="00350CAC" w:rsidRDefault="00472213" w:rsidP="00350CAC">
      <w:pPr>
        <w:pStyle w:val="BodyTextIndent"/>
        <w:ind w:firstLine="0"/>
        <w:jc w:val="center"/>
        <w:rPr>
          <w:b/>
          <w:sz w:val="8"/>
          <w:szCs w:val="8"/>
        </w:rPr>
      </w:pPr>
    </w:p>
    <w:p w:rsidR="00472213" w:rsidRDefault="00472213" w:rsidP="00887DE6">
      <w:pPr>
        <w:rPr>
          <w:bCs/>
          <w:sz w:val="22"/>
          <w:szCs w:val="22"/>
        </w:rPr>
      </w:pPr>
      <w:r w:rsidRPr="0041757F">
        <w:rPr>
          <w:bCs/>
          <w:sz w:val="22"/>
          <w:szCs w:val="22"/>
        </w:rPr>
        <w:t>Z důvodu</w:t>
      </w:r>
      <w:r>
        <w:rPr>
          <w:b/>
          <w:bCs/>
          <w:sz w:val="22"/>
          <w:szCs w:val="22"/>
        </w:rPr>
        <w:t xml:space="preserve"> </w:t>
      </w:r>
      <w:r w:rsidRPr="00887DE6">
        <w:rPr>
          <w:bCs/>
          <w:sz w:val="22"/>
          <w:szCs w:val="22"/>
        </w:rPr>
        <w:t>výše  uvedených</w:t>
      </w:r>
      <w:r>
        <w:rPr>
          <w:b/>
          <w:bCs/>
          <w:sz w:val="22"/>
          <w:szCs w:val="22"/>
        </w:rPr>
        <w:t xml:space="preserve"> </w:t>
      </w:r>
      <w:r w:rsidRPr="005C44A1">
        <w:rPr>
          <w:bCs/>
          <w:sz w:val="22"/>
          <w:szCs w:val="22"/>
        </w:rPr>
        <w:t>skutečností, které nastaly až následně po uzavření Smlouvy</w:t>
      </w:r>
      <w:r>
        <w:rPr>
          <w:bCs/>
          <w:sz w:val="22"/>
          <w:szCs w:val="22"/>
        </w:rPr>
        <w:t xml:space="preserve"> a dodatků č. 1-3, </w:t>
      </w:r>
      <w:r w:rsidRPr="005C44A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se prodlužuje termín dokončení stavby z původního termínu  30.9.2019 do </w:t>
      </w:r>
      <w:r w:rsidRPr="00887DE6">
        <w:rPr>
          <w:b/>
          <w:bCs/>
          <w:sz w:val="22"/>
          <w:szCs w:val="22"/>
        </w:rPr>
        <w:t>10.10.2019</w:t>
      </w:r>
      <w:r>
        <w:rPr>
          <w:b/>
          <w:bCs/>
          <w:sz w:val="22"/>
          <w:szCs w:val="22"/>
        </w:rPr>
        <w:t>.</w:t>
      </w:r>
    </w:p>
    <w:p w:rsidR="00472213" w:rsidRPr="00350CAC" w:rsidRDefault="00472213" w:rsidP="0041757F">
      <w:pPr>
        <w:jc w:val="center"/>
        <w:rPr>
          <w:b/>
          <w:bCs/>
        </w:rPr>
      </w:pPr>
    </w:p>
    <w:p w:rsidR="00472213" w:rsidRPr="00350CAC" w:rsidRDefault="00472213" w:rsidP="00355AC1">
      <w:pPr>
        <w:jc w:val="both"/>
        <w:rPr>
          <w:bCs/>
        </w:rPr>
      </w:pPr>
    </w:p>
    <w:p w:rsidR="00472213" w:rsidRPr="005C44A1" w:rsidRDefault="00472213">
      <w:pPr>
        <w:pStyle w:val="BodyTextIndent"/>
        <w:ind w:firstLine="0"/>
        <w:jc w:val="center"/>
        <w:rPr>
          <w:b/>
          <w:sz w:val="22"/>
          <w:szCs w:val="22"/>
        </w:rPr>
      </w:pPr>
      <w:r w:rsidRPr="005C44A1">
        <w:rPr>
          <w:b/>
          <w:bCs/>
          <w:sz w:val="22"/>
          <w:szCs w:val="22"/>
        </w:rPr>
        <w:t xml:space="preserve">III. </w:t>
      </w:r>
      <w:r w:rsidRPr="005C44A1">
        <w:rPr>
          <w:b/>
          <w:sz w:val="22"/>
          <w:szCs w:val="22"/>
        </w:rPr>
        <w:t>Závěrečná ustanovení</w:t>
      </w:r>
    </w:p>
    <w:p w:rsidR="00472213" w:rsidRPr="00350CAC" w:rsidRDefault="00472213">
      <w:pPr>
        <w:pStyle w:val="BodyTextIndent"/>
        <w:ind w:firstLine="0"/>
        <w:jc w:val="center"/>
        <w:rPr>
          <w:b/>
          <w:sz w:val="8"/>
          <w:szCs w:val="8"/>
        </w:rPr>
      </w:pPr>
    </w:p>
    <w:p w:rsidR="00472213" w:rsidRPr="005C44A1" w:rsidRDefault="00472213" w:rsidP="00C14FAF">
      <w:pPr>
        <w:pStyle w:val="BodyText"/>
        <w:jc w:val="both"/>
        <w:rPr>
          <w:sz w:val="22"/>
          <w:szCs w:val="22"/>
        </w:rPr>
      </w:pPr>
      <w:r w:rsidRPr="005C44A1">
        <w:rPr>
          <w:sz w:val="22"/>
          <w:szCs w:val="22"/>
        </w:rPr>
        <w:t>Ostatní ujednání Smlouvy tímto Dodatkem nedotčené zůstávají nezměněné. Tento Dodatek nabývá účinností dnem podpisu poslední ze smluvních stran, pokud příslušné právní předpisy nestanoví jinak. Obě strany prohlašují, že došlo k dohodě o celém rozsahu tohoto Dodatku. Tento Dodatek je vyhotoven v 5 vyhotovení o stejné platnosti, z nichž 2 obdrží zhotovitel a 3 objednatel.</w:t>
      </w:r>
    </w:p>
    <w:p w:rsidR="00472213" w:rsidRPr="00350CAC" w:rsidRDefault="00472213" w:rsidP="00C14FAF">
      <w:pPr>
        <w:pStyle w:val="BodyText"/>
        <w:jc w:val="both"/>
        <w:rPr>
          <w:sz w:val="20"/>
        </w:rPr>
      </w:pPr>
    </w:p>
    <w:p w:rsidR="00472213" w:rsidRPr="00350CAC" w:rsidRDefault="00472213" w:rsidP="00C14FAF">
      <w:pPr>
        <w:pStyle w:val="BodyText"/>
        <w:jc w:val="both"/>
        <w:rPr>
          <w:sz w:val="20"/>
        </w:rPr>
      </w:pPr>
    </w:p>
    <w:p w:rsidR="00472213" w:rsidRPr="005C44A1" w:rsidRDefault="00472213" w:rsidP="00073D08">
      <w:pPr>
        <w:pStyle w:val="BodyText"/>
        <w:jc w:val="both"/>
        <w:rPr>
          <w:sz w:val="22"/>
          <w:szCs w:val="22"/>
        </w:rPr>
      </w:pPr>
      <w:r w:rsidRPr="005C44A1">
        <w:rPr>
          <w:sz w:val="22"/>
          <w:szCs w:val="22"/>
        </w:rPr>
        <w:t xml:space="preserve">V Kadani dne </w:t>
      </w:r>
      <w:r w:rsidRPr="005C44A1">
        <w:rPr>
          <w:sz w:val="22"/>
          <w:szCs w:val="22"/>
        </w:rPr>
        <w:tab/>
      </w:r>
      <w:r>
        <w:rPr>
          <w:sz w:val="22"/>
          <w:szCs w:val="22"/>
        </w:rPr>
        <w:t>30.9.2019</w:t>
      </w:r>
      <w:r w:rsidRPr="005C44A1">
        <w:rPr>
          <w:sz w:val="22"/>
          <w:szCs w:val="22"/>
        </w:rPr>
        <w:tab/>
      </w:r>
      <w:r w:rsidRPr="005C44A1">
        <w:rPr>
          <w:sz w:val="22"/>
          <w:szCs w:val="22"/>
        </w:rPr>
        <w:tab/>
      </w:r>
      <w:r w:rsidRPr="005C44A1">
        <w:rPr>
          <w:sz w:val="22"/>
          <w:szCs w:val="22"/>
        </w:rPr>
        <w:tab/>
      </w:r>
      <w:r w:rsidRPr="005C44A1">
        <w:rPr>
          <w:sz w:val="22"/>
          <w:szCs w:val="22"/>
        </w:rPr>
        <w:tab/>
      </w:r>
      <w:r w:rsidRPr="005C44A1">
        <w:rPr>
          <w:sz w:val="22"/>
          <w:szCs w:val="22"/>
        </w:rPr>
        <w:tab/>
      </w:r>
      <w:r w:rsidRPr="005C44A1">
        <w:rPr>
          <w:sz w:val="22"/>
          <w:szCs w:val="22"/>
        </w:rPr>
        <w:tab/>
        <w:t xml:space="preserve">V Kadani dne </w:t>
      </w:r>
      <w:r>
        <w:rPr>
          <w:sz w:val="22"/>
          <w:szCs w:val="22"/>
        </w:rPr>
        <w:t>27.9.2019</w:t>
      </w:r>
    </w:p>
    <w:p w:rsidR="00472213" w:rsidRPr="005C44A1" w:rsidRDefault="00472213" w:rsidP="00C14FAF">
      <w:pPr>
        <w:pStyle w:val="BodyText"/>
        <w:jc w:val="both"/>
        <w:rPr>
          <w:sz w:val="22"/>
          <w:szCs w:val="22"/>
        </w:rPr>
      </w:pPr>
    </w:p>
    <w:p w:rsidR="00472213" w:rsidRPr="005C44A1" w:rsidRDefault="00472213" w:rsidP="00C14FAF">
      <w:pPr>
        <w:pStyle w:val="BodyText"/>
        <w:jc w:val="both"/>
        <w:rPr>
          <w:sz w:val="22"/>
          <w:szCs w:val="22"/>
        </w:rPr>
      </w:pPr>
    </w:p>
    <w:p w:rsidR="00472213" w:rsidRPr="005C44A1" w:rsidRDefault="00472213" w:rsidP="00C14FAF">
      <w:pPr>
        <w:pStyle w:val="BodyText"/>
        <w:jc w:val="both"/>
        <w:rPr>
          <w:sz w:val="22"/>
          <w:szCs w:val="22"/>
        </w:rPr>
      </w:pPr>
    </w:p>
    <w:p w:rsidR="00472213" w:rsidRPr="005C44A1" w:rsidRDefault="00472213" w:rsidP="00350CAC">
      <w:pPr>
        <w:tabs>
          <w:tab w:val="left" w:pos="567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C44A1">
        <w:rPr>
          <w:color w:val="000000"/>
          <w:sz w:val="22"/>
          <w:szCs w:val="22"/>
        </w:rPr>
        <w:t>....................................................</w:t>
      </w:r>
      <w:r w:rsidRPr="005C44A1">
        <w:rPr>
          <w:color w:val="000000"/>
          <w:sz w:val="22"/>
          <w:szCs w:val="22"/>
        </w:rPr>
        <w:tab/>
        <w:t>...................................................</w:t>
      </w:r>
    </w:p>
    <w:p w:rsidR="00472213" w:rsidRPr="005C44A1" w:rsidRDefault="00472213" w:rsidP="00350CAC">
      <w:pPr>
        <w:tabs>
          <w:tab w:val="left" w:pos="567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C44A1">
        <w:rPr>
          <w:b/>
          <w:bCs/>
          <w:color w:val="000000"/>
          <w:sz w:val="22"/>
          <w:szCs w:val="22"/>
        </w:rPr>
        <w:t xml:space="preserve">město Kadaň                                                                          </w:t>
      </w:r>
      <w:r>
        <w:rPr>
          <w:b/>
          <w:bCs/>
          <w:color w:val="000000"/>
          <w:sz w:val="22"/>
          <w:szCs w:val="22"/>
        </w:rPr>
        <w:tab/>
      </w:r>
      <w:r w:rsidRPr="005C44A1">
        <w:rPr>
          <w:b/>
          <w:bCs/>
          <w:color w:val="000000"/>
          <w:sz w:val="22"/>
          <w:szCs w:val="22"/>
        </w:rPr>
        <w:t xml:space="preserve">      FRK s.r.o.</w:t>
      </w:r>
    </w:p>
    <w:p w:rsidR="00472213" w:rsidRPr="005C44A1" w:rsidRDefault="00472213" w:rsidP="00350CAC">
      <w:pPr>
        <w:tabs>
          <w:tab w:val="left" w:pos="5670"/>
        </w:tabs>
        <w:rPr>
          <w:sz w:val="22"/>
          <w:szCs w:val="22"/>
        </w:rPr>
        <w:sectPr w:rsidR="00472213" w:rsidRPr="005C44A1">
          <w:headerReference w:type="default" r:id="rId7"/>
          <w:footerReference w:type="even" r:id="rId8"/>
          <w:footerReference w:type="default" r:id="rId9"/>
          <w:pgSz w:w="11907" w:h="16840" w:code="9"/>
          <w:pgMar w:top="1618" w:right="1134" w:bottom="899" w:left="1418" w:header="709" w:footer="709" w:gutter="0"/>
          <w:cols w:space="708"/>
        </w:sectPr>
      </w:pPr>
      <w:r w:rsidRPr="005C44A1">
        <w:rPr>
          <w:color w:val="000000"/>
          <w:sz w:val="22"/>
          <w:szCs w:val="22"/>
        </w:rPr>
        <w:t xml:space="preserve">PaedDr. Jiří Kulhánek, starosta                                                    </w:t>
      </w:r>
      <w:r>
        <w:rPr>
          <w:color w:val="000000"/>
          <w:sz w:val="22"/>
          <w:szCs w:val="22"/>
        </w:rPr>
        <w:tab/>
      </w:r>
      <w:r w:rsidRPr="005C44A1">
        <w:rPr>
          <w:color w:val="000000"/>
          <w:sz w:val="22"/>
          <w:szCs w:val="22"/>
        </w:rPr>
        <w:t>Ahmad Raad, jednate</w:t>
      </w:r>
      <w:r>
        <w:rPr>
          <w:color w:val="000000"/>
          <w:sz w:val="22"/>
          <w:szCs w:val="22"/>
        </w:rPr>
        <w:t>l</w:t>
      </w:r>
    </w:p>
    <w:p w:rsidR="00472213" w:rsidRPr="005C44A1" w:rsidRDefault="00472213" w:rsidP="00E57CD1">
      <w:pPr>
        <w:rPr>
          <w:sz w:val="22"/>
          <w:szCs w:val="22"/>
        </w:rPr>
      </w:pPr>
    </w:p>
    <w:sectPr w:rsidR="00472213" w:rsidRPr="005C44A1" w:rsidSect="006C51F3">
      <w:type w:val="continuous"/>
      <w:pgSz w:w="11907" w:h="16840" w:code="9"/>
      <w:pgMar w:top="1618" w:right="1134" w:bottom="899" w:left="1418" w:header="709" w:footer="709" w:gutter="0"/>
      <w:cols w:num="2" w:space="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213" w:rsidRDefault="00472213">
      <w:r>
        <w:separator/>
      </w:r>
    </w:p>
  </w:endnote>
  <w:endnote w:type="continuationSeparator" w:id="0">
    <w:p w:rsidR="00472213" w:rsidRDefault="00472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213" w:rsidRDefault="004722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472213" w:rsidRDefault="004722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213" w:rsidRDefault="00472213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PAGE  </w:instrText>
    </w:r>
    <w:r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1</w:t>
    </w:r>
    <w:r>
      <w:rPr>
        <w:rStyle w:val="PageNumber"/>
        <w:sz w:val="24"/>
        <w:szCs w:val="24"/>
      </w:rPr>
      <w:fldChar w:fldCharType="end"/>
    </w:r>
  </w:p>
  <w:p w:rsidR="00472213" w:rsidRDefault="004722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213" w:rsidRDefault="00472213">
      <w:r>
        <w:separator/>
      </w:r>
    </w:p>
  </w:footnote>
  <w:footnote w:type="continuationSeparator" w:id="0">
    <w:p w:rsidR="00472213" w:rsidRDefault="00472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213" w:rsidRPr="00355AC1" w:rsidRDefault="00472213" w:rsidP="009C6764">
    <w:pPr>
      <w:pStyle w:val="Header"/>
      <w:jc w:val="center"/>
      <w:rPr>
        <w:b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7EE"/>
    <w:multiLevelType w:val="hybridMultilevel"/>
    <w:tmpl w:val="645CB6AA"/>
    <w:lvl w:ilvl="0" w:tplc="2B1E90C4">
      <w:start w:val="1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53086C"/>
    <w:multiLevelType w:val="hybridMultilevel"/>
    <w:tmpl w:val="D7D6CB4C"/>
    <w:lvl w:ilvl="0" w:tplc="90E8A2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84CE2"/>
    <w:multiLevelType w:val="hybridMultilevel"/>
    <w:tmpl w:val="20163954"/>
    <w:lvl w:ilvl="0" w:tplc="2B1E90C4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D5423"/>
    <w:multiLevelType w:val="hybridMultilevel"/>
    <w:tmpl w:val="3796D4F8"/>
    <w:lvl w:ilvl="0" w:tplc="2B1E90C4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F53FE"/>
    <w:multiLevelType w:val="hybridMultilevel"/>
    <w:tmpl w:val="BFAE2368"/>
    <w:lvl w:ilvl="0" w:tplc="82A68F6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2476CAB"/>
    <w:multiLevelType w:val="hybridMultilevel"/>
    <w:tmpl w:val="E3864B2C"/>
    <w:lvl w:ilvl="0" w:tplc="B15465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7">
    <w:nsid w:val="1E2521AF"/>
    <w:multiLevelType w:val="hybridMultilevel"/>
    <w:tmpl w:val="0EE6FB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F410F1"/>
    <w:multiLevelType w:val="hybridMultilevel"/>
    <w:tmpl w:val="8A16D1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2522E5"/>
    <w:multiLevelType w:val="hybridMultilevel"/>
    <w:tmpl w:val="F9B88FD0"/>
    <w:lvl w:ilvl="0" w:tplc="559CD7A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2C6FCD"/>
    <w:multiLevelType w:val="multilevel"/>
    <w:tmpl w:val="116C97E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163"/>
        </w:tabs>
        <w:ind w:left="1163" w:hanging="737"/>
      </w:pPr>
      <w:rPr>
        <w:rFonts w:cs="Times New Roman"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4A1302DA"/>
    <w:multiLevelType w:val="hybridMultilevel"/>
    <w:tmpl w:val="08D4FD2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B813C6"/>
    <w:multiLevelType w:val="hybridMultilevel"/>
    <w:tmpl w:val="DD50E102"/>
    <w:lvl w:ilvl="0" w:tplc="2C9CE6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BC455B"/>
    <w:multiLevelType w:val="hybridMultilevel"/>
    <w:tmpl w:val="099E3846"/>
    <w:lvl w:ilvl="0" w:tplc="2B1E90C4">
      <w:start w:val="1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D87F07"/>
    <w:multiLevelType w:val="hybridMultilevel"/>
    <w:tmpl w:val="2C88D0C2"/>
    <w:lvl w:ilvl="0" w:tplc="2B1E90C4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344DD"/>
    <w:multiLevelType w:val="hybridMultilevel"/>
    <w:tmpl w:val="980A62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11364B8"/>
    <w:multiLevelType w:val="hybridMultilevel"/>
    <w:tmpl w:val="DEA4D5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C83985"/>
    <w:multiLevelType w:val="hybridMultilevel"/>
    <w:tmpl w:val="B4DE4FCA"/>
    <w:lvl w:ilvl="0" w:tplc="3752AE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B2048"/>
    <w:multiLevelType w:val="hybridMultilevel"/>
    <w:tmpl w:val="1EC856A8"/>
    <w:lvl w:ilvl="0" w:tplc="E1FC1D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CAE1B9E"/>
    <w:multiLevelType w:val="hybridMultilevel"/>
    <w:tmpl w:val="03923304"/>
    <w:lvl w:ilvl="0" w:tplc="49802D10">
      <w:start w:val="1"/>
      <w:numFmt w:val="bullet"/>
      <w:lvlText w:val="-"/>
      <w:lvlJc w:val="left"/>
      <w:pPr>
        <w:ind w:left="684" w:hanging="360"/>
      </w:pPr>
      <w:rPr>
        <w:rFonts w:ascii="Trebuchet MS" w:eastAsia="Times New Roman" w:hAnsi="Trebuchet MS" w:hint="default"/>
      </w:rPr>
    </w:lvl>
    <w:lvl w:ilvl="1" w:tplc="0405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20">
    <w:nsid w:val="6D301270"/>
    <w:multiLevelType w:val="hybridMultilevel"/>
    <w:tmpl w:val="2214B02E"/>
    <w:lvl w:ilvl="0" w:tplc="2B1E90C4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5"/>
  </w:num>
  <w:num w:numId="5">
    <w:abstractNumId w:val="11"/>
  </w:num>
  <w:num w:numId="6">
    <w:abstractNumId w:val="12"/>
  </w:num>
  <w:num w:numId="7">
    <w:abstractNumId w:val="10"/>
  </w:num>
  <w:num w:numId="8">
    <w:abstractNumId w:val="1"/>
  </w:num>
  <w:num w:numId="9">
    <w:abstractNumId w:val="15"/>
  </w:num>
  <w:num w:numId="10">
    <w:abstractNumId w:val="7"/>
  </w:num>
  <w:num w:numId="11">
    <w:abstractNumId w:val="19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3"/>
  </w:num>
  <w:num w:numId="17">
    <w:abstractNumId w:val="14"/>
  </w:num>
  <w:num w:numId="18">
    <w:abstractNumId w:val="20"/>
  </w:num>
  <w:num w:numId="19">
    <w:abstractNumId w:val="16"/>
  </w:num>
  <w:num w:numId="20">
    <w:abstractNumId w:val="18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F91"/>
    <w:rsid w:val="00024B9F"/>
    <w:rsid w:val="000524A0"/>
    <w:rsid w:val="00073D08"/>
    <w:rsid w:val="000853DA"/>
    <w:rsid w:val="00094F69"/>
    <w:rsid w:val="00095885"/>
    <w:rsid w:val="000B141F"/>
    <w:rsid w:val="00101255"/>
    <w:rsid w:val="00122EF6"/>
    <w:rsid w:val="00141045"/>
    <w:rsid w:val="00152E5F"/>
    <w:rsid w:val="001654E2"/>
    <w:rsid w:val="001979FE"/>
    <w:rsid w:val="001B70E5"/>
    <w:rsid w:val="001C0BD7"/>
    <w:rsid w:val="001D5A22"/>
    <w:rsid w:val="001D642E"/>
    <w:rsid w:val="0020016C"/>
    <w:rsid w:val="00205947"/>
    <w:rsid w:val="00243ADB"/>
    <w:rsid w:val="00262097"/>
    <w:rsid w:val="00264455"/>
    <w:rsid w:val="00265183"/>
    <w:rsid w:val="00267415"/>
    <w:rsid w:val="0027291F"/>
    <w:rsid w:val="002915F2"/>
    <w:rsid w:val="002B2EF3"/>
    <w:rsid w:val="00311DE3"/>
    <w:rsid w:val="00322353"/>
    <w:rsid w:val="00350CAC"/>
    <w:rsid w:val="00355AC1"/>
    <w:rsid w:val="00356879"/>
    <w:rsid w:val="003716E5"/>
    <w:rsid w:val="00376A4C"/>
    <w:rsid w:val="00396762"/>
    <w:rsid w:val="003B49B6"/>
    <w:rsid w:val="003B7059"/>
    <w:rsid w:val="003C0581"/>
    <w:rsid w:val="003C613A"/>
    <w:rsid w:val="003E1471"/>
    <w:rsid w:val="003E6273"/>
    <w:rsid w:val="0041757F"/>
    <w:rsid w:val="00424E16"/>
    <w:rsid w:val="0043729C"/>
    <w:rsid w:val="0045584A"/>
    <w:rsid w:val="00472213"/>
    <w:rsid w:val="00485AE1"/>
    <w:rsid w:val="004A5920"/>
    <w:rsid w:val="004B2CDA"/>
    <w:rsid w:val="004D0126"/>
    <w:rsid w:val="004D2B5E"/>
    <w:rsid w:val="004F1F37"/>
    <w:rsid w:val="004F5A4C"/>
    <w:rsid w:val="005069DA"/>
    <w:rsid w:val="00532427"/>
    <w:rsid w:val="0054471A"/>
    <w:rsid w:val="00546CE1"/>
    <w:rsid w:val="00547A79"/>
    <w:rsid w:val="00552E54"/>
    <w:rsid w:val="00557736"/>
    <w:rsid w:val="00560A92"/>
    <w:rsid w:val="00571B27"/>
    <w:rsid w:val="005934AE"/>
    <w:rsid w:val="005C44A1"/>
    <w:rsid w:val="005E5B8F"/>
    <w:rsid w:val="00600794"/>
    <w:rsid w:val="00613520"/>
    <w:rsid w:val="00613CF1"/>
    <w:rsid w:val="0062617E"/>
    <w:rsid w:val="00630610"/>
    <w:rsid w:val="00653F8E"/>
    <w:rsid w:val="00655417"/>
    <w:rsid w:val="00682512"/>
    <w:rsid w:val="00690881"/>
    <w:rsid w:val="00690E07"/>
    <w:rsid w:val="006975E9"/>
    <w:rsid w:val="006A10D4"/>
    <w:rsid w:val="006B7EB5"/>
    <w:rsid w:val="006C51F3"/>
    <w:rsid w:val="006D3ED9"/>
    <w:rsid w:val="006D435D"/>
    <w:rsid w:val="006E6F4B"/>
    <w:rsid w:val="0070443F"/>
    <w:rsid w:val="00721699"/>
    <w:rsid w:val="00727185"/>
    <w:rsid w:val="00731051"/>
    <w:rsid w:val="00793E01"/>
    <w:rsid w:val="00794712"/>
    <w:rsid w:val="0079549E"/>
    <w:rsid w:val="007A4BBC"/>
    <w:rsid w:val="007C061B"/>
    <w:rsid w:val="007F3017"/>
    <w:rsid w:val="00803CAD"/>
    <w:rsid w:val="00814CC2"/>
    <w:rsid w:val="008502B4"/>
    <w:rsid w:val="00882013"/>
    <w:rsid w:val="00883CEF"/>
    <w:rsid w:val="00887DE6"/>
    <w:rsid w:val="00894510"/>
    <w:rsid w:val="008D0E16"/>
    <w:rsid w:val="008E5765"/>
    <w:rsid w:val="009179FB"/>
    <w:rsid w:val="00956996"/>
    <w:rsid w:val="009A0243"/>
    <w:rsid w:val="009A53DF"/>
    <w:rsid w:val="009C4745"/>
    <w:rsid w:val="009C5F7E"/>
    <w:rsid w:val="009C6764"/>
    <w:rsid w:val="009D5818"/>
    <w:rsid w:val="009E4A9D"/>
    <w:rsid w:val="00A026C3"/>
    <w:rsid w:val="00A03D16"/>
    <w:rsid w:val="00A1234B"/>
    <w:rsid w:val="00A25C60"/>
    <w:rsid w:val="00A35F4A"/>
    <w:rsid w:val="00A625E3"/>
    <w:rsid w:val="00A65435"/>
    <w:rsid w:val="00A84F3A"/>
    <w:rsid w:val="00A864B3"/>
    <w:rsid w:val="00AD13BF"/>
    <w:rsid w:val="00AD16B5"/>
    <w:rsid w:val="00AD2811"/>
    <w:rsid w:val="00AD2F88"/>
    <w:rsid w:val="00AF6536"/>
    <w:rsid w:val="00B26C2E"/>
    <w:rsid w:val="00B46C24"/>
    <w:rsid w:val="00B51F96"/>
    <w:rsid w:val="00B5467E"/>
    <w:rsid w:val="00B83CDE"/>
    <w:rsid w:val="00BC026B"/>
    <w:rsid w:val="00BE2DF0"/>
    <w:rsid w:val="00C04188"/>
    <w:rsid w:val="00C14FAF"/>
    <w:rsid w:val="00C44E67"/>
    <w:rsid w:val="00C53059"/>
    <w:rsid w:val="00C60FD4"/>
    <w:rsid w:val="00C614B2"/>
    <w:rsid w:val="00C718BC"/>
    <w:rsid w:val="00C7479F"/>
    <w:rsid w:val="00CB6F14"/>
    <w:rsid w:val="00CC7F91"/>
    <w:rsid w:val="00CD1575"/>
    <w:rsid w:val="00CD350A"/>
    <w:rsid w:val="00CF0C0B"/>
    <w:rsid w:val="00D17C93"/>
    <w:rsid w:val="00D22B53"/>
    <w:rsid w:val="00D4189D"/>
    <w:rsid w:val="00DB22DC"/>
    <w:rsid w:val="00DB7B88"/>
    <w:rsid w:val="00E0339D"/>
    <w:rsid w:val="00E46CC0"/>
    <w:rsid w:val="00E57CD1"/>
    <w:rsid w:val="00E63BBF"/>
    <w:rsid w:val="00EA0E63"/>
    <w:rsid w:val="00EB3ACF"/>
    <w:rsid w:val="00EB4818"/>
    <w:rsid w:val="00ED61F8"/>
    <w:rsid w:val="00F3715B"/>
    <w:rsid w:val="00F41078"/>
    <w:rsid w:val="00F5564E"/>
    <w:rsid w:val="00F659C4"/>
    <w:rsid w:val="00F92DFC"/>
    <w:rsid w:val="00FF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4A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24A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24A0"/>
    <w:pPr>
      <w:keepNext/>
      <w:ind w:firstLine="708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524A0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524A0"/>
    <w:pPr>
      <w:keepNext/>
      <w:ind w:left="2832" w:firstLine="708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24A0"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141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B141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141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B141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B141F"/>
    <w:rPr>
      <w:rFonts w:ascii="Calibri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rsid w:val="000524A0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41F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0524A0"/>
    <w:pPr>
      <w:ind w:firstLine="708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B141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0524A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141F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0524A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0524A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0524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141F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C7F9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7F91"/>
    <w:rPr>
      <w:rFonts w:ascii="Tahoma" w:hAnsi="Tahoma" w:cs="Times New Roman"/>
      <w:sz w:val="16"/>
    </w:rPr>
  </w:style>
  <w:style w:type="paragraph" w:customStyle="1" w:styleId="RLTextlnkuslovan">
    <w:name w:val="RL Text článku číslovaný"/>
    <w:basedOn w:val="Normal"/>
    <w:uiPriority w:val="99"/>
    <w:rsid w:val="009C4745"/>
    <w:pPr>
      <w:numPr>
        <w:ilvl w:val="1"/>
        <w:numId w:val="7"/>
      </w:numPr>
      <w:spacing w:after="120" w:line="280" w:lineRule="exact"/>
      <w:jc w:val="both"/>
    </w:pPr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al"/>
    <w:next w:val="RLTextlnkuslovan"/>
    <w:link w:val="RLlneksmlouvyCharChar"/>
    <w:uiPriority w:val="99"/>
    <w:rsid w:val="009C4745"/>
    <w:pPr>
      <w:keepNext/>
      <w:numPr>
        <w:numId w:val="7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4"/>
      <w:lang w:eastAsia="en-US"/>
    </w:rPr>
  </w:style>
  <w:style w:type="character" w:customStyle="1" w:styleId="RLlneksmlouvyCharChar">
    <w:name w:val="RL Článek smlouvy Char Char"/>
    <w:link w:val="RLlneksmlouvy"/>
    <w:uiPriority w:val="99"/>
    <w:locked/>
    <w:rsid w:val="009C4745"/>
    <w:rPr>
      <w:rFonts w:ascii="Calibri" w:hAnsi="Calibri"/>
      <w:b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F659C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659C4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659C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65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659C4"/>
    <w:rPr>
      <w:b/>
      <w:bCs/>
    </w:rPr>
  </w:style>
  <w:style w:type="paragraph" w:styleId="Revision">
    <w:name w:val="Revision"/>
    <w:hidden/>
    <w:uiPriority w:val="99"/>
    <w:semiHidden/>
    <w:rsid w:val="00311DE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50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3</Pages>
  <Words>1038</Words>
  <Characters>6127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FRK s.r.o. Jana Staňková</dc:creator>
  <cp:keywords/>
  <dc:description/>
  <cp:lastModifiedBy>AndraskovaM</cp:lastModifiedBy>
  <cp:revision>6</cp:revision>
  <cp:lastPrinted>2019-09-27T05:59:00Z</cp:lastPrinted>
  <dcterms:created xsi:type="dcterms:W3CDTF">2019-09-27T05:54:00Z</dcterms:created>
  <dcterms:modified xsi:type="dcterms:W3CDTF">2019-09-30T13:36:00Z</dcterms:modified>
</cp:coreProperties>
</file>