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AA597" w14:textId="73F2947B" w:rsidR="005C0625" w:rsidRPr="000F61FE" w:rsidRDefault="003F690B" w:rsidP="000F61FE">
      <w:pPr>
        <w:pStyle w:val="Nadpis1"/>
        <w:numPr>
          <w:ilvl w:val="0"/>
          <w:numId w:val="0"/>
        </w:numPr>
        <w:ind w:left="432" w:hanging="432"/>
        <w:jc w:val="center"/>
        <w:rPr>
          <w:b/>
          <w:bCs/>
        </w:rPr>
      </w:pPr>
      <w:bookmarkStart w:id="0" w:name="_Toc513706822"/>
      <w:r>
        <w:rPr>
          <w:b/>
          <w:bCs/>
        </w:rPr>
        <w:t>Podrobný popis</w:t>
      </w:r>
      <w:r w:rsidR="005C0625" w:rsidRPr="000F61FE">
        <w:rPr>
          <w:b/>
          <w:bCs/>
        </w:rPr>
        <w:t xml:space="preserve"> </w:t>
      </w:r>
      <w:bookmarkEnd w:id="0"/>
      <w:r>
        <w:rPr>
          <w:b/>
          <w:bCs/>
        </w:rPr>
        <w:t>předmětu plnění</w:t>
      </w:r>
    </w:p>
    <w:p w14:paraId="6ED82935" w14:textId="77777777" w:rsidR="00EE320C" w:rsidRDefault="00EE320C" w:rsidP="00EE320C">
      <w:pPr>
        <w:rPr>
          <w:bCs/>
          <w:szCs w:val="22"/>
        </w:rPr>
      </w:pPr>
      <w:r w:rsidRPr="00045EFB">
        <w:rPr>
          <w:bCs/>
          <w:szCs w:val="22"/>
        </w:rPr>
        <w:t>Předmětem veřejné zakázky (dále též „VZ“) je zpracování návrhu indikátorové soustavy operačního programu MPO pro programové období 2021+, včetně metodiky a návrhu výchozích a cílových hodnot indikátorů. Jejím výstupem bude Závěrečná zpráva.</w:t>
      </w:r>
    </w:p>
    <w:p w14:paraId="75B1BE7A" w14:textId="77777777" w:rsidR="00EE320C" w:rsidRPr="00045EFB" w:rsidRDefault="00EE320C" w:rsidP="00EE320C">
      <w:pPr>
        <w:rPr>
          <w:bCs/>
          <w:szCs w:val="22"/>
        </w:rPr>
      </w:pPr>
      <w:r w:rsidRPr="00045EFB">
        <w:rPr>
          <w:bCs/>
          <w:szCs w:val="22"/>
        </w:rPr>
        <w:t>Vláda ČR svým usnesením č. 9</w:t>
      </w:r>
      <w:bookmarkStart w:id="1" w:name="_GoBack"/>
      <w:bookmarkEnd w:id="1"/>
      <w:r w:rsidRPr="00045EFB">
        <w:rPr>
          <w:bCs/>
          <w:szCs w:val="22"/>
        </w:rPr>
        <w:t>4 ze dne 4. února 2019 vzala na vědomí „Národní koncepci realizace politiky soudržnosti v ČR po roce 2020 – podklad pro Dohodu o partnerství pro období 2021–2027“ a schválila vymezení operačních programů a další časový a věcný postup přípravy programů spolufinancovaných z fondů EU. Jedním z těchto operačních programů je i operační program zaměřený na konkurenceschopnost řízený Ministerstvem průmyslu a obchodu.</w:t>
      </w:r>
    </w:p>
    <w:p w14:paraId="3EE541A3" w14:textId="77777777" w:rsidR="00EE320C" w:rsidRDefault="00EE320C" w:rsidP="00EE320C">
      <w:pPr>
        <w:rPr>
          <w:bCs/>
          <w:szCs w:val="22"/>
        </w:rPr>
      </w:pPr>
      <w:r w:rsidRPr="00045EFB">
        <w:rPr>
          <w:bCs/>
          <w:szCs w:val="22"/>
        </w:rPr>
        <w:t xml:space="preserve">Veřejnou zakázku vyhlašuje MPO / Řídící orgán budoucího operačního programu v rámci přípravy na čerpání prostředků z evropských fondů, konkrétně Evropského fondu pro regionální rozvoj, v programovacím období 2021 – 2027 a v souvislosti s právě probíhající přípravou programového dokumentu. V této souvislosti byla identifikována potřeba zpracování podpůrné odborné analýzy externím subjektem zabývajícím se problematikou čerpání prostředků z fondů EU, operačními programy a jejich vyhodnocováním a věcným a finančním monitoringem. MPO aktuálně realizuje veřejnou zakázku na Analýzu absorpční kapacity operačního programu zaměřeného na konkurenceschopnost pro období 2021 – 2027 (dále též „AbCap 2021+“), jejíž výstupy budou klíčové pro nastavení cílových hodnot indikátorů, a které budou dodavateli předány v průběhu </w:t>
      </w:r>
      <w:r>
        <w:rPr>
          <w:bCs/>
          <w:szCs w:val="22"/>
        </w:rPr>
        <w:t>realizace této VZ.</w:t>
      </w:r>
    </w:p>
    <w:p w14:paraId="7C13D2AB" w14:textId="77777777" w:rsidR="00EE320C" w:rsidRDefault="00EE320C" w:rsidP="00EE320C">
      <w:pPr>
        <w:rPr>
          <w:bCs/>
          <w:szCs w:val="22"/>
        </w:rPr>
      </w:pPr>
      <w:r w:rsidRPr="00045EFB">
        <w:rPr>
          <w:bCs/>
          <w:szCs w:val="22"/>
        </w:rPr>
        <w:t>Požadavky zadavatele na průběh zpracování veřejné zakázky a požadavky na její výstupy jsou součástí této výzvy (dále také označované jako „Zadávací podmínky“)</w:t>
      </w:r>
      <w:r>
        <w:rPr>
          <w:bCs/>
          <w:szCs w:val="22"/>
        </w:rPr>
        <w:t>.</w:t>
      </w:r>
    </w:p>
    <w:p w14:paraId="1F85DCC4" w14:textId="77777777" w:rsidR="00EE320C" w:rsidRPr="00001CA6" w:rsidRDefault="00EE320C" w:rsidP="00EE320C">
      <w:r w:rsidRPr="00001CA6">
        <w:t>Dodavatel zpracuje komplexní Závěrečnou zprávu, která bude:</w:t>
      </w:r>
    </w:p>
    <w:p w14:paraId="6D72FB61" w14:textId="77777777" w:rsidR="00EE320C" w:rsidRPr="00001CA6" w:rsidRDefault="00EE320C" w:rsidP="00EE320C">
      <w:pPr>
        <w:numPr>
          <w:ilvl w:val="0"/>
          <w:numId w:val="37"/>
        </w:numPr>
        <w:suppressAutoHyphens/>
        <w:overflowPunct/>
        <w:autoSpaceDE/>
        <w:autoSpaceDN/>
        <w:adjustRightInd/>
        <w:spacing w:after="120" w:line="276" w:lineRule="auto"/>
        <w:textAlignment w:val="auto"/>
      </w:pPr>
      <w:r w:rsidRPr="00001CA6">
        <w:t>obsahovat návrh indikátorové soustavy pro všechny relevantní oddíly operačního programu a jeho specifické cíle, včetně zdůvodnění výběru jednotlivých indikátorů,</w:t>
      </w:r>
      <w:r>
        <w:rPr>
          <w:rStyle w:val="Znakapoznpodarou"/>
        </w:rPr>
        <w:footnoteReference w:id="1"/>
      </w:r>
    </w:p>
    <w:p w14:paraId="6F22B092" w14:textId="77777777" w:rsidR="00EE320C" w:rsidRPr="00001CA6" w:rsidRDefault="00EE320C" w:rsidP="00EE320C">
      <w:pPr>
        <w:numPr>
          <w:ilvl w:val="0"/>
          <w:numId w:val="37"/>
        </w:numPr>
        <w:suppressAutoHyphens/>
        <w:overflowPunct/>
        <w:autoSpaceDE/>
        <w:autoSpaceDN/>
        <w:adjustRightInd/>
        <w:spacing w:after="120" w:line="276" w:lineRule="auto"/>
        <w:textAlignment w:val="auto"/>
      </w:pPr>
      <w:r w:rsidRPr="00001CA6">
        <w:t>zahrnovat návrh nastavení výchozích a cílových hodnot indikátorů operačního programu (tj. všech indikátorů vykazovaných v rámci programového dokumentu) z hlediska jejich návaznosti na relevantní oddíly a specifické cíle operačního programu, analýzy absorpční kapacity a zkušenosti z předešlých programových období. Tento návrh nastavení výchozích a cílových hodnot bude dále obsahovat uvedení zdrojů a detailní související charakteristiku pro výpočet jednotlivých cílových hodnot indikátorů (tj. předpoklady/odhady, z čeho výpočet cílové hodnoty vychází apod.).</w:t>
      </w:r>
      <w:r>
        <w:t xml:space="preserve"> </w:t>
      </w:r>
    </w:p>
    <w:p w14:paraId="20DCC674" w14:textId="77777777" w:rsidR="00EE320C" w:rsidRPr="00001CA6" w:rsidRDefault="00EE320C" w:rsidP="00EE320C">
      <w:pPr>
        <w:numPr>
          <w:ilvl w:val="0"/>
          <w:numId w:val="37"/>
        </w:numPr>
        <w:suppressAutoHyphens/>
        <w:overflowPunct/>
        <w:autoSpaceDE/>
        <w:autoSpaceDN/>
        <w:adjustRightInd/>
        <w:spacing w:after="120" w:line="276" w:lineRule="auto"/>
        <w:textAlignment w:val="auto"/>
      </w:pPr>
      <w:r w:rsidRPr="00001CA6">
        <w:t>obsahovat komplexní metodiku</w:t>
      </w:r>
      <w:r w:rsidRPr="000B1245">
        <w:rPr>
          <w:vertAlign w:val="superscript"/>
        </w:rPr>
        <w:footnoteReference w:id="2"/>
      </w:r>
      <w:r w:rsidRPr="00001CA6">
        <w:rPr>
          <w:vertAlign w:val="superscript"/>
        </w:rPr>
        <w:t xml:space="preserve"> </w:t>
      </w:r>
      <w:r w:rsidRPr="00001CA6">
        <w:t xml:space="preserve">pro stanovení hodnot indikátorů výkonnostního rámce (tj. všech ukazatelů v rámci programového dokumentu), která bude obsahovat kritéria pro jejich </w:t>
      </w:r>
      <w:r w:rsidRPr="00001CA6">
        <w:lastRenderedPageBreak/>
        <w:t>stanovení/určení včetně způsobu výpočtu a použitých zdrojů. Dále souhrn všech faktorů, které by mohly jakýmkoliv způsobem ovlivňovat dosahování milníků a cílů výkonnostního rámce včetně vysvětlení, jakým způsobem byly do výpočtů zapracovány. Výsledná metodika musí být podložena důkazy, které zajistí kvalitu vstupních dat a způsob samotného výpočtu, přičemž jejich ověření nesmí představovat nepřiměřenou administrativní zátěž. Nastavení milníků a cílů musí být realistické, dosažitelné, relevantní a musí zachycovat podstatné informace o pokroku dané priority.</w:t>
      </w:r>
    </w:p>
    <w:p w14:paraId="50B61BE4" w14:textId="77777777" w:rsidR="00EE320C" w:rsidRDefault="00EE320C" w:rsidP="00EE320C">
      <w:r w:rsidRPr="00001CA6">
        <w:t>Výstupem takové analýzy bude seznam indikátorů OP, jejich výchozí a cílové hodnoty, včetně relevantní metodiky a dalších relevantních částí uvedených v bodech výše. Výstupy z této evaluace budou využity pro nastavování nového programového období 2021+.</w:t>
      </w:r>
    </w:p>
    <w:p w14:paraId="7558EC2A" w14:textId="77777777" w:rsidR="00EE320C" w:rsidRPr="001A0D13" w:rsidRDefault="00EE320C" w:rsidP="00EE320C">
      <w:pPr>
        <w:rPr>
          <w:szCs w:val="22"/>
        </w:rPr>
      </w:pPr>
      <w:r w:rsidRPr="008A7581">
        <w:rPr>
          <w:szCs w:val="22"/>
        </w:rPr>
        <w:t>Z</w:t>
      </w:r>
      <w:r>
        <w:rPr>
          <w:szCs w:val="22"/>
        </w:rPr>
        <w:t>Z</w:t>
      </w:r>
      <w:r w:rsidRPr="008A7581">
        <w:rPr>
          <w:szCs w:val="22"/>
        </w:rPr>
        <w:t xml:space="preserve"> bude předána</w:t>
      </w:r>
      <w:r>
        <w:rPr>
          <w:szCs w:val="22"/>
        </w:rPr>
        <w:t xml:space="preserve"> v českém jazyce,</w:t>
      </w:r>
      <w:r w:rsidRPr="008A7581">
        <w:rPr>
          <w:szCs w:val="22"/>
        </w:rPr>
        <w:t xml:space="preserve"> v</w:t>
      </w:r>
      <w:r>
        <w:rPr>
          <w:szCs w:val="22"/>
        </w:rPr>
        <w:t> listinné podobě v jednom originálu, a dále</w:t>
      </w:r>
      <w:r w:rsidRPr="002575D9">
        <w:rPr>
          <w:szCs w:val="22"/>
        </w:rPr>
        <w:t xml:space="preserve"> v (editovatelné) elektronické podobě na </w:t>
      </w:r>
      <w:r>
        <w:rPr>
          <w:szCs w:val="22"/>
        </w:rPr>
        <w:t>elektronickém nosiči dat (tj. f</w:t>
      </w:r>
      <w:r w:rsidRPr="002575D9">
        <w:rPr>
          <w:szCs w:val="22"/>
        </w:rPr>
        <w:t>l</w:t>
      </w:r>
      <w:r>
        <w:rPr>
          <w:szCs w:val="22"/>
        </w:rPr>
        <w:t>a</w:t>
      </w:r>
      <w:r w:rsidRPr="002575D9">
        <w:rPr>
          <w:szCs w:val="22"/>
        </w:rPr>
        <w:t>sh disk)</w:t>
      </w:r>
      <w:r>
        <w:rPr>
          <w:szCs w:val="22"/>
        </w:rPr>
        <w:t>. U bodu b) a c) Závěrečné zprávy dodavatel požaduje výstupy ve formátu .xls nebo .xlsx, tak aby bylo jasně viditelné, jakým způsobem dodavatel stanovil výsledné cílové hodnoty (vzorce). Z</w:t>
      </w:r>
      <w:r w:rsidRPr="008A7581">
        <w:rPr>
          <w:szCs w:val="22"/>
        </w:rPr>
        <w:t xml:space="preserve">adavatel očekává ZZ v celkovém rozsahu </w:t>
      </w:r>
      <w:r>
        <w:rPr>
          <w:szCs w:val="22"/>
        </w:rPr>
        <w:t>30–50</w:t>
      </w:r>
      <w:r w:rsidRPr="008A7581">
        <w:rPr>
          <w:szCs w:val="22"/>
        </w:rPr>
        <w:t xml:space="preserve"> normostran </w:t>
      </w:r>
      <w:r>
        <w:rPr>
          <w:szCs w:val="22"/>
        </w:rPr>
        <w:t>(jde o doporučený rozsah, který může být dodavatelem odůvodněně upraven</w:t>
      </w:r>
      <w:r>
        <w:rPr>
          <w:rStyle w:val="Znakapoznpodarou"/>
          <w:sz w:val="16"/>
          <w:szCs w:val="16"/>
        </w:rPr>
        <w:footnoteReference w:id="3"/>
      </w:r>
      <w:r>
        <w:rPr>
          <w:szCs w:val="22"/>
        </w:rPr>
        <w:t>)</w:t>
      </w:r>
      <w:r w:rsidRPr="008A7581">
        <w:rPr>
          <w:szCs w:val="22"/>
        </w:rPr>
        <w:t>.</w:t>
      </w:r>
      <w:r>
        <w:rPr>
          <w:szCs w:val="22"/>
        </w:rPr>
        <w:t xml:space="preserve"> Do doporučeného rozsahu se nezapočítávají přílohy, u kterých není stanoven přesný rozsah (tabulky, grafy, atd.).</w:t>
      </w:r>
      <w:r w:rsidRPr="008A7581">
        <w:rPr>
          <w:szCs w:val="22"/>
        </w:rPr>
        <w:t xml:space="preserve"> Zkrácená verze </w:t>
      </w:r>
      <w:r>
        <w:rPr>
          <w:szCs w:val="22"/>
        </w:rPr>
        <w:t xml:space="preserve">ZZ </w:t>
      </w:r>
      <w:r w:rsidRPr="008A7581">
        <w:rPr>
          <w:szCs w:val="22"/>
        </w:rPr>
        <w:t>(manažerské shrnutí)</w:t>
      </w:r>
      <w:r>
        <w:rPr>
          <w:szCs w:val="22"/>
        </w:rPr>
        <w:t>,</w:t>
      </w:r>
      <w:r w:rsidRPr="008A7581">
        <w:rPr>
          <w:szCs w:val="22"/>
        </w:rPr>
        <w:t xml:space="preserve"> </w:t>
      </w:r>
      <w:r>
        <w:rPr>
          <w:szCs w:val="22"/>
        </w:rPr>
        <w:t>o</w:t>
      </w:r>
      <w:r w:rsidRPr="008A7581">
        <w:rPr>
          <w:szCs w:val="22"/>
        </w:rPr>
        <w:t xml:space="preserve"> předpok</w:t>
      </w:r>
      <w:r w:rsidRPr="007447D0">
        <w:rPr>
          <w:szCs w:val="22"/>
        </w:rPr>
        <w:t>ládaném rozsahu max. 5 normostran, bude předána v českém a anglickém jazyce, každá jazyková ver</w:t>
      </w:r>
      <w:r w:rsidRPr="008A7581">
        <w:rPr>
          <w:szCs w:val="22"/>
        </w:rPr>
        <w:t xml:space="preserve">ze </w:t>
      </w:r>
      <w:r>
        <w:rPr>
          <w:szCs w:val="22"/>
        </w:rPr>
        <w:t>v jednom originálním vyhotovení</w:t>
      </w:r>
      <w:r w:rsidRPr="008A7581">
        <w:rPr>
          <w:szCs w:val="22"/>
        </w:rPr>
        <w:t>.</w:t>
      </w:r>
      <w:r>
        <w:rPr>
          <w:szCs w:val="22"/>
        </w:rPr>
        <w:t xml:space="preserve"> </w:t>
      </w:r>
      <w:r w:rsidRPr="008A7581">
        <w:rPr>
          <w:szCs w:val="22"/>
        </w:rPr>
        <w:t>V rámci tohoto manažerského shrnutí dodavatel provede syntézu jednotlivých z</w:t>
      </w:r>
      <w:r w:rsidRPr="001A0D13">
        <w:rPr>
          <w:szCs w:val="22"/>
        </w:rPr>
        <w:t>jištění.</w:t>
      </w:r>
    </w:p>
    <w:p w14:paraId="6F690E80" w14:textId="77777777" w:rsidR="00EE320C" w:rsidRDefault="00EE320C" w:rsidP="00EE320C">
      <w:pPr>
        <w:rPr>
          <w:szCs w:val="22"/>
        </w:rPr>
      </w:pPr>
      <w:r w:rsidRPr="001A0D13">
        <w:rPr>
          <w:szCs w:val="22"/>
        </w:rPr>
        <w:t xml:space="preserve">ZZ projde formálním schvalovacím procesem popsaným ve smlouvě o dílo (viz Příloha č. </w:t>
      </w:r>
      <w:r>
        <w:rPr>
          <w:szCs w:val="22"/>
        </w:rPr>
        <w:t>2</w:t>
      </w:r>
      <w:r w:rsidRPr="001A0D13">
        <w:rPr>
          <w:szCs w:val="22"/>
        </w:rPr>
        <w:t xml:space="preserve"> výzvy). Schvalovací proces uzavírá zadavatel. K jeho uzavření dojde po předání nashromážděných materiálů</w:t>
      </w:r>
      <w:r>
        <w:rPr>
          <w:szCs w:val="22"/>
        </w:rPr>
        <w:t xml:space="preserve"> (včetně všech dílčích výstupů, které sloužily k vytvoření finální podoby ZZ)</w:t>
      </w:r>
      <w:r w:rsidRPr="001A0D13">
        <w:rPr>
          <w:szCs w:val="22"/>
        </w:rPr>
        <w:t>, finální verze zprávy a po zapracování připomínek v požadované kvalitě. Předání bude zaznamenáno písemným akceptačním protokolem.</w:t>
      </w:r>
    </w:p>
    <w:p w14:paraId="190738E7" w14:textId="77777777" w:rsidR="00EE320C" w:rsidRPr="001A0D13" w:rsidRDefault="00EE320C" w:rsidP="00EE320C">
      <w:pPr>
        <w:rPr>
          <w:szCs w:val="22"/>
        </w:rPr>
      </w:pPr>
    </w:p>
    <w:p w14:paraId="2C5E3F75" w14:textId="77777777" w:rsidR="00EE320C" w:rsidRDefault="00EE320C" w:rsidP="00EE320C">
      <w:pPr>
        <w:pStyle w:val="Nadpis2"/>
        <w:keepNext w:val="0"/>
        <w:keepLines w:val="0"/>
        <w:numPr>
          <w:ilvl w:val="0"/>
          <w:numId w:val="0"/>
        </w:numPr>
        <w:overflowPunct/>
        <w:autoSpaceDE/>
        <w:autoSpaceDN/>
        <w:adjustRightInd/>
        <w:spacing w:before="0" w:line="276" w:lineRule="auto"/>
        <w:ind w:left="576" w:hanging="576"/>
        <w:textAlignment w:val="auto"/>
        <w:rPr>
          <w:b/>
          <w:color w:val="000000" w:themeColor="text1"/>
          <w:szCs w:val="22"/>
        </w:rPr>
      </w:pPr>
      <w:r w:rsidRPr="00EE320C">
        <w:rPr>
          <w:b/>
          <w:color w:val="000000" w:themeColor="text1"/>
          <w:szCs w:val="22"/>
        </w:rPr>
        <w:t>Další plnění</w:t>
      </w:r>
    </w:p>
    <w:p w14:paraId="0829FD47" w14:textId="77777777" w:rsidR="002D706D" w:rsidRDefault="002D706D" w:rsidP="002D706D">
      <w:pPr>
        <w:rPr>
          <w:szCs w:val="22"/>
        </w:rPr>
      </w:pPr>
      <w:r>
        <w:rPr>
          <w:szCs w:val="22"/>
        </w:rPr>
        <w:t>Součástí plnění bude</w:t>
      </w:r>
      <w:r w:rsidRPr="006464B6">
        <w:rPr>
          <w:szCs w:val="22"/>
        </w:rPr>
        <w:t xml:space="preserve"> </w:t>
      </w:r>
      <w:r w:rsidRPr="00B63561">
        <w:rPr>
          <w:b/>
          <w:szCs w:val="22"/>
        </w:rPr>
        <w:t xml:space="preserve">Přehled zjištění </w:t>
      </w:r>
      <w:r>
        <w:rPr>
          <w:szCs w:val="22"/>
        </w:rPr>
        <w:t>na úrovni každé etapy (</w:t>
      </w:r>
      <w:r w:rsidRPr="006464B6">
        <w:rPr>
          <w:szCs w:val="22"/>
        </w:rPr>
        <w:t>ve formátu .xls nebo .xlsx</w:t>
      </w:r>
      <w:r>
        <w:rPr>
          <w:szCs w:val="22"/>
        </w:rPr>
        <w:t>). Tabulka bude obsahova</w:t>
      </w:r>
      <w:r w:rsidRPr="00B63561">
        <w:rPr>
          <w:szCs w:val="22"/>
        </w:rPr>
        <w:t xml:space="preserve">t </w:t>
      </w:r>
      <w:r>
        <w:rPr>
          <w:szCs w:val="22"/>
        </w:rPr>
        <w:t>p</w:t>
      </w:r>
      <w:r w:rsidRPr="00B63561">
        <w:rPr>
          <w:szCs w:val="22"/>
        </w:rPr>
        <w:t xml:space="preserve">opis předmětu etapy, </w:t>
      </w:r>
      <w:r>
        <w:rPr>
          <w:szCs w:val="22"/>
        </w:rPr>
        <w:t>h</w:t>
      </w:r>
      <w:r w:rsidRPr="00B63561">
        <w:rPr>
          <w:szCs w:val="22"/>
        </w:rPr>
        <w:t>lavní zjištění a výsledky dané etapy a v relevantních případech</w:t>
      </w:r>
      <w:r w:rsidRPr="00B63561">
        <w:rPr>
          <w:rStyle w:val="Znakapoznpodarou"/>
          <w:szCs w:val="22"/>
        </w:rPr>
        <w:footnoteReference w:id="4"/>
      </w:r>
      <w:r w:rsidRPr="00B63561">
        <w:rPr>
          <w:szCs w:val="22"/>
        </w:rPr>
        <w:t xml:space="preserve"> </w:t>
      </w:r>
      <w:r>
        <w:rPr>
          <w:szCs w:val="22"/>
        </w:rPr>
        <w:t xml:space="preserve">také </w:t>
      </w:r>
      <w:r w:rsidRPr="00B63561">
        <w:rPr>
          <w:szCs w:val="22"/>
        </w:rPr>
        <w:t xml:space="preserve">závěry a </w:t>
      </w:r>
      <w:r>
        <w:rPr>
          <w:szCs w:val="22"/>
        </w:rPr>
        <w:t>e</w:t>
      </w:r>
      <w:r w:rsidRPr="00B63561">
        <w:rPr>
          <w:szCs w:val="22"/>
        </w:rPr>
        <w:t>valuační doporučení.</w:t>
      </w:r>
    </w:p>
    <w:p w14:paraId="67BC6D7F" w14:textId="77777777" w:rsidR="002D706D" w:rsidRPr="00B63561" w:rsidRDefault="002D706D" w:rsidP="002D706D">
      <w:pPr>
        <w:rPr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1701"/>
        <w:gridCol w:w="4706"/>
      </w:tblGrid>
      <w:tr w:rsidR="002D706D" w:rsidRPr="00E83942" w14:paraId="1744B155" w14:textId="77777777" w:rsidTr="00943874">
        <w:trPr>
          <w:tblHeader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15" w:type="dxa"/>
              <w:left w:w="15" w:type="dxa"/>
              <w:bottom w:w="30" w:type="dxa"/>
              <w:right w:w="30" w:type="dxa"/>
            </w:tcMar>
            <w:vAlign w:val="center"/>
          </w:tcPr>
          <w:p w14:paraId="4DE64DD5" w14:textId="77777777" w:rsidR="002D706D" w:rsidRPr="00E15769" w:rsidRDefault="002D706D" w:rsidP="00943874">
            <w:pPr>
              <w:spacing w:before="30"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sz w:val="20"/>
              </w:rPr>
            </w:pPr>
            <w:r w:rsidRPr="00E15769">
              <w:rPr>
                <w:rFonts w:ascii="Arial" w:eastAsia="Arial" w:hAnsi="Arial" w:cs="Arial"/>
                <w:b/>
                <w:bCs/>
                <w:i/>
                <w:sz w:val="20"/>
              </w:rPr>
              <w:t>Číslo a název etapy</w:t>
            </w:r>
          </w:p>
        </w:tc>
      </w:tr>
      <w:tr w:rsidR="002D706D" w:rsidRPr="00E83942" w14:paraId="3002CFD2" w14:textId="77777777" w:rsidTr="00943874">
        <w:trPr>
          <w:tblHeader/>
        </w:trPr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30" w:type="dxa"/>
              <w:right w:w="30" w:type="dxa"/>
            </w:tcMar>
            <w:vAlign w:val="center"/>
          </w:tcPr>
          <w:p w14:paraId="4153D243" w14:textId="77777777" w:rsidR="002D706D" w:rsidRPr="00E15769" w:rsidRDefault="002D706D" w:rsidP="00943874">
            <w:pPr>
              <w:spacing w:after="0" w:line="240" w:lineRule="auto"/>
              <w:jc w:val="left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15769">
              <w:rPr>
                <w:rFonts w:ascii="Arial" w:eastAsia="Arial" w:hAnsi="Arial" w:cs="Arial"/>
                <w:b/>
                <w:color w:val="000000"/>
                <w:sz w:val="20"/>
              </w:rPr>
              <w:t>P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opis p</w:t>
            </w:r>
            <w:r w:rsidRPr="00E15769">
              <w:rPr>
                <w:rFonts w:ascii="Arial" w:eastAsia="Arial" w:hAnsi="Arial" w:cs="Arial"/>
                <w:b/>
                <w:color w:val="000000"/>
                <w:sz w:val="20"/>
              </w:rPr>
              <w:t>ředmět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u</w:t>
            </w:r>
            <w:r w:rsidRPr="00E1576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etapy</w:t>
            </w:r>
          </w:p>
        </w:tc>
        <w:tc>
          <w:tcPr>
            <w:tcW w:w="3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30" w:type="dxa"/>
              <w:right w:w="30" w:type="dxa"/>
            </w:tcMar>
          </w:tcPr>
          <w:p w14:paraId="47B619A6" w14:textId="77777777" w:rsidR="002D706D" w:rsidRPr="00E15769" w:rsidRDefault="002D706D" w:rsidP="00943874">
            <w:pPr>
              <w:spacing w:after="0" w:line="240" w:lineRule="auto"/>
              <w:jc w:val="left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  <w:tr w:rsidR="002D706D" w:rsidRPr="00E83942" w14:paraId="0D3E014D" w14:textId="77777777" w:rsidTr="00943874">
        <w:trPr>
          <w:tblHeader/>
        </w:trPr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30" w:type="dxa"/>
              <w:right w:w="30" w:type="dxa"/>
            </w:tcMar>
            <w:vAlign w:val="center"/>
          </w:tcPr>
          <w:p w14:paraId="76EB6EF2" w14:textId="77777777" w:rsidR="002D706D" w:rsidRPr="00E15769" w:rsidRDefault="002D706D" w:rsidP="00943874">
            <w:pPr>
              <w:spacing w:after="0" w:line="240" w:lineRule="auto"/>
              <w:jc w:val="left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15769">
              <w:rPr>
                <w:rFonts w:ascii="Arial" w:eastAsia="Arial" w:hAnsi="Arial" w:cs="Arial"/>
                <w:b/>
                <w:color w:val="000000"/>
                <w:sz w:val="20"/>
              </w:rPr>
              <w:t>Hlavní zjištění a výsledky</w:t>
            </w:r>
          </w:p>
        </w:tc>
        <w:tc>
          <w:tcPr>
            <w:tcW w:w="3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30" w:type="dxa"/>
              <w:right w:w="30" w:type="dxa"/>
            </w:tcMar>
          </w:tcPr>
          <w:p w14:paraId="410C3AF1" w14:textId="77777777" w:rsidR="002D706D" w:rsidRPr="00E15769" w:rsidRDefault="002D706D" w:rsidP="00943874">
            <w:pPr>
              <w:spacing w:after="0" w:line="240" w:lineRule="auto"/>
              <w:jc w:val="left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  <w:tr w:rsidR="002D706D" w:rsidRPr="00E83942" w14:paraId="18F3B4A8" w14:textId="77777777" w:rsidTr="00943874">
        <w:tc>
          <w:tcPr>
            <w:tcW w:w="2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30" w:type="dxa"/>
              <w:right w:w="30" w:type="dxa"/>
            </w:tcMar>
          </w:tcPr>
          <w:p w14:paraId="1EC4A0F8" w14:textId="77777777" w:rsidR="002D706D" w:rsidRPr="00E15769" w:rsidRDefault="002D706D" w:rsidP="00943874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 w:rsidRPr="00E157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Závěry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30" w:type="dxa"/>
              <w:right w:w="30" w:type="dxa"/>
            </w:tcMar>
          </w:tcPr>
          <w:p w14:paraId="78601432" w14:textId="77777777" w:rsidR="002D706D" w:rsidRPr="00E15769" w:rsidRDefault="002D706D" w:rsidP="00943874">
            <w:pPr>
              <w:spacing w:after="0" w:line="240" w:lineRule="auto"/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 w:rsidRPr="00E157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Doporučení</w:t>
            </w:r>
          </w:p>
        </w:tc>
      </w:tr>
      <w:tr w:rsidR="002D706D" w:rsidRPr="00E83942" w14:paraId="02B62255" w14:textId="77777777" w:rsidTr="00943874">
        <w:tc>
          <w:tcPr>
            <w:tcW w:w="2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30" w:type="dxa"/>
            </w:tcMar>
          </w:tcPr>
          <w:p w14:paraId="5866597C" w14:textId="77777777" w:rsidR="002D706D" w:rsidRPr="00E15769" w:rsidRDefault="002D706D" w:rsidP="00943874">
            <w:pPr>
              <w:spacing w:after="0" w:line="240" w:lineRule="auto"/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Z</w:t>
            </w:r>
            <w:r w:rsidRPr="00E15769">
              <w:rPr>
                <w:rFonts w:ascii="Arial" w:eastAsia="Arial" w:hAnsi="Arial" w:cs="Arial"/>
                <w:i/>
                <w:color w:val="000000"/>
                <w:sz w:val="20"/>
              </w:rPr>
              <w:t>ávěr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</w:t>
            </w:r>
            <w:r w:rsidRPr="00E15769">
              <w:rPr>
                <w:rFonts w:ascii="Arial" w:eastAsia="Arial" w:hAnsi="Arial" w:cs="Arial"/>
                <w:i/>
                <w:color w:val="000000"/>
                <w:sz w:val="20"/>
              </w:rPr>
              <w:t>1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30" w:type="dxa"/>
            </w:tcMar>
          </w:tcPr>
          <w:p w14:paraId="6983DCAF" w14:textId="77777777" w:rsidR="002D706D" w:rsidRPr="00E15769" w:rsidRDefault="002D706D" w:rsidP="00943874">
            <w:pPr>
              <w:spacing w:after="0" w:line="240" w:lineRule="auto"/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D</w:t>
            </w:r>
            <w:r w:rsidRPr="00E15769">
              <w:rPr>
                <w:rFonts w:ascii="Arial" w:eastAsia="Arial" w:hAnsi="Arial" w:cs="Arial"/>
                <w:i/>
                <w:color w:val="000000"/>
                <w:sz w:val="20"/>
              </w:rPr>
              <w:t>oporučení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</w:t>
            </w:r>
            <w:r w:rsidRPr="00E15769">
              <w:rPr>
                <w:rFonts w:ascii="Arial" w:eastAsia="Arial" w:hAnsi="Arial" w:cs="Arial"/>
                <w:i/>
                <w:color w:val="000000"/>
                <w:sz w:val="20"/>
              </w:rPr>
              <w:t>1</w:t>
            </w:r>
          </w:p>
        </w:tc>
      </w:tr>
      <w:tr w:rsidR="002D706D" w:rsidRPr="00E83942" w14:paraId="108E1E2A" w14:textId="77777777" w:rsidTr="00943874">
        <w:tc>
          <w:tcPr>
            <w:tcW w:w="2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30" w:type="dxa"/>
            </w:tcMar>
          </w:tcPr>
          <w:p w14:paraId="204FDAEB" w14:textId="77777777" w:rsidR="002D706D" w:rsidRPr="00E15769" w:rsidRDefault="002D706D" w:rsidP="00943874">
            <w:pPr>
              <w:spacing w:after="0" w:line="240" w:lineRule="auto"/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Z</w:t>
            </w:r>
            <w:r w:rsidRPr="00E15769">
              <w:rPr>
                <w:rFonts w:ascii="Arial" w:eastAsia="Arial" w:hAnsi="Arial" w:cs="Arial"/>
                <w:i/>
                <w:color w:val="000000"/>
                <w:sz w:val="20"/>
              </w:rPr>
              <w:t>ávěr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n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30" w:type="dxa"/>
            </w:tcMar>
          </w:tcPr>
          <w:p w14:paraId="328E1A27" w14:textId="77777777" w:rsidR="002D706D" w:rsidRPr="00E15769" w:rsidRDefault="002D706D" w:rsidP="00943874">
            <w:pPr>
              <w:spacing w:after="0" w:line="240" w:lineRule="auto"/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D</w:t>
            </w:r>
            <w:r w:rsidRPr="00E15769">
              <w:rPr>
                <w:rFonts w:ascii="Arial" w:eastAsia="Arial" w:hAnsi="Arial" w:cs="Arial"/>
                <w:i/>
                <w:color w:val="000000"/>
                <w:sz w:val="20"/>
              </w:rPr>
              <w:t>oporučení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n</w:t>
            </w:r>
          </w:p>
        </w:tc>
      </w:tr>
    </w:tbl>
    <w:p w14:paraId="297E2775" w14:textId="77777777" w:rsidR="002D706D" w:rsidRDefault="002D706D" w:rsidP="00EE320C">
      <w:pPr>
        <w:pStyle w:val="Zkladntext"/>
        <w:rPr>
          <w:rFonts w:cs="Calibri"/>
        </w:rPr>
      </w:pPr>
    </w:p>
    <w:p w14:paraId="36B54831" w14:textId="77777777" w:rsidR="00EE320C" w:rsidRDefault="00EE320C" w:rsidP="00EE320C">
      <w:pPr>
        <w:pStyle w:val="Zkladntext"/>
        <w:rPr>
          <w:rFonts w:cs="Calibri"/>
          <w:szCs w:val="22"/>
        </w:rPr>
      </w:pPr>
      <w:r w:rsidRPr="000339C1">
        <w:rPr>
          <w:rFonts w:cs="Calibri"/>
        </w:rPr>
        <w:t xml:space="preserve">Zadavatel poskytne dodavateli pro realizaci projektu relevantní dokumenty a data vztahující se </w:t>
      </w:r>
      <w:r w:rsidRPr="000339C1">
        <w:rPr>
          <w:rFonts w:cs="Calibri"/>
        </w:rPr>
        <w:lastRenderedPageBreak/>
        <w:t xml:space="preserve">k předmětu veřejné zakázky, kterými zadavatel disponuje. Bude-li potřeba, aby dodavatel získal informace z jiných zdrojů, není oprávněn požadovat za tímto účelem žádné další platby nad rámec jeho nabídkové ceny. </w:t>
      </w:r>
      <w:r w:rsidRPr="000339C1">
        <w:rPr>
          <w:rFonts w:cs="Calibri"/>
          <w:szCs w:val="22"/>
        </w:rPr>
        <w:t>Dodavatel má povinnost prověřit zadavatelem předaná data a případné námitky k podobě těchto dat uplatnit do 10 pracovních dnů od jejich předání. Pokud nejsou v uvedené lhůtě žádné námitky uplatněny, má se za to, že poskytovatel považuje předaná data za správná.</w:t>
      </w:r>
    </w:p>
    <w:p w14:paraId="639F4DB9" w14:textId="77777777" w:rsidR="00EE320C" w:rsidRDefault="00EE320C" w:rsidP="00EE320C">
      <w:pPr>
        <w:pStyle w:val="Zkladntext"/>
        <w:rPr>
          <w:szCs w:val="22"/>
        </w:rPr>
      </w:pPr>
      <w:r>
        <w:rPr>
          <w:szCs w:val="22"/>
        </w:rPr>
        <w:t xml:space="preserve">Po skončení plnění veřejné zakázky dodavatel tyto dokumenty vrátí zadavateli </w:t>
      </w:r>
      <w:r w:rsidRPr="000412E8">
        <w:rPr>
          <w:szCs w:val="22"/>
        </w:rPr>
        <w:t>(vyjma dokumentů v elektronické formě, které musí dodavatel po dokončení veřejné zakázky neprodleně odstranit).</w:t>
      </w:r>
    </w:p>
    <w:p w14:paraId="7175AECF" w14:textId="77777777" w:rsidR="00EE320C" w:rsidRDefault="00EE320C" w:rsidP="00EE320C">
      <w:pPr>
        <w:pStyle w:val="Zkladntext"/>
        <w:rPr>
          <w:szCs w:val="22"/>
        </w:rPr>
      </w:pPr>
      <w:r>
        <w:rPr>
          <w:szCs w:val="22"/>
        </w:rPr>
        <w:t>Dojde k předání všech pracovních výstupů zadavateli (např. jednotlivé výpočty vedoucí k navrhovaným výchozím a cílovým hodnotám relevantních indikátorů včetně vzorců a souvisejících dat, charakteristiky a výpočty pro stanovení výchozích hodnot relevantních indikátorů, příp. doplňující stanoviska k připomínkám členů Pracovní skupiny evaluace OP apod.)</w:t>
      </w:r>
    </w:p>
    <w:p w14:paraId="4AC03E06" w14:textId="3D5830CC" w:rsidR="00EE320C" w:rsidRPr="00077D10" w:rsidRDefault="00EE320C" w:rsidP="00EE320C">
      <w:pPr>
        <w:rPr>
          <w:szCs w:val="22"/>
        </w:rPr>
      </w:pPr>
      <w:r>
        <w:rPr>
          <w:szCs w:val="22"/>
        </w:rPr>
        <w:t>D</w:t>
      </w:r>
      <w:r w:rsidRPr="00CD78A7">
        <w:rPr>
          <w:szCs w:val="22"/>
        </w:rPr>
        <w:t>odavatel bude</w:t>
      </w:r>
      <w:r w:rsidRPr="008A4E43">
        <w:rPr>
          <w:szCs w:val="22"/>
        </w:rPr>
        <w:t xml:space="preserve"> </w:t>
      </w:r>
      <w:r w:rsidRPr="00CD78A7">
        <w:rPr>
          <w:szCs w:val="22"/>
        </w:rPr>
        <w:t>ZZ po vypořádání připomínek zadavatele prezentovat zadavateli formou power</w:t>
      </w:r>
      <w:r w:rsidRPr="008A7581">
        <w:rPr>
          <w:szCs w:val="22"/>
        </w:rPr>
        <w:t>pointové prezentace.</w:t>
      </w:r>
      <w:r>
        <w:rPr>
          <w:szCs w:val="22"/>
        </w:rPr>
        <w:t xml:space="preserve"> Termín bude zadavatelem upřesněn po předání ZZ</w:t>
      </w:r>
      <w:r w:rsidR="002D706D">
        <w:rPr>
          <w:szCs w:val="22"/>
        </w:rPr>
        <w:t>. Dodavatel zašle zadavateli návrh prezentace (formát .ppt nebo .pptx) dva pracovní dny před jejím představením v sídle zadavatele.</w:t>
      </w:r>
    </w:p>
    <w:p w14:paraId="4C184BB6" w14:textId="77777777" w:rsidR="00EE320C" w:rsidRDefault="00EE320C" w:rsidP="00EE320C">
      <w:pPr>
        <w:rPr>
          <w:szCs w:val="22"/>
        </w:rPr>
      </w:pPr>
      <w:r>
        <w:rPr>
          <w:szCs w:val="22"/>
        </w:rPr>
        <w:t>Předpokládá se p</w:t>
      </w:r>
      <w:r w:rsidRPr="002575D9">
        <w:t>růběžná komunikace dodavatele se zadavatelem a dalšími relevantními subjekty</w:t>
      </w:r>
      <w:r>
        <w:t xml:space="preserve"> v rozsahu:</w:t>
      </w:r>
      <w:r>
        <w:rPr>
          <w:szCs w:val="22"/>
        </w:rPr>
        <w:t xml:space="preserve"> písemné (e-mailové) hlášení dodavatele o</w:t>
      </w:r>
      <w:r w:rsidRPr="001F5852">
        <w:t xml:space="preserve"> </w:t>
      </w:r>
      <w:r w:rsidRPr="001F5852">
        <w:rPr>
          <w:szCs w:val="22"/>
        </w:rPr>
        <w:t>aktuálně prováděných pracích, dále o</w:t>
      </w:r>
      <w:r>
        <w:rPr>
          <w:szCs w:val="22"/>
        </w:rPr>
        <w:t> pracích, které byly v minulých 10 pracovních dnech</w:t>
      </w:r>
      <w:r w:rsidRPr="001F5852">
        <w:rPr>
          <w:szCs w:val="22"/>
        </w:rPr>
        <w:t xml:space="preserve"> odvedeny</w:t>
      </w:r>
      <w:r>
        <w:rPr>
          <w:szCs w:val="22"/>
        </w:rPr>
        <w:t>,</w:t>
      </w:r>
      <w:r w:rsidRPr="001F5852">
        <w:rPr>
          <w:szCs w:val="22"/>
        </w:rPr>
        <w:t xml:space="preserve"> a kte</w:t>
      </w:r>
      <w:r>
        <w:rPr>
          <w:szCs w:val="22"/>
        </w:rPr>
        <w:t>ré práce budou v následujících 10 pracovních dnech</w:t>
      </w:r>
      <w:r w:rsidRPr="001F5852">
        <w:rPr>
          <w:szCs w:val="22"/>
        </w:rPr>
        <w:t xml:space="preserve"> zahájeny</w:t>
      </w:r>
      <w:r>
        <w:rPr>
          <w:szCs w:val="22"/>
        </w:rPr>
        <w:t xml:space="preserve"> jedenkrát za 10 pracovních dnů a </w:t>
      </w:r>
      <w:r w:rsidRPr="001060ED">
        <w:rPr>
          <w:szCs w:val="22"/>
        </w:rPr>
        <w:t>osobní konzultace pro vyjasnění nejasností, odstranění nedostatků, doplnění nebo vypořádání připomínek zadavatele k vyhotoveným výstupům</w:t>
      </w:r>
      <w:r>
        <w:rPr>
          <w:szCs w:val="22"/>
        </w:rPr>
        <w:t xml:space="preserve">. </w:t>
      </w:r>
      <w:r>
        <w:rPr>
          <w:color w:val="000000"/>
        </w:rPr>
        <w:t>Zadavatel si vyhrazuje právo vyžádat si předložení průběžných výsledků a informací v průběhu realizace předmětné evaluace.</w:t>
      </w:r>
    </w:p>
    <w:p w14:paraId="226F1B51" w14:textId="5B1D75A8" w:rsidR="00ED6977" w:rsidRDefault="00EE320C" w:rsidP="00EE320C">
      <w:pPr>
        <w:rPr>
          <w:szCs w:val="22"/>
        </w:rPr>
      </w:pPr>
      <w:r>
        <w:rPr>
          <w:szCs w:val="22"/>
        </w:rPr>
        <w:t xml:space="preserve">Dodavatel dále </w:t>
      </w:r>
      <w:r w:rsidRPr="00CB2D43">
        <w:rPr>
          <w:szCs w:val="22"/>
        </w:rPr>
        <w:t>zpr</w:t>
      </w:r>
      <w:r>
        <w:rPr>
          <w:szCs w:val="22"/>
        </w:rPr>
        <w:t xml:space="preserve">acuje zápisy ze všech jednání se zadavatelem </w:t>
      </w:r>
      <w:r w:rsidRPr="00CB2D43">
        <w:rPr>
          <w:szCs w:val="22"/>
        </w:rPr>
        <w:t xml:space="preserve">či dalšími subjekty a zašle je do 3 pracovních dnů </w:t>
      </w:r>
      <w:r>
        <w:rPr>
          <w:szCs w:val="22"/>
        </w:rPr>
        <w:t>zadavateli</w:t>
      </w:r>
      <w:r w:rsidRPr="00CB2D43">
        <w:rPr>
          <w:szCs w:val="22"/>
        </w:rPr>
        <w:t>.</w:t>
      </w:r>
    </w:p>
    <w:sectPr w:rsidR="00ED6977" w:rsidSect="006965D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1B753" w14:textId="77777777" w:rsidR="009E131B" w:rsidRDefault="009E131B" w:rsidP="00534361">
      <w:pPr>
        <w:spacing w:after="0" w:line="240" w:lineRule="auto"/>
      </w:pPr>
      <w:r>
        <w:separator/>
      </w:r>
    </w:p>
  </w:endnote>
  <w:endnote w:type="continuationSeparator" w:id="0">
    <w:p w14:paraId="04611F26" w14:textId="77777777" w:rsidR="009E131B" w:rsidRDefault="009E131B" w:rsidP="0053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740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B5FDF93" w14:textId="77777777" w:rsidR="008A0D56" w:rsidRDefault="003C5322" w:rsidP="008A0D56">
            <w:pPr>
              <w:pStyle w:val="Zpat"/>
              <w:jc w:val="center"/>
            </w:pP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601D3E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8A0D56" w:rsidRPr="008A0D56">
              <w:t>/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601D3E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7810CFA2" w14:textId="77777777" w:rsidR="008A0D56" w:rsidRDefault="008A0D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AAEB6" w14:textId="77777777" w:rsidR="009E131B" w:rsidRDefault="009E131B" w:rsidP="00534361">
      <w:pPr>
        <w:spacing w:after="0" w:line="240" w:lineRule="auto"/>
      </w:pPr>
      <w:r>
        <w:separator/>
      </w:r>
    </w:p>
  </w:footnote>
  <w:footnote w:type="continuationSeparator" w:id="0">
    <w:p w14:paraId="3A64F788" w14:textId="77777777" w:rsidR="009E131B" w:rsidRDefault="009E131B" w:rsidP="00534361">
      <w:pPr>
        <w:spacing w:after="0" w:line="240" w:lineRule="auto"/>
      </w:pPr>
      <w:r>
        <w:continuationSeparator/>
      </w:r>
    </w:p>
  </w:footnote>
  <w:footnote w:id="1">
    <w:p w14:paraId="1437A77E" w14:textId="77777777" w:rsidR="00EE320C" w:rsidRDefault="00EE320C" w:rsidP="00EE320C">
      <w:pPr>
        <w:pStyle w:val="Textpoznpodarou"/>
      </w:pPr>
      <w:r>
        <w:rPr>
          <w:rStyle w:val="Znakapoznpodarou"/>
        </w:rPr>
        <w:footnoteRef/>
      </w:r>
      <w:r>
        <w:t xml:space="preserve"> U některých specifických cílů OP PIK nebyly zahrnuty kontextové/dopadové indikátory, které by umožnily vyhodnocovat dopad podpory i po uskutečnění projektu. Nastavené indikátory PO OP PIK jsou v některých případech stanoveny příliš obecně na úrovni výstupů a výsledků. Indikátorová soustava OP PIK pak neumožňuje vyhodnotit změnu „chování“ podpořených podniků. Dodavatel vezme v potaz danou skutečnost a v návrhu ji promítne tak, aby budoucí operační program tímto nedostatkem netrpěl.</w:t>
      </w:r>
    </w:p>
  </w:footnote>
  <w:footnote w:id="2">
    <w:p w14:paraId="3621511C" w14:textId="77777777" w:rsidR="00EE320C" w:rsidRDefault="00EE320C" w:rsidP="00EE320C">
      <w:pPr>
        <w:pStyle w:val="Textpoznpodarou"/>
      </w:pPr>
      <w:r w:rsidRPr="00001CA6">
        <w:rPr>
          <w:rStyle w:val="Znakapoznpodarou"/>
        </w:rPr>
        <w:footnoteRef/>
      </w:r>
      <w:r>
        <w:t xml:space="preserve"> Dle čl. 13 návrhu obecného nařízení.</w:t>
      </w:r>
    </w:p>
  </w:footnote>
  <w:footnote w:id="3">
    <w:p w14:paraId="37316BD3" w14:textId="77777777" w:rsidR="00EE320C" w:rsidRDefault="00EE320C" w:rsidP="00EE320C">
      <w:pPr>
        <w:pStyle w:val="Textpoznpodarou"/>
      </w:pPr>
      <w:r>
        <w:rPr>
          <w:rStyle w:val="Znakapoznpodarou"/>
        </w:rPr>
        <w:footnoteRef/>
      </w:r>
      <w:r>
        <w:t xml:space="preserve"> Rozsah </w:t>
      </w:r>
      <w:r w:rsidRPr="008A7581">
        <w:rPr>
          <w:szCs w:val="22"/>
        </w:rPr>
        <w:t xml:space="preserve">nezahrnuje </w:t>
      </w:r>
      <w:r>
        <w:rPr>
          <w:szCs w:val="22"/>
        </w:rPr>
        <w:t>relevantní</w:t>
      </w:r>
      <w:r w:rsidRPr="008A7581">
        <w:rPr>
          <w:szCs w:val="22"/>
        </w:rPr>
        <w:t xml:space="preserve"> přílohy</w:t>
      </w:r>
      <w:r>
        <w:rPr>
          <w:szCs w:val="22"/>
        </w:rPr>
        <w:t>.</w:t>
      </w:r>
    </w:p>
  </w:footnote>
  <w:footnote w:id="4">
    <w:p w14:paraId="140E08FA" w14:textId="77777777" w:rsidR="002D706D" w:rsidRDefault="002D706D" w:rsidP="002D706D">
      <w:pPr>
        <w:pStyle w:val="Textpoznpodarou"/>
      </w:pPr>
      <w:r>
        <w:rPr>
          <w:rStyle w:val="Znakapoznpodarou"/>
        </w:rPr>
        <w:footnoteRef/>
      </w:r>
      <w:r>
        <w:t xml:space="preserve"> Relevantní pro III. etapu, případně částečně i pro II. etapu.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FC39A" w14:textId="293883AC" w:rsidR="006965DA" w:rsidRPr="00B44548" w:rsidRDefault="006965DA" w:rsidP="00834CE4">
    <w:pPr>
      <w:jc w:val="center"/>
    </w:pPr>
    <w:r w:rsidRPr="00B44548">
      <w:rPr>
        <w:b/>
        <w:bCs/>
        <w:sz w:val="20"/>
        <w:szCs w:val="18"/>
      </w:rPr>
      <w:t xml:space="preserve">Příloha č. 1 </w:t>
    </w:r>
    <w:r w:rsidR="00947457">
      <w:rPr>
        <w:sz w:val="20"/>
        <w:szCs w:val="18"/>
      </w:rPr>
      <w:t>Smlouvy</w:t>
    </w:r>
    <w:r w:rsidR="00601D3E">
      <w:rPr>
        <w:sz w:val="20"/>
        <w:szCs w:val="18"/>
      </w:rPr>
      <w:t xml:space="preserve"> o dílo</w:t>
    </w:r>
    <w:r w:rsidR="00947457">
      <w:rPr>
        <w:sz w:val="20"/>
        <w:szCs w:val="18"/>
      </w:rPr>
      <w:t xml:space="preserve"> 6/2019/61100</w:t>
    </w:r>
  </w:p>
  <w:p w14:paraId="4A9880DD" w14:textId="77777777" w:rsidR="006965DA" w:rsidRDefault="006965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C92B9A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1A33F8"/>
    <w:multiLevelType w:val="multilevel"/>
    <w:tmpl w:val="DCE02F5A"/>
    <w:numStyleLink w:val="Styl4"/>
  </w:abstractNum>
  <w:abstractNum w:abstractNumId="2" w15:restartNumberingAfterBreak="0">
    <w:nsid w:val="036864E0"/>
    <w:multiLevelType w:val="hybridMultilevel"/>
    <w:tmpl w:val="362EF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4800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C18A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777627"/>
    <w:multiLevelType w:val="multilevel"/>
    <w:tmpl w:val="DCE02F5A"/>
    <w:numStyleLink w:val="Styl4"/>
  </w:abstractNum>
  <w:abstractNum w:abstractNumId="5" w15:restartNumberingAfterBreak="0">
    <w:nsid w:val="0DF52F1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AD00A9"/>
    <w:multiLevelType w:val="multilevel"/>
    <w:tmpl w:val="DCE02F5A"/>
    <w:numStyleLink w:val="Styl4"/>
  </w:abstractNum>
  <w:abstractNum w:abstractNumId="7" w15:restartNumberingAfterBreak="0">
    <w:nsid w:val="135B3A11"/>
    <w:multiLevelType w:val="hybridMultilevel"/>
    <w:tmpl w:val="BA9EC418"/>
    <w:lvl w:ilvl="0" w:tplc="20C2F3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7FE3"/>
    <w:multiLevelType w:val="hybridMultilevel"/>
    <w:tmpl w:val="59208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AA4"/>
    <w:multiLevelType w:val="multilevel"/>
    <w:tmpl w:val="C5C24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DA79ED"/>
    <w:multiLevelType w:val="multilevel"/>
    <w:tmpl w:val="DCE02F5A"/>
    <w:numStyleLink w:val="Styl4"/>
  </w:abstractNum>
  <w:abstractNum w:abstractNumId="11" w15:restartNumberingAfterBreak="0">
    <w:nsid w:val="243075C6"/>
    <w:multiLevelType w:val="multilevel"/>
    <w:tmpl w:val="FC68A90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AD4380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462088"/>
    <w:multiLevelType w:val="multilevel"/>
    <w:tmpl w:val="DCE02F5A"/>
    <w:numStyleLink w:val="Styl4"/>
  </w:abstractNum>
  <w:abstractNum w:abstractNumId="14" w15:restartNumberingAfterBreak="0">
    <w:nsid w:val="31651D10"/>
    <w:multiLevelType w:val="multilevel"/>
    <w:tmpl w:val="DCE02F5A"/>
    <w:numStyleLink w:val="Styl4"/>
  </w:abstractNum>
  <w:abstractNum w:abstractNumId="15" w15:restartNumberingAfterBreak="0">
    <w:nsid w:val="337833B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8C51D0"/>
    <w:multiLevelType w:val="hybridMultilevel"/>
    <w:tmpl w:val="59208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40045"/>
    <w:multiLevelType w:val="multilevel"/>
    <w:tmpl w:val="DCE02F5A"/>
    <w:numStyleLink w:val="Styl4"/>
  </w:abstractNum>
  <w:abstractNum w:abstractNumId="18" w15:restartNumberingAfterBreak="0">
    <w:nsid w:val="3E3D6D5E"/>
    <w:multiLevelType w:val="hybridMultilevel"/>
    <w:tmpl w:val="72C0B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4800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649B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176806"/>
    <w:multiLevelType w:val="hybridMultilevel"/>
    <w:tmpl w:val="E2BCC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175BA"/>
    <w:multiLevelType w:val="hybridMultilevel"/>
    <w:tmpl w:val="6BB80A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3771C"/>
    <w:multiLevelType w:val="hybridMultilevel"/>
    <w:tmpl w:val="59208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92DAF"/>
    <w:multiLevelType w:val="hybridMultilevel"/>
    <w:tmpl w:val="BDFCF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5677E"/>
    <w:multiLevelType w:val="hybridMultilevel"/>
    <w:tmpl w:val="362EF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4800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74C5C"/>
    <w:multiLevelType w:val="multilevel"/>
    <w:tmpl w:val="DCE02F5A"/>
    <w:numStyleLink w:val="Styl4"/>
  </w:abstractNum>
  <w:abstractNum w:abstractNumId="26" w15:restartNumberingAfterBreak="0">
    <w:nsid w:val="5EBB6A20"/>
    <w:multiLevelType w:val="hybridMultilevel"/>
    <w:tmpl w:val="362EF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4800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1607B"/>
    <w:multiLevelType w:val="hybridMultilevel"/>
    <w:tmpl w:val="2D9C3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257CC"/>
    <w:multiLevelType w:val="hybridMultilevel"/>
    <w:tmpl w:val="014E47FC"/>
    <w:lvl w:ilvl="0" w:tplc="0ABC3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04A88"/>
    <w:multiLevelType w:val="multilevel"/>
    <w:tmpl w:val="DCE02F5A"/>
    <w:numStyleLink w:val="Styl4"/>
  </w:abstractNum>
  <w:abstractNum w:abstractNumId="30" w15:restartNumberingAfterBreak="0">
    <w:nsid w:val="67087094"/>
    <w:multiLevelType w:val="hybridMultilevel"/>
    <w:tmpl w:val="362EF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4800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E7EF5"/>
    <w:multiLevelType w:val="multilevel"/>
    <w:tmpl w:val="DCE02F5A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CFB1E9B"/>
    <w:multiLevelType w:val="hybridMultilevel"/>
    <w:tmpl w:val="4B0ED9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D691A"/>
    <w:multiLevelType w:val="multilevel"/>
    <w:tmpl w:val="DCE02F5A"/>
    <w:numStyleLink w:val="Styl4"/>
  </w:abstractNum>
  <w:abstractNum w:abstractNumId="34" w15:restartNumberingAfterBreak="0">
    <w:nsid w:val="7DF97B81"/>
    <w:multiLevelType w:val="multilevel"/>
    <w:tmpl w:val="DCE02F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16"/>
  </w:num>
  <w:num w:numId="5">
    <w:abstractNumId w:val="30"/>
  </w:num>
  <w:num w:numId="6">
    <w:abstractNumId w:val="18"/>
  </w:num>
  <w:num w:numId="7">
    <w:abstractNumId w:val="24"/>
  </w:num>
  <w:num w:numId="8">
    <w:abstractNumId w:val="26"/>
  </w:num>
  <w:num w:numId="9">
    <w:abstractNumId w:val="11"/>
  </w:num>
  <w:num w:numId="10">
    <w:abstractNumId w:val="7"/>
  </w:num>
  <w:num w:numId="11">
    <w:abstractNumId w:val="28"/>
  </w:num>
  <w:num w:numId="12">
    <w:abstractNumId w:val="31"/>
  </w:num>
  <w:num w:numId="13">
    <w:abstractNumId w:val="25"/>
  </w:num>
  <w:num w:numId="14">
    <w:abstractNumId w:val="14"/>
  </w:num>
  <w:num w:numId="15">
    <w:abstractNumId w:val="13"/>
  </w:num>
  <w:num w:numId="16">
    <w:abstractNumId w:val="17"/>
  </w:num>
  <w:num w:numId="17">
    <w:abstractNumId w:val="34"/>
  </w:num>
  <w:num w:numId="18">
    <w:abstractNumId w:val="10"/>
  </w:num>
  <w:num w:numId="19">
    <w:abstractNumId w:val="29"/>
  </w:num>
  <w:num w:numId="20">
    <w:abstractNumId w:val="1"/>
  </w:num>
  <w:num w:numId="21">
    <w:abstractNumId w:val="33"/>
  </w:num>
  <w:num w:numId="22">
    <w:abstractNumId w:val="4"/>
  </w:num>
  <w:num w:numId="23">
    <w:abstractNumId w:val="6"/>
  </w:num>
  <w:num w:numId="24">
    <w:abstractNumId w:val="23"/>
  </w:num>
  <w:num w:numId="25">
    <w:abstractNumId w:val="19"/>
  </w:num>
  <w:num w:numId="26">
    <w:abstractNumId w:val="15"/>
  </w:num>
  <w:num w:numId="27">
    <w:abstractNumId w:val="12"/>
  </w:num>
  <w:num w:numId="28">
    <w:abstractNumId w:val="3"/>
  </w:num>
  <w:num w:numId="29">
    <w:abstractNumId w:val="27"/>
  </w:num>
  <w:num w:numId="30">
    <w:abstractNumId w:val="9"/>
  </w:num>
  <w:num w:numId="31">
    <w:abstractNumId w:val="21"/>
  </w:num>
  <w:num w:numId="32">
    <w:abstractNumId w:val="20"/>
  </w:num>
  <w:num w:numId="33">
    <w:abstractNumId w:val="5"/>
  </w:num>
  <w:num w:numId="34">
    <w:abstractNumId w:val="11"/>
  </w:num>
  <w:num w:numId="35">
    <w:abstractNumId w:val="11"/>
  </w:num>
  <w:num w:numId="36">
    <w:abstractNumId w:val="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2"/>
  </w:compat>
  <w:rsids>
    <w:rsidRoot w:val="00534361"/>
    <w:rsid w:val="00001547"/>
    <w:rsid w:val="00014125"/>
    <w:rsid w:val="00017530"/>
    <w:rsid w:val="0002040B"/>
    <w:rsid w:val="0003639A"/>
    <w:rsid w:val="00060075"/>
    <w:rsid w:val="00063BF8"/>
    <w:rsid w:val="00076077"/>
    <w:rsid w:val="000846F0"/>
    <w:rsid w:val="00091D24"/>
    <w:rsid w:val="00093153"/>
    <w:rsid w:val="000A025E"/>
    <w:rsid w:val="000A78C0"/>
    <w:rsid w:val="000A7CCA"/>
    <w:rsid w:val="000B5FB5"/>
    <w:rsid w:val="000C7F65"/>
    <w:rsid w:val="000E3CDD"/>
    <w:rsid w:val="000E45D2"/>
    <w:rsid w:val="000E562D"/>
    <w:rsid w:val="000E5FA6"/>
    <w:rsid w:val="000F61FE"/>
    <w:rsid w:val="00104EDF"/>
    <w:rsid w:val="00116979"/>
    <w:rsid w:val="0013456D"/>
    <w:rsid w:val="00144074"/>
    <w:rsid w:val="0015475A"/>
    <w:rsid w:val="00165534"/>
    <w:rsid w:val="00192D14"/>
    <w:rsid w:val="001B1A58"/>
    <w:rsid w:val="001B4CDA"/>
    <w:rsid w:val="001C14EB"/>
    <w:rsid w:val="001D659F"/>
    <w:rsid w:val="001E3C36"/>
    <w:rsid w:val="001F1936"/>
    <w:rsid w:val="001F2C33"/>
    <w:rsid w:val="001F613B"/>
    <w:rsid w:val="0020419B"/>
    <w:rsid w:val="0021082C"/>
    <w:rsid w:val="00211A4A"/>
    <w:rsid w:val="00213EBE"/>
    <w:rsid w:val="0021628E"/>
    <w:rsid w:val="00221772"/>
    <w:rsid w:val="00232C76"/>
    <w:rsid w:val="002369B1"/>
    <w:rsid w:val="002440A0"/>
    <w:rsid w:val="00253575"/>
    <w:rsid w:val="00260062"/>
    <w:rsid w:val="0026124F"/>
    <w:rsid w:val="00261772"/>
    <w:rsid w:val="00282534"/>
    <w:rsid w:val="002A0772"/>
    <w:rsid w:val="002A421E"/>
    <w:rsid w:val="002B2D09"/>
    <w:rsid w:val="002D706D"/>
    <w:rsid w:val="002F2CA1"/>
    <w:rsid w:val="00304E7A"/>
    <w:rsid w:val="00315967"/>
    <w:rsid w:val="00320544"/>
    <w:rsid w:val="003359E6"/>
    <w:rsid w:val="0035118D"/>
    <w:rsid w:val="0036309D"/>
    <w:rsid w:val="00367257"/>
    <w:rsid w:val="00371435"/>
    <w:rsid w:val="00382B81"/>
    <w:rsid w:val="003B54AA"/>
    <w:rsid w:val="003C328B"/>
    <w:rsid w:val="003C4301"/>
    <w:rsid w:val="003C5322"/>
    <w:rsid w:val="003C6ECA"/>
    <w:rsid w:val="003D2635"/>
    <w:rsid w:val="003F690B"/>
    <w:rsid w:val="00401DA1"/>
    <w:rsid w:val="00412C04"/>
    <w:rsid w:val="00413F41"/>
    <w:rsid w:val="00414552"/>
    <w:rsid w:val="004272F9"/>
    <w:rsid w:val="00450D96"/>
    <w:rsid w:val="00450DB5"/>
    <w:rsid w:val="00452C32"/>
    <w:rsid w:val="004640A6"/>
    <w:rsid w:val="004652AC"/>
    <w:rsid w:val="0048276D"/>
    <w:rsid w:val="004A3A53"/>
    <w:rsid w:val="004A45E1"/>
    <w:rsid w:val="004B50A6"/>
    <w:rsid w:val="004C1B69"/>
    <w:rsid w:val="004D3149"/>
    <w:rsid w:val="004E60D7"/>
    <w:rsid w:val="004F5F8E"/>
    <w:rsid w:val="00514CF5"/>
    <w:rsid w:val="00516E4C"/>
    <w:rsid w:val="00523CD2"/>
    <w:rsid w:val="0052436C"/>
    <w:rsid w:val="00534361"/>
    <w:rsid w:val="00535663"/>
    <w:rsid w:val="0056156D"/>
    <w:rsid w:val="0058252A"/>
    <w:rsid w:val="00582C59"/>
    <w:rsid w:val="0058397A"/>
    <w:rsid w:val="0059382C"/>
    <w:rsid w:val="005A6A8B"/>
    <w:rsid w:val="005B16C8"/>
    <w:rsid w:val="005C0625"/>
    <w:rsid w:val="005D33B5"/>
    <w:rsid w:val="005F0A46"/>
    <w:rsid w:val="00601D3E"/>
    <w:rsid w:val="00602E0D"/>
    <w:rsid w:val="00610878"/>
    <w:rsid w:val="00610C32"/>
    <w:rsid w:val="00634ED7"/>
    <w:rsid w:val="006464B6"/>
    <w:rsid w:val="006573FC"/>
    <w:rsid w:val="006660CC"/>
    <w:rsid w:val="00671050"/>
    <w:rsid w:val="00680261"/>
    <w:rsid w:val="006965DA"/>
    <w:rsid w:val="00697592"/>
    <w:rsid w:val="006A6BEE"/>
    <w:rsid w:val="006C17A8"/>
    <w:rsid w:val="006C37CF"/>
    <w:rsid w:val="006D15B0"/>
    <w:rsid w:val="006E55A0"/>
    <w:rsid w:val="006F1F2F"/>
    <w:rsid w:val="0070368C"/>
    <w:rsid w:val="00703DC6"/>
    <w:rsid w:val="00706BD3"/>
    <w:rsid w:val="00715677"/>
    <w:rsid w:val="0073242D"/>
    <w:rsid w:val="00743D49"/>
    <w:rsid w:val="00746D2A"/>
    <w:rsid w:val="00772BC5"/>
    <w:rsid w:val="007965AE"/>
    <w:rsid w:val="007B1A6A"/>
    <w:rsid w:val="007C7772"/>
    <w:rsid w:val="007D5B35"/>
    <w:rsid w:val="007E0503"/>
    <w:rsid w:val="007E4DE1"/>
    <w:rsid w:val="00803A35"/>
    <w:rsid w:val="00805A1C"/>
    <w:rsid w:val="0081244F"/>
    <w:rsid w:val="00821BA5"/>
    <w:rsid w:val="00834CE4"/>
    <w:rsid w:val="00851CF7"/>
    <w:rsid w:val="008559EA"/>
    <w:rsid w:val="00856D1D"/>
    <w:rsid w:val="008745A4"/>
    <w:rsid w:val="00886849"/>
    <w:rsid w:val="008877B1"/>
    <w:rsid w:val="0089370F"/>
    <w:rsid w:val="00894A0E"/>
    <w:rsid w:val="008A0D56"/>
    <w:rsid w:val="008A64CF"/>
    <w:rsid w:val="008B1766"/>
    <w:rsid w:val="008C6D6D"/>
    <w:rsid w:val="008D128E"/>
    <w:rsid w:val="008D1CB7"/>
    <w:rsid w:val="008E6BD9"/>
    <w:rsid w:val="008F4782"/>
    <w:rsid w:val="0090083D"/>
    <w:rsid w:val="00900B30"/>
    <w:rsid w:val="00926EB9"/>
    <w:rsid w:val="009309D7"/>
    <w:rsid w:val="00941C7B"/>
    <w:rsid w:val="00947457"/>
    <w:rsid w:val="009741F8"/>
    <w:rsid w:val="009812FB"/>
    <w:rsid w:val="00985F1A"/>
    <w:rsid w:val="00986CCC"/>
    <w:rsid w:val="0099357B"/>
    <w:rsid w:val="0099614D"/>
    <w:rsid w:val="009A08D7"/>
    <w:rsid w:val="009A1914"/>
    <w:rsid w:val="009C496A"/>
    <w:rsid w:val="009C5622"/>
    <w:rsid w:val="009D6058"/>
    <w:rsid w:val="009E131B"/>
    <w:rsid w:val="009F1646"/>
    <w:rsid w:val="009F2A1D"/>
    <w:rsid w:val="00A27AF6"/>
    <w:rsid w:val="00A40B0A"/>
    <w:rsid w:val="00A433C7"/>
    <w:rsid w:val="00A448DA"/>
    <w:rsid w:val="00A6273C"/>
    <w:rsid w:val="00A71A64"/>
    <w:rsid w:val="00A71FBA"/>
    <w:rsid w:val="00A72431"/>
    <w:rsid w:val="00A83F98"/>
    <w:rsid w:val="00AA4DCB"/>
    <w:rsid w:val="00AB0ACA"/>
    <w:rsid w:val="00AB0F94"/>
    <w:rsid w:val="00AB7998"/>
    <w:rsid w:val="00AC51E5"/>
    <w:rsid w:val="00AE31E1"/>
    <w:rsid w:val="00AF0111"/>
    <w:rsid w:val="00B00010"/>
    <w:rsid w:val="00B1416C"/>
    <w:rsid w:val="00B320D0"/>
    <w:rsid w:val="00B40774"/>
    <w:rsid w:val="00B44548"/>
    <w:rsid w:val="00B46D93"/>
    <w:rsid w:val="00B52FC4"/>
    <w:rsid w:val="00B55A65"/>
    <w:rsid w:val="00B63561"/>
    <w:rsid w:val="00B656DB"/>
    <w:rsid w:val="00B66AEA"/>
    <w:rsid w:val="00B976E4"/>
    <w:rsid w:val="00BA1837"/>
    <w:rsid w:val="00BB2C31"/>
    <w:rsid w:val="00BC25E9"/>
    <w:rsid w:val="00BD2717"/>
    <w:rsid w:val="00BE0C02"/>
    <w:rsid w:val="00BE30AC"/>
    <w:rsid w:val="00C0649A"/>
    <w:rsid w:val="00C77D4C"/>
    <w:rsid w:val="00C84D5C"/>
    <w:rsid w:val="00C94DDA"/>
    <w:rsid w:val="00CA0490"/>
    <w:rsid w:val="00CA6C81"/>
    <w:rsid w:val="00CB4127"/>
    <w:rsid w:val="00CC3ED9"/>
    <w:rsid w:val="00CD485D"/>
    <w:rsid w:val="00D0010E"/>
    <w:rsid w:val="00D343B6"/>
    <w:rsid w:val="00D36DE1"/>
    <w:rsid w:val="00D41508"/>
    <w:rsid w:val="00D47036"/>
    <w:rsid w:val="00D758CB"/>
    <w:rsid w:val="00D822B6"/>
    <w:rsid w:val="00D83DFF"/>
    <w:rsid w:val="00D85EE4"/>
    <w:rsid w:val="00D9292A"/>
    <w:rsid w:val="00D9375A"/>
    <w:rsid w:val="00DB3174"/>
    <w:rsid w:val="00DB5368"/>
    <w:rsid w:val="00DC0902"/>
    <w:rsid w:val="00DF251D"/>
    <w:rsid w:val="00E00305"/>
    <w:rsid w:val="00E1005C"/>
    <w:rsid w:val="00E15769"/>
    <w:rsid w:val="00E170DE"/>
    <w:rsid w:val="00E4509A"/>
    <w:rsid w:val="00E651C1"/>
    <w:rsid w:val="00E66EA5"/>
    <w:rsid w:val="00E80D9F"/>
    <w:rsid w:val="00E83942"/>
    <w:rsid w:val="00E94D8E"/>
    <w:rsid w:val="00E967F9"/>
    <w:rsid w:val="00EB1579"/>
    <w:rsid w:val="00EB2232"/>
    <w:rsid w:val="00EC6ACA"/>
    <w:rsid w:val="00ED6977"/>
    <w:rsid w:val="00EE320C"/>
    <w:rsid w:val="00F07EFF"/>
    <w:rsid w:val="00F33406"/>
    <w:rsid w:val="00F35FA5"/>
    <w:rsid w:val="00F42641"/>
    <w:rsid w:val="00F61E3A"/>
    <w:rsid w:val="00F75585"/>
    <w:rsid w:val="00F8007E"/>
    <w:rsid w:val="00F8147E"/>
    <w:rsid w:val="00F83443"/>
    <w:rsid w:val="00F84BA7"/>
    <w:rsid w:val="00F91426"/>
    <w:rsid w:val="00F9529E"/>
    <w:rsid w:val="00FB2E66"/>
    <w:rsid w:val="00FC1A93"/>
    <w:rsid w:val="00FC4D7F"/>
    <w:rsid w:val="00FD0C36"/>
    <w:rsid w:val="00FD411B"/>
    <w:rsid w:val="00FF01D8"/>
    <w:rsid w:val="00FF27CE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16D83"/>
  <w15:docId w15:val="{09A8FC19-B009-4FF3-88A9-742CF412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361"/>
    <w:pPr>
      <w:overflowPunct w:val="0"/>
      <w:autoSpaceDE w:val="0"/>
      <w:autoSpaceDN w:val="0"/>
      <w:adjustRightInd w:val="0"/>
      <w:spacing w:after="90" w:line="340" w:lineRule="exact"/>
      <w:jc w:val="both"/>
      <w:textAlignment w:val="baseline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C0625"/>
    <w:pPr>
      <w:keepNext/>
      <w:keepLines/>
      <w:numPr>
        <w:numId w:val="9"/>
      </w:numPr>
      <w:spacing w:before="36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0625"/>
    <w:pPr>
      <w:keepNext/>
      <w:keepLines/>
      <w:numPr>
        <w:ilvl w:val="1"/>
        <w:numId w:val="9"/>
      </w:numPr>
      <w:spacing w:before="2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C0625"/>
    <w:pPr>
      <w:keepNext/>
      <w:keepLines/>
      <w:numPr>
        <w:ilvl w:val="2"/>
        <w:numId w:val="9"/>
      </w:numPr>
      <w:spacing w:before="18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C0625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C0625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C0625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C0625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C0625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C0625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qFormat/>
    <w:rsid w:val="0053436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534361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34361"/>
    <w:rPr>
      <w:rFonts w:asciiTheme="minorHAnsi" w:hAnsiTheme="minorHAnsi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iPriority w:val="99"/>
    <w:unhideWhenUsed/>
    <w:rsid w:val="0053436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3436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C06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C06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C0625"/>
    <w:rPr>
      <w:rFonts w:asciiTheme="minorHAnsi" w:eastAsiaTheme="majorEastAsia" w:hAnsiTheme="minorHAnsi" w:cstheme="majorBidi"/>
      <w:b/>
      <w:color w:val="000000" w:themeColor="tex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C0625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Nadpis5Char">
    <w:name w:val="Nadpis 5 Char"/>
    <w:basedOn w:val="Standardnpsmoodstavce"/>
    <w:link w:val="Nadpis5"/>
    <w:uiPriority w:val="9"/>
    <w:rsid w:val="005C0625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C0625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C0625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C06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C06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2F2CA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72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2F9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2F9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2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72F9"/>
    <w:rPr>
      <w:rFonts w:asciiTheme="minorHAnsi" w:hAnsiTheme="minorHAns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2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496A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4">
    <w:name w:val="Styl4"/>
    <w:uiPriority w:val="99"/>
    <w:rsid w:val="0015475A"/>
    <w:pPr>
      <w:numPr>
        <w:numId w:val="12"/>
      </w:numPr>
    </w:pPr>
  </w:style>
  <w:style w:type="table" w:styleId="Mkatabulky">
    <w:name w:val="Table Grid"/>
    <w:basedOn w:val="Normlntabulka"/>
    <w:uiPriority w:val="59"/>
    <w:rsid w:val="0015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qFormat/>
    <w:rsid w:val="0015475A"/>
    <w:pPr>
      <w:overflowPunct/>
      <w:autoSpaceDE/>
      <w:autoSpaceDN/>
      <w:adjustRightInd/>
      <w:spacing w:before="120" w:after="120" w:line="276" w:lineRule="auto"/>
      <w:textAlignment w:val="auto"/>
    </w:pPr>
    <w:rPr>
      <w:rFonts w:ascii="Arial" w:hAnsi="Arial" w:cs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8A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D56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8A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D56"/>
    <w:rPr>
      <w:rFonts w:asciiTheme="minorHAnsi" w:hAnsiTheme="minorHAnsi"/>
      <w:sz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257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EE320C"/>
    <w:pPr>
      <w:widowControl w:val="0"/>
      <w:suppressAutoHyphens/>
      <w:overflowPunct/>
      <w:autoSpaceDE/>
      <w:autoSpaceDN/>
      <w:adjustRightInd/>
      <w:spacing w:after="120" w:line="276" w:lineRule="auto"/>
      <w:textAlignment w:val="auto"/>
    </w:pPr>
    <w:rPr>
      <w:rFonts w:ascii="Calibri" w:hAnsi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E320C"/>
    <w:rPr>
      <w:rFonts w:ascii="Calibri" w:hAnsi="Calibri"/>
      <w:sz w:val="22"/>
      <w:lang w:eastAsia="ar-SA"/>
    </w:rPr>
  </w:style>
  <w:style w:type="paragraph" w:styleId="slovanseznam">
    <w:name w:val="List Number"/>
    <w:basedOn w:val="Normln"/>
    <w:rsid w:val="00EE320C"/>
    <w:pPr>
      <w:numPr>
        <w:numId w:val="36"/>
      </w:numPr>
      <w:suppressAutoHyphens/>
      <w:overflowPunct/>
      <w:autoSpaceDE/>
      <w:autoSpaceDN/>
      <w:adjustRightInd/>
      <w:spacing w:after="120" w:line="276" w:lineRule="auto"/>
      <w:contextualSpacing/>
      <w:textAlignment w:val="auto"/>
    </w:pPr>
    <w:rPr>
      <w:rFonts w:ascii="Calibri" w:hAnsi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5D850-986D-45CB-AEA6-884CC6B2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937037B.dotm</Template>
  <TotalTime>3389</TotalTime>
  <Pages>3</Pages>
  <Words>1052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Ptáčník Martin</dc:creator>
  <cp:lastModifiedBy>Kloučková Šárka</cp:lastModifiedBy>
  <cp:revision>139</cp:revision>
  <dcterms:created xsi:type="dcterms:W3CDTF">2019-02-06T12:48:00Z</dcterms:created>
  <dcterms:modified xsi:type="dcterms:W3CDTF">2019-10-01T13:41:00Z</dcterms:modified>
</cp:coreProperties>
</file>