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Pěna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dodatek 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16142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1 708,13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Pěna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6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Lásenice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6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4798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Malíkov nad Nežárkou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Nítovice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4.9.2019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4.9.2019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4.9.2019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14803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1 348,05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37062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3 244,40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Pěna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9556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855,47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Doňov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 půda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24904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2 597,00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Lhota u Lásenice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Pěna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stavba nájemce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14891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1 497,07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Lásenice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17053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1 526,93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66476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6 482,22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9 727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7 nájemní smlouvy č. 108N11/17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24.9.2019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