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Pluhův Žďár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Pluhův Žďár 59, 37824 Pluhův Žďár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Jižná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1 309,18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2 421,79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22 868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2 590,94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71 841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8 139,58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Klenov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12 906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1 263,50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Mostečný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8 380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5 606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509,00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58 488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4 748,07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Plasná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21 689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1 908,63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Pluhův Žďár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ohlášeno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22 650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2 665,90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Pohoří u Kardašovy Řečice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16 375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1 689,56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Samosoly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5 166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538,70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Ratmírov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8 000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735,68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217 115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21 690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č.112N04/17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11210417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21 690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24.9.2019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