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1651" w:h="427" w:wrap="none" w:hAnchor="page" w:x="918" w:y="-11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silnic 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widowControl w:val="0"/>
        <w:spacing w:after="307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1631315</wp:posOffset>
            </wp:positionH>
            <wp:positionV relativeFrom="margin">
              <wp:posOffset>-26670</wp:posOffset>
            </wp:positionV>
            <wp:extent cx="628015" cy="19494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28015" cy="1949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headerReference w:type="default" r:id="rId7"/>
          <w:footerReference w:type="default" r:id="rId8"/>
          <w:footnotePr>
            <w:pos w:val="pageBottom"/>
            <w:numFmt w:val="decimal"/>
            <w:numRestart w:val="continuous"/>
          </w:footnotePr>
          <w:pgSz w:w="11900" w:h="16840"/>
          <w:pgMar w:top="1132" w:left="917" w:right="1061" w:bottom="1200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</w:t>
        <w:br/>
        <w:t>DODATEK č.1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„Oprava komunikace po výkopových pracech“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 KSUSV - 050/2019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</w:t>
      </w:r>
    </w:p>
    <w:tbl>
      <w:tblPr>
        <w:tblOverlap w:val="never"/>
        <w:jc w:val="center"/>
        <w:tblLayout w:type="fixed"/>
      </w:tblPr>
      <w:tblGrid>
        <w:gridCol w:w="1997"/>
        <w:gridCol w:w="7488"/>
      </w:tblGrid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UNIMONT J.C.K., s.r.o.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Hradec 8, 584 01 Ledeč nad Sázavou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 xml:space="preserve">Zastoupený: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Jiřím Cihlářem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Komerční banka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97"/>
        <w:gridCol w:w="7488"/>
      </w:tblGrid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25269445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CZ25269445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 E-mail: (dále jen objednatel)</w:t>
      </w:r>
    </w:p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97"/>
        <w:gridCol w:w="7488"/>
      </w:tblGrid>
      <w:tr>
        <w:trPr>
          <w:trHeight w:val="3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1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Ing. Radovanem Necidem, ředitelem organizace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tabs>
          <w:tab w:pos="775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zhotovitele ve věcech technických:</w:t>
        <w:tab/>
        <w:t>Vedoucí výrobního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oddělení Havlíčkův Brod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141" w:val="left"/>
        </w:tabs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odpovědná jednat jménem zhotovitele při předání a převzetí prací:</w:t>
        <w:tab/>
        <w:t>, vedoucí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Chotěboř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97"/>
        <w:gridCol w:w="7488"/>
      </w:tblGrid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Bankovní spojení: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Komerční banka, a.s.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 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97"/>
        <w:gridCol w:w="7488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00090450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CZ00090450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E-mail:</w:t>
      </w: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1997"/>
        <w:gridCol w:w="7488"/>
      </w:tblGrid>
      <w:tr>
        <w:trPr>
          <w:trHeight w:val="3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Zřizovatel: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Kraj Vysočina</w:t>
            </w:r>
          </w:p>
        </w:tc>
      </w:tr>
    </w:tbl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zhotovitel)</w:t>
      </w:r>
    </w:p>
    <w:p>
      <w:pPr>
        <w:widowControl w:val="0"/>
        <w:spacing w:after="21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dohodly, že jejich závazkový vztah ve smyslu §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2586 a násl. zákona č. 89/2012 Sb., Občanského zákoníku, v platném znění (dále jen „NOZ“)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řídí tímto zákonem a na shora uvedenou zakázku na stavební práce uzavírají dnešního dne měsíce a roku tuto smlouvu o dílo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„smlouva“).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rozsah a cena díla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SOD čl. 14.1. se mění čl. 3.1. následovně: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se zavazuje provést dílo v následujícím termínu: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18" w:val="left"/>
          <w:tab w:pos="4262" w:val="left"/>
        </w:tabs>
        <w:bidi w:val="0"/>
        <w:spacing w:before="0" w:after="0" w:line="240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plnění:</w:t>
        <w:tab/>
        <w:t>červenec 2019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22" w:val="left"/>
          <w:tab w:pos="4262" w:val="left"/>
        </w:tabs>
        <w:bidi w:val="0"/>
        <w:spacing w:before="0" w:after="220" w:line="240" w:lineRule="auto"/>
        <w:ind w:left="2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Dokončení plnění:</w:t>
        <w:tab/>
        <w:t>září 2019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8" w:val="left"/>
        </w:tabs>
        <w:bidi w:val="0"/>
        <w:spacing w:before="0" w:after="2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SOD čl. 14.1. se mění čl. 4.1. následovně: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4688205</wp:posOffset>
                </wp:positionH>
                <wp:positionV relativeFrom="paragraph">
                  <wp:posOffset>139700</wp:posOffset>
                </wp:positionV>
                <wp:extent cx="856615" cy="463550"/>
                <wp:wrapSquare wrapText="left"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6615" cy="4635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1.263.539,40,-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-303.605,35,-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959.934,05,-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69.14999999999998pt;margin-top:11.pt;width:67.450000000000003pt;height:36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1.263.539,40,-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-303.605,35,-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959.934,05,-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dle SOD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Méněpráce (práce neprovedené či nepožadované)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cena dle Dodatku č.1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Ceny jsou uvedeny bez DPH.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/>
        <w:ind w:left="0" w:right="0" w:firstLine="0"/>
        <w:jc w:val="left"/>
      </w:pP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1670685</wp:posOffset>
            </wp:positionH>
            <wp:positionV relativeFrom="paragraph">
              <wp:posOffset>50800</wp:posOffset>
            </wp:positionV>
            <wp:extent cx="621665" cy="194945"/>
            <wp:wrapSquare wrapText="left"/>
            <wp:docPr id="10" name="Shap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21665" cy="1949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silnic Vysočiny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dodatku č.1 je vyčíslení skutečně provedených prací.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29" w:left="932" w:right="1070" w:bottom="138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dle původní SOD zůstávají v platnosti beze změny.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9" w:after="2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45" w:left="0" w:right="0" w:bottom="1235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3691" w:h="298" w:wrap="none" w:vAnchor="text" w:hAnchor="page" w:x="995" w:y="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Ledči nad Sázavou dne: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"Z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■ 2-0'</w:t>
      </w:r>
    </w:p>
    <w:p>
      <w:pPr>
        <w:pStyle w:val="Style9"/>
        <w:keepNext w:val="0"/>
        <w:keepLines w:val="0"/>
        <w:framePr w:w="1306" w:h="269" w:wrap="none" w:vAnchor="text" w:hAnchor="page" w:x="6664" w:y="2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widowControl w:val="0"/>
        <w:spacing w:after="532" w:line="1" w:lineRule="exact"/>
      </w:pP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5224780</wp:posOffset>
            </wp:positionH>
            <wp:positionV relativeFrom="paragraph">
              <wp:posOffset>12700</wp:posOffset>
            </wp:positionV>
            <wp:extent cx="725170" cy="255905"/>
            <wp:wrapNone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725170" cy="2559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045" w:left="922" w:right="1081" w:bottom="12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5" w:left="0" w:right="0" w:bottom="113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634365</wp:posOffset>
                </wp:positionH>
                <wp:positionV relativeFrom="paragraph">
                  <wp:posOffset>12700</wp:posOffset>
                </wp:positionV>
                <wp:extent cx="1752600" cy="176530"/>
                <wp:wrapSquare wrapText="bothSides"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5260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Jiří Cihlář, jed/?ítel společnosti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9.950000000000003pt;margin-top:1.pt;width:138.pt;height:13.9pt;z-index:-12582937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Jiří Cihlář, jed/?ítel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35" w:left="3749" w:right="1748" w:bottom="113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Necid, ředitel organizace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Položkový rozpočet</w:t>
      </w:r>
      <w:bookmarkEnd w:id="0"/>
      <w:bookmarkEnd w:id="1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-303 605,35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1 263 539,40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651" w:right="0" w:firstLine="0"/>
        <w:jc w:val="left"/>
        <w:rPr>
          <w:sz w:val="16"/>
          <w:szCs w:val="16"/>
        </w:rPr>
      </w:pPr>
      <w:r>
        <w:rPr>
          <w:b/>
          <w:bCs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1161 520,20</w:t>
      </w:r>
    </w:p>
    <w:tbl>
      <w:tblPr>
        <w:tblOverlap w:val="never"/>
        <w:jc w:val="center"/>
        <w:tblLayout w:type="fixed"/>
      </w:tblPr>
      <w:tblGrid>
        <w:gridCol w:w="514"/>
        <w:gridCol w:w="1349"/>
        <w:gridCol w:w="6250"/>
        <w:gridCol w:w="744"/>
        <w:gridCol w:w="1003"/>
        <w:gridCol w:w="1157"/>
        <w:gridCol w:w="1162"/>
        <w:gridCol w:w="1219"/>
        <w:gridCol w:w="1344"/>
      </w:tblGrid>
      <w:tr>
        <w:trPr>
          <w:trHeight w:val="25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Poř. č. pol.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 s 21% DPH</w:t>
            </w: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rozpočtu: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SO01 - Oprava překopů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959 934,05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201 586,15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1 161 520,20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573431112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živičný uzavírací nebo udržovací s posypem ze silniční emulze v množství 1,40 kg/m2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živičný uzavírací nebo udržovací s posypem kamenivem a se zaválcováním kameniva z emulze silniční, v množství 1,40 kg/m2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Emulze C65B3, kamenivo fr. 4/8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3 372,000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168 600,00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35 406,00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204 006,00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573431113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živičný uzavírací nebo udržovací s posypem ze silniční emulze v množství 1,60 kg/m2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Nátěr živičný uzavírací nebo udržovací s posypem kamenivem a se zaválcováním kameniva z emulze silniční, v množství 1,60 kg/m2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Emulze C65B3, kamenivo fr. 4/8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3 372,000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185 460,00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38 946,60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224 406,60</w:t>
            </w: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577144111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obrusná ACO 11 (ABS) tř. I tl 50 mm š do 3 m z nemodifikovaného asfaltu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obrusná ACO 11 (ABS) s rozprostřením a se zhutněním z nemodifikovaného asfaltu v pruhu šířky do 3 m tř. I, po zhutnění tl. 50 mm Doprava, pokládka a zhutnění asf. betonu ACO11+ tl. 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1 267,500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380 250,00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79 852,50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460 102,50</w:t>
            </w:r>
          </w:p>
        </w:tc>
      </w:tr>
      <w:tr>
        <w:trPr>
          <w:trHeight w:val="10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577145112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ložní ACL 16 (ABH) tl 50 mm š do 3 m z nemodifikovaného asfaltu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vrstva ložni ACL 16 (ABH) s rozprostřením a zhutněním z nemodifikovaného asfaltu v pruhu šířky do 3 m, po zhutnění tl. 50 mm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Doprava, pokládka a zhutnění asf. betonu ACL16+ tl. 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543,600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179 388,00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37 671,48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217 059,48</w:t>
            </w:r>
          </w:p>
        </w:tc>
      </w:tr>
      <w:tr>
        <w:trPr>
          <w:trHeight w:val="11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573231111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Postřik živičný spojovací ze silniční emulze v množství do 0,7 kg/m2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Postřik živičný spojovací bez posypu kamenivem ze silniční emulze, v množství od 0,50 do 0,80 kg/m2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mezistřik z asf. emulze C65B3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1 811,100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27 166,50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5 704,97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32 871,47</w:t>
            </w:r>
          </w:p>
        </w:tc>
      </w:tr>
      <w:tr>
        <w:trPr>
          <w:trHeight w:val="2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konstrukce a 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938909311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Čištěni vozovek metením strojně podkladu nebo krytu betonového nebo živičného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Čištěni vozovek metením bláta, prachu nebo hlinitého nánosu s odklizením na hromady na vzdálenost do 20 m nebo naložením na dopravní prostředek strojně povrchu podkladu nebo krytu betonového nebo živičného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Strojní metení se samosběrem před provedením emulzniho nátěru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523"/>
        <w:gridCol w:w="1325"/>
        <w:gridCol w:w="6197"/>
        <w:gridCol w:w="749"/>
        <w:gridCol w:w="994"/>
        <w:gridCol w:w="1157"/>
        <w:gridCol w:w="1166"/>
        <w:gridCol w:w="1219"/>
        <w:gridCol w:w="1301"/>
      </w:tblGrid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998225111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pozemní komunikace s krytem z kamene, monolitickým betonovým nebo živičným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komunikace s krytem z kameniva, monolitickým betonovým nebo živičným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346,719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19 069,55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4 004,61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23 074,16</w:t>
            </w:r>
          </w:p>
        </w:tc>
      </w:tr>
    </w:tbl>
    <w:p>
      <w:pPr>
        <w:widowControl w:val="0"/>
        <w:spacing w:after="159" w:line="1" w:lineRule="exact"/>
      </w:pPr>
    </w:p>
    <w:tbl>
      <w:tblPr>
        <w:tblOverlap w:val="never"/>
        <w:jc w:val="left"/>
        <w:tblLayout w:type="fixed"/>
      </w:tblPr>
      <w:tblGrid>
        <w:gridCol w:w="1142"/>
        <w:gridCol w:w="5765"/>
      </w:tblGrid>
      <w:tr>
        <w:trPr>
          <w:trHeight w:val="129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 obsahuje: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rámci realizace opravy překopů bude provedeno: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SO01: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mezistřik z asf. emulze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Ložní vrstva z ACL16+ tl. 50mm v celé délce úseku v šířce 85cm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Obrusná vrstva z ACO11 + tl. 50mm v celé délce úseku na polovině šířky komunikace Zameteni komunikace před provedením emulzního nátěru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Sjednocovaci dvojitý emulzní nátěr</w:t>
            </w:r>
          </w:p>
        </w:tc>
      </w:tr>
    </w:tbl>
    <w:p>
      <w:pPr>
        <w:widowControl w:val="0"/>
        <w:spacing w:after="319" w:line="1" w:lineRule="exact"/>
      </w:pPr>
    </w:p>
    <w:tbl>
      <w:tblPr>
        <w:tblOverlap w:val="never"/>
        <w:jc w:val="left"/>
        <w:tblLayout w:type="fixed"/>
      </w:tblPr>
      <w:tblGrid>
        <w:gridCol w:w="1238"/>
        <w:gridCol w:w="2789"/>
      </w:tblGrid>
      <w:tr>
        <w:trPr>
          <w:trHeight w:val="57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 neobsahuje: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Odvodněni vozovky.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Laboratorní zkoušky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Výškovou úpravu poklopů, šoupat, mříží.</w:t>
            </w:r>
          </w:p>
        </w:tc>
      </w:tr>
    </w:tbl>
    <w:p>
      <w:pPr>
        <w:widowControl w:val="0"/>
        <w:spacing w:after="159" w:line="1" w:lineRule="exact"/>
      </w:pPr>
    </w:p>
    <w:tbl>
      <w:tblPr>
        <w:tblOverlap w:val="never"/>
        <w:jc w:val="center"/>
        <w:tblLayout w:type="fixed"/>
      </w:tblPr>
      <w:tblGrid>
        <w:gridCol w:w="1003"/>
        <w:gridCol w:w="12523"/>
      </w:tblGrid>
      <w:tr>
        <w:trPr>
          <w:trHeight w:val="5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3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Fakturováno bude skutečně provedené množství prací dle jednotlových cen. V případě nadspotřeby asfaltového betonu bude účtována jednotná sazba 2.600,- za zpracovanou tunu živice. Množství živice bude dokladováno dodacími listy z obalovny.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Záruka na provedeni živičných vrstev se poskytuje v délce 24-ti měsíců. Záruka se nevztahuje na podkladní vrstvy komunikace resp. na jejich únosnost a na následné vady pokládaných</w:t>
            </w:r>
          </w:p>
        </w:tc>
      </w:tr>
      <w:tr>
        <w:trPr>
          <w:trHeight w:val="37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Záruka: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asfaltových vrstev těmito (podkladními) vrstvami způsobené.</w:t>
            </w:r>
          </w:p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Záruka na provedeni emulzního nátěru se poskytuje v délce 18-ti měsíců.</w:t>
            </w:r>
          </w:p>
        </w:tc>
      </w:tr>
      <w:tr>
        <w:trPr>
          <w:trHeight w:val="1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konce 8/2019 - dle klimatických podmínek na staveništi.</w:t>
            </w:r>
          </w:p>
        </w:tc>
      </w:tr>
      <w:tr>
        <w:trPr>
          <w:trHeight w:val="1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CN je do konce 8/2019.</w:t>
            </w:r>
          </w:p>
        </w:tc>
      </w:tr>
    </w:tbl>
    <w:sectPr>
      <w:headerReference w:type="default" r:id="rId13"/>
      <w:footerReference w:type="default" r:id="rId14"/>
      <w:footnotePr>
        <w:pos w:val="pageBottom"/>
        <w:numFmt w:val="decimal"/>
        <w:numRestart w:val="continuous"/>
      </w:footnotePr>
      <w:pgSz w:w="16840" w:h="11900" w:orient="landscape"/>
      <w:pgMar w:top="1087" w:left="1031" w:right="1068" w:bottom="1037" w:header="659" w:footer="609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3429635</wp:posOffset>
              </wp:positionH>
              <wp:positionV relativeFrom="page">
                <wp:posOffset>9994900</wp:posOffset>
              </wp:positionV>
              <wp:extent cx="670560" cy="850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056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70.05000000000001pt;margin-top:787.pt;width:52.799999999999997pt;height:6.7000000000000002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9950450</wp:posOffset>
              </wp:positionV>
              <wp:extent cx="627253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725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75pt;margin-top:783.5pt;width:493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610235</wp:posOffset>
              </wp:positionH>
              <wp:positionV relativeFrom="page">
                <wp:posOffset>465455</wp:posOffset>
              </wp:positionV>
              <wp:extent cx="164592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4592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Krajská správa a údržba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.049999999999997pt;margin-top:36.649999999999999pt;width:129.59999999999999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Krajská správa a údržba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Titulek tabulky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Jiné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0">
    <w:name w:val="Nadpis #1_"/>
    <w:basedOn w:val="DefaultParagraphFont"/>
    <w:link w:val="Style1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Základní text (3)_"/>
    <w:basedOn w:val="DefaultParagraphFont"/>
    <w:link w:val="Style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240" w:line="221" w:lineRule="auto"/>
    </w:pPr>
    <w:rPr>
      <w:rFonts w:ascii="Verdana" w:eastAsia="Verdana" w:hAnsi="Verdana" w:cs="Verdana"/>
      <w:b/>
      <w:bCs/>
      <w:i/>
      <w:iCs/>
      <w:smallCaps w:val="0"/>
      <w:strike w:val="0"/>
      <w:sz w:val="12"/>
      <w:szCs w:val="1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after="1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Titulek tabulky"/>
    <w:basedOn w:val="Normal"/>
    <w:link w:val="CharStyle1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4">
    <w:name w:val="Jiné"/>
    <w:basedOn w:val="Normal"/>
    <w:link w:val="CharStyle1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9">
    <w:name w:val="Nadpis #1"/>
    <w:basedOn w:val="Normal"/>
    <w:link w:val="CharStyle20"/>
    <w:pPr>
      <w:widowControl w:val="0"/>
      <w:shd w:val="clear" w:color="auto" w:fill="FFFFFF"/>
      <w:jc w:val="center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Základní text (3)"/>
    <w:basedOn w:val="Normal"/>
    <w:link w:val="CharStyle22"/>
    <w:pPr>
      <w:widowControl w:val="0"/>
      <w:shd w:val="clear" w:color="auto" w:fill="FFFFFF"/>
      <w:ind w:left="113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/Relationships>
</file>