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4D" w:rsidRPr="00636A7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Smlouva o bezúplatném převodu majetku</w:t>
      </w:r>
    </w:p>
    <w:p w:rsidR="00BA014D" w:rsidRPr="00636A7D" w:rsidRDefault="00BA014D" w:rsidP="00BA014D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Město Rokytnice nad Jizerou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sídlem Horní Rokytnice 197, 512 44 Rokytnice nad Jizerou, 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 00276057, DIČ CZ 00276057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zastoupené starostou města Ing. Petrem Matyášem</w:t>
      </w: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/>
          <w:sz w:val="24"/>
          <w:szCs w:val="24"/>
        </w:rPr>
        <w:t>(dále jako „</w:t>
      </w:r>
      <w:r>
        <w:rPr>
          <w:rFonts w:ascii="Garamond" w:hAnsi="Garamond"/>
          <w:b/>
          <w:sz w:val="24"/>
          <w:szCs w:val="24"/>
        </w:rPr>
        <w:t>Převodce</w:t>
      </w:r>
      <w:r w:rsidRPr="00636A7D">
        <w:rPr>
          <w:rFonts w:ascii="Garamond" w:hAnsi="Garamond"/>
          <w:sz w:val="24"/>
          <w:szCs w:val="24"/>
        </w:rPr>
        <w:t>“)</w:t>
      </w: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Vodohospodářské sdružení Turnov</w:t>
      </w:r>
    </w:p>
    <w:p w:rsidR="00BA014D" w:rsidRPr="009C6755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9C6755">
        <w:rPr>
          <w:rFonts w:ascii="Garamond" w:hAnsi="Garamond"/>
          <w:sz w:val="24"/>
          <w:szCs w:val="24"/>
        </w:rPr>
        <w:t xml:space="preserve">e sídlem Dvořákova 287, </w:t>
      </w:r>
      <w:r>
        <w:rPr>
          <w:rFonts w:ascii="Garamond" w:hAnsi="Garamond"/>
          <w:sz w:val="24"/>
          <w:szCs w:val="24"/>
        </w:rPr>
        <w:t>511 01 Turnov</w:t>
      </w: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 49295934, DIČ CZ 49295934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zastoupené ředitelem svazku</w:t>
      </w:r>
      <w:r w:rsidRPr="008E16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Ing. Milanem Hejdukem</w:t>
      </w: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dobrovolný svazek obcí, registrovaný u Krajského úřadu pro Liberecký kraj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/>
          <w:sz w:val="24"/>
          <w:szCs w:val="24"/>
        </w:rPr>
        <w:t>(dále jen „</w:t>
      </w:r>
      <w:r>
        <w:rPr>
          <w:rFonts w:ascii="Garamond" w:hAnsi="Garamond"/>
          <w:b/>
          <w:sz w:val="24"/>
          <w:szCs w:val="24"/>
        </w:rPr>
        <w:t>Nabyvatel</w:t>
      </w:r>
      <w:r w:rsidRPr="00636A7D">
        <w:rPr>
          <w:rFonts w:ascii="Garamond" w:hAnsi="Garamond"/>
          <w:sz w:val="24"/>
          <w:szCs w:val="24"/>
        </w:rPr>
        <w:t>“)</w:t>
      </w:r>
      <w:r>
        <w:rPr>
          <w:rFonts w:ascii="Garamond" w:hAnsi="Garamond"/>
          <w:sz w:val="24"/>
          <w:szCs w:val="24"/>
        </w:rPr>
        <w:t xml:space="preserve">, 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společně dále také jako „</w:t>
      </w:r>
      <w:r w:rsidRPr="00636A7D">
        <w:rPr>
          <w:rFonts w:ascii="Garamond" w:hAnsi="Garamond"/>
          <w:b/>
          <w:sz w:val="24"/>
          <w:szCs w:val="24"/>
        </w:rPr>
        <w:t>smluvní strany</w:t>
      </w:r>
      <w:r>
        <w:rPr>
          <w:rFonts w:ascii="Garamond" w:hAnsi="Garamond"/>
          <w:sz w:val="24"/>
          <w:szCs w:val="24"/>
        </w:rPr>
        <w:t>“</w:t>
      </w: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/>
          <w:sz w:val="24"/>
          <w:szCs w:val="24"/>
        </w:rPr>
        <w:t>uzavřely níže uvedeného dn</w:t>
      </w:r>
      <w:r>
        <w:rPr>
          <w:rFonts w:ascii="Garamond" w:hAnsi="Garamond"/>
          <w:sz w:val="24"/>
          <w:szCs w:val="24"/>
        </w:rPr>
        <w:t>e, měsíce a roku dle ust. § 1746 odst. 2</w:t>
      </w:r>
      <w:r w:rsidRPr="00636A7D">
        <w:rPr>
          <w:rFonts w:ascii="Garamond" w:hAnsi="Garamond"/>
          <w:sz w:val="24"/>
          <w:szCs w:val="24"/>
        </w:rPr>
        <w:t xml:space="preserve"> zákona č. 89/2012 Sb., občanský zákoník (dále jen „</w:t>
      </w:r>
      <w:r>
        <w:rPr>
          <w:rFonts w:ascii="Garamond" w:hAnsi="Garamond"/>
          <w:b/>
          <w:sz w:val="24"/>
          <w:szCs w:val="24"/>
        </w:rPr>
        <w:t>O</w:t>
      </w:r>
      <w:r w:rsidRPr="00636A7D">
        <w:rPr>
          <w:rFonts w:ascii="Garamond" w:hAnsi="Garamond"/>
          <w:b/>
          <w:sz w:val="24"/>
          <w:szCs w:val="24"/>
        </w:rPr>
        <w:t>bčanský zákoník</w:t>
      </w:r>
      <w:r>
        <w:rPr>
          <w:rFonts w:ascii="Garamond" w:hAnsi="Garamond"/>
          <w:sz w:val="24"/>
          <w:szCs w:val="24"/>
        </w:rPr>
        <w:t>“) tuto smlouvu o bezúplatném převodu majetku (dále jen „</w:t>
      </w:r>
      <w:r w:rsidRPr="00FC1027">
        <w:rPr>
          <w:rFonts w:ascii="Garamond" w:hAnsi="Garamond"/>
          <w:b/>
          <w:sz w:val="24"/>
          <w:szCs w:val="24"/>
        </w:rPr>
        <w:t>Smlouva</w:t>
      </w:r>
      <w:r>
        <w:rPr>
          <w:rFonts w:ascii="Garamond" w:hAnsi="Garamond"/>
          <w:sz w:val="24"/>
          <w:szCs w:val="24"/>
        </w:rPr>
        <w:t>“):</w:t>
      </w:r>
    </w:p>
    <w:p w:rsidR="00BA014D" w:rsidRPr="00636A7D" w:rsidRDefault="00BA014D" w:rsidP="00BA014D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Preambule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ind w:left="705" w:hanging="705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(A)</w:t>
      </w:r>
      <w:r>
        <w:rPr>
          <w:rFonts w:ascii="Garamond" w:hAnsi="Garamond"/>
          <w:sz w:val="24"/>
          <w:szCs w:val="24"/>
        </w:rPr>
        <w:tab/>
        <w:t xml:space="preserve">Nabyvatel je dobrovolným svazkem obcí, jehož je Převodce členem. Předmětem </w:t>
      </w:r>
      <w:r>
        <w:rPr>
          <w:rFonts w:ascii="Garamond" w:hAnsi="Garamond"/>
          <w:sz w:val="24"/>
          <w:szCs w:val="24"/>
        </w:rPr>
        <w:tab/>
        <w:t>činnosti Nabyvatele je komplexní provoz vodohospodářského majetku, který je v jeho vlastnictví a ve vlastnictví členských obcí, zajišťování rozvoje vodohospodářské infrastruktury regionu, který je vymezen správním územím členských obcí, v souladu s potřebami a požadavky členů svazku;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(B)</w:t>
      </w:r>
      <w:r>
        <w:rPr>
          <w:rFonts w:ascii="Garamond" w:hAnsi="Garamond"/>
          <w:sz w:val="24"/>
          <w:szCs w:val="24"/>
        </w:rPr>
        <w:tab/>
        <w:t xml:space="preserve">Převodce má ve svém výlučném vlastnictví níže specifikované nemovité věci a </w:t>
      </w:r>
      <w:r>
        <w:rPr>
          <w:rFonts w:ascii="Garamond" w:hAnsi="Garamond"/>
          <w:sz w:val="24"/>
          <w:szCs w:val="24"/>
        </w:rPr>
        <w:tab/>
        <w:t>technologie, které tvoří část vodohospodářské infrastruktury na jeho území;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(C)</w:t>
      </w:r>
      <w:r>
        <w:rPr>
          <w:rFonts w:ascii="Garamond" w:hAnsi="Garamond"/>
          <w:sz w:val="24"/>
          <w:szCs w:val="24"/>
        </w:rPr>
        <w:tab/>
        <w:t xml:space="preserve">Převodce má zájem na komplexním provozování vodohospodářské infrastruktury na jeho </w:t>
      </w:r>
      <w:r>
        <w:rPr>
          <w:rFonts w:ascii="Garamond" w:hAnsi="Garamond"/>
          <w:sz w:val="24"/>
          <w:szCs w:val="24"/>
        </w:rPr>
        <w:tab/>
        <w:t xml:space="preserve">území a jejím dalším rozvoji a Nabyvatel má zájem za tímto účelem provozovat </w:t>
      </w:r>
      <w:r>
        <w:rPr>
          <w:rFonts w:ascii="Garamond" w:hAnsi="Garamond"/>
          <w:sz w:val="24"/>
          <w:szCs w:val="24"/>
        </w:rPr>
        <w:tab/>
        <w:t xml:space="preserve">vodohospodářskou infrastrukturu, tvořenou zejména nemovitými věcmi a movitými </w:t>
      </w:r>
      <w:r>
        <w:rPr>
          <w:rFonts w:ascii="Garamond" w:hAnsi="Garamond"/>
          <w:sz w:val="24"/>
          <w:szCs w:val="24"/>
        </w:rPr>
        <w:tab/>
        <w:t>věcmi - technologiemi, na území Převodce;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5B0169">
        <w:rPr>
          <w:rFonts w:ascii="Garamond" w:hAnsi="Garamond"/>
          <w:sz w:val="24"/>
          <w:szCs w:val="24"/>
        </w:rPr>
        <w:t>(D)</w:t>
      </w:r>
      <w:r w:rsidRPr="005B0169">
        <w:rPr>
          <w:rFonts w:ascii="Garamond" w:hAnsi="Garamond"/>
          <w:sz w:val="24"/>
          <w:szCs w:val="24"/>
        </w:rPr>
        <w:tab/>
      </w:r>
      <w:r w:rsidRPr="005B0169">
        <w:rPr>
          <w:rFonts w:ascii="Garamond" w:hAnsi="Garamond" w:cs="Times New Roman"/>
          <w:sz w:val="24"/>
          <w:szCs w:val="24"/>
        </w:rPr>
        <w:t>Za tímto účelem má Převodce v úmyslu bezplatně převést nemovité věci a technologie,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  <w:r w:rsidRPr="005B0169">
        <w:rPr>
          <w:rFonts w:ascii="Garamond" w:hAnsi="Garamond" w:cs="Times New Roman"/>
          <w:sz w:val="24"/>
          <w:szCs w:val="24"/>
        </w:rPr>
        <w:t>specifikované</w:t>
      </w:r>
      <w:r w:rsidRPr="005B0169">
        <w:rPr>
          <w:rFonts w:ascii="Garamond" w:hAnsi="Garamond"/>
          <w:sz w:val="24"/>
          <w:szCs w:val="24"/>
        </w:rPr>
        <w:t xml:space="preserve"> dále </w:t>
      </w:r>
      <w:r w:rsidRPr="005B0169">
        <w:rPr>
          <w:rFonts w:ascii="Garamond" w:hAnsi="Garamond" w:cs="Times New Roman"/>
          <w:sz w:val="24"/>
          <w:szCs w:val="24"/>
        </w:rPr>
        <w:t xml:space="preserve">v článku I. této Smlouvy, na Nabyvatele a Nabyvatel </w:t>
      </w:r>
      <w:r>
        <w:rPr>
          <w:rFonts w:ascii="Garamond" w:hAnsi="Garamond" w:cs="Times New Roman"/>
          <w:sz w:val="24"/>
          <w:szCs w:val="24"/>
        </w:rPr>
        <w:t xml:space="preserve">má v úmyslu </w:t>
      </w:r>
      <w:r w:rsidRPr="005B0169">
        <w:rPr>
          <w:rFonts w:ascii="Garamond" w:hAnsi="Garamond" w:cs="Times New Roman"/>
          <w:sz w:val="24"/>
          <w:szCs w:val="24"/>
        </w:rPr>
        <w:t xml:space="preserve">tyto </w:t>
      </w:r>
      <w:r>
        <w:rPr>
          <w:rFonts w:ascii="Garamond" w:hAnsi="Garamond" w:cs="Times New Roman"/>
          <w:sz w:val="24"/>
          <w:szCs w:val="24"/>
        </w:rPr>
        <w:tab/>
      </w:r>
      <w:r w:rsidRPr="005B0169">
        <w:rPr>
          <w:rFonts w:ascii="Garamond" w:hAnsi="Garamond" w:cs="Times New Roman"/>
          <w:sz w:val="24"/>
          <w:szCs w:val="24"/>
        </w:rPr>
        <w:t>věci do svého vlastnictví přijmout za podmínek dále</w:t>
      </w:r>
      <w:r w:rsidRPr="005B0169">
        <w:rPr>
          <w:rFonts w:ascii="Garamond" w:hAnsi="Garamond"/>
          <w:sz w:val="24"/>
          <w:szCs w:val="24"/>
        </w:rPr>
        <w:t xml:space="preserve"> </w:t>
      </w:r>
      <w:r w:rsidRPr="005B0169">
        <w:rPr>
          <w:rFonts w:ascii="Garamond" w:hAnsi="Garamond" w:cs="Times New Roman"/>
          <w:sz w:val="24"/>
          <w:szCs w:val="24"/>
        </w:rPr>
        <w:t>uvedených ve Smlouvě</w:t>
      </w:r>
      <w:r>
        <w:rPr>
          <w:rFonts w:ascii="Garamond" w:hAnsi="Garamond" w:cs="Times New Roman"/>
          <w:sz w:val="24"/>
          <w:szCs w:val="24"/>
        </w:rPr>
        <w:t>;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:rsidR="00BA014D" w:rsidRPr="005B0169" w:rsidRDefault="00BA014D" w:rsidP="00BA014D">
      <w:pPr>
        <w:spacing w:line="240" w:lineRule="auto"/>
        <w:ind w:left="705" w:hanging="705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(E)</w:t>
      </w:r>
      <w:r>
        <w:rPr>
          <w:rFonts w:ascii="Garamond" w:hAnsi="Garamond" w:cs="Times New Roman"/>
          <w:sz w:val="24"/>
          <w:szCs w:val="24"/>
        </w:rPr>
        <w:tab/>
        <w:t xml:space="preserve">Uzavření této Smlouvy mezi Převodcem a Nabyvatelem bylo schváleno na jednání Rady </w:t>
      </w:r>
      <w:r>
        <w:rPr>
          <w:rFonts w:ascii="Garamond" w:hAnsi="Garamond" w:cs="Times New Roman"/>
          <w:sz w:val="24"/>
          <w:szCs w:val="24"/>
        </w:rPr>
        <w:tab/>
        <w:t>sdružení VHS Turnov pod č. usnesení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  <w:r w:rsidRPr="002673A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ze dne 28. 8. 2019, jakož i na jednání Zastupitelstva města Rokytnice nad Jizerou pod č. usnesení 164 ze dne 25. 9. 2019. Bezúplatný převod majetku dle této Smlouvy je proveden v souladu se Zveřejněním záměru Města Rokytnice nad Jizerou, ze dne 28. 8. 2019</w:t>
      </w:r>
      <w:r>
        <w:rPr>
          <w:rFonts w:ascii="Garamond" w:hAnsi="Garamond"/>
          <w:sz w:val="24"/>
          <w:szCs w:val="24"/>
        </w:rPr>
        <w:t>, které bylo vyvěšeno na úřední desce Převodce, jakož i v souladu s rozhodnutím zastupitelstva Města Rokytnice nad Jizerou, č. usnesení 164 ze dne 25. 9. 2019, kterým došlo ke schválení uzavření této Smlouvy.</w:t>
      </w:r>
    </w:p>
    <w:p w:rsidR="00BA014D" w:rsidRPr="004C1EC8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C1EC8">
        <w:rPr>
          <w:rFonts w:ascii="Garamond" w:hAnsi="Garamond"/>
          <w:b/>
          <w:sz w:val="24"/>
          <w:szCs w:val="24"/>
        </w:rPr>
        <w:t>I. Předmět převodu</w:t>
      </w:r>
    </w:p>
    <w:p w:rsidR="00BA014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BA014D" w:rsidRPr="00636A7D" w:rsidRDefault="00BA014D" w:rsidP="00BA014D">
      <w:pPr>
        <w:spacing w:line="240" w:lineRule="auto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1.</w:t>
      </w:r>
      <w:r>
        <w:rPr>
          <w:rFonts w:ascii="Garamond" w:hAnsi="Garamond"/>
          <w:sz w:val="24"/>
          <w:szCs w:val="24"/>
        </w:rPr>
        <w:tab/>
        <w:t>Převodce</w:t>
      </w:r>
      <w:r w:rsidRPr="00636A7D">
        <w:rPr>
          <w:rFonts w:ascii="Garamond" w:hAnsi="Garamond"/>
          <w:sz w:val="24"/>
          <w:szCs w:val="24"/>
        </w:rPr>
        <w:t xml:space="preserve"> prohlašuje, že je </w:t>
      </w:r>
      <w:r>
        <w:rPr>
          <w:rFonts w:ascii="Garamond" w:hAnsi="Garamond"/>
          <w:sz w:val="24"/>
          <w:szCs w:val="24"/>
        </w:rPr>
        <w:t xml:space="preserve">výlučným vlastníkem níže </w:t>
      </w:r>
      <w:r w:rsidRPr="00A21939">
        <w:rPr>
          <w:rFonts w:ascii="Garamond" w:hAnsi="Garamond"/>
          <w:sz w:val="24"/>
          <w:szCs w:val="24"/>
        </w:rPr>
        <w:t>uvedených nemovitých věcí:</w:t>
      </w:r>
    </w:p>
    <w:p w:rsidR="00BA014D" w:rsidRDefault="00BA014D" w:rsidP="00BA014D">
      <w:pPr>
        <w:pStyle w:val="Odstavecseseznamem"/>
        <w:numPr>
          <w:ilvl w:val="0"/>
          <w:numId w:val="7"/>
        </w:numPr>
        <w:spacing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A21939">
        <w:rPr>
          <w:rFonts w:ascii="Garamond" w:hAnsi="Garamond"/>
          <w:sz w:val="24"/>
          <w:szCs w:val="24"/>
        </w:rPr>
        <w:t>pozemek parc. č. St. 1028/2, o výměře 1 078 m</w:t>
      </w:r>
      <w:r w:rsidRPr="00A21939">
        <w:rPr>
          <w:rFonts w:ascii="Garamond" w:hAnsi="Garamond"/>
          <w:sz w:val="24"/>
          <w:szCs w:val="24"/>
          <w:vertAlign w:val="superscript"/>
        </w:rPr>
        <w:t>2</w:t>
      </w:r>
      <w:r w:rsidRPr="00A21939">
        <w:rPr>
          <w:rFonts w:ascii="Garamond" w:hAnsi="Garamond"/>
          <w:sz w:val="24"/>
          <w:szCs w:val="24"/>
        </w:rPr>
        <w:t>, zastavěná plocha a nádvoří, jehož součástí je stavba Dolní Rokytnice č.p. 500, stavba technického vybavení,</w:t>
      </w:r>
    </w:p>
    <w:p w:rsidR="00BA014D" w:rsidRDefault="00BA014D" w:rsidP="00BA014D">
      <w:pPr>
        <w:pStyle w:val="Odstavecseseznamem"/>
        <w:numPr>
          <w:ilvl w:val="0"/>
          <w:numId w:val="7"/>
        </w:numPr>
        <w:spacing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pozemek parc. č. 1074/5, o výměře 16 </w:t>
      </w:r>
      <w:r w:rsidRPr="00A21939">
        <w:rPr>
          <w:rFonts w:ascii="Garamond" w:hAnsi="Garamond"/>
          <w:sz w:val="24"/>
          <w:szCs w:val="24"/>
        </w:rPr>
        <w:t>m</w:t>
      </w:r>
      <w:r w:rsidRPr="00A21939">
        <w:rPr>
          <w:rFonts w:ascii="Garamond" w:hAnsi="Garamond"/>
          <w:sz w:val="24"/>
          <w:szCs w:val="24"/>
          <w:vertAlign w:val="superscript"/>
        </w:rPr>
        <w:t>2</w:t>
      </w:r>
      <w:r w:rsidRPr="00A2193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ostatní plocha, manipulační plocha,</w:t>
      </w:r>
    </w:p>
    <w:p w:rsidR="00BA014D" w:rsidRDefault="00BA014D" w:rsidP="00BA014D">
      <w:pPr>
        <w:pStyle w:val="Odstavecseseznamem"/>
        <w:numPr>
          <w:ilvl w:val="0"/>
          <w:numId w:val="7"/>
        </w:numPr>
        <w:spacing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pozemek parc. č. 1075/2, o výměře 19 </w:t>
      </w:r>
      <w:r w:rsidRPr="00A21939">
        <w:rPr>
          <w:rFonts w:ascii="Garamond" w:hAnsi="Garamond"/>
          <w:sz w:val="24"/>
          <w:szCs w:val="24"/>
        </w:rPr>
        <w:t>m</w:t>
      </w:r>
      <w:r w:rsidRPr="00A21939">
        <w:rPr>
          <w:rFonts w:ascii="Garamond" w:hAnsi="Garamond"/>
          <w:sz w:val="24"/>
          <w:szCs w:val="24"/>
          <w:vertAlign w:val="superscript"/>
        </w:rPr>
        <w:t>2</w:t>
      </w:r>
      <w:r w:rsidRPr="00A2193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ostatní komunikace,</w:t>
      </w:r>
    </w:p>
    <w:p w:rsidR="00BA014D" w:rsidRDefault="00BA014D" w:rsidP="00BA014D">
      <w:pPr>
        <w:spacing w:line="240" w:lineRule="auto"/>
        <w:ind w:left="85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vše zapsáno</w:t>
      </w:r>
      <w:r w:rsidRPr="00636A7D">
        <w:rPr>
          <w:rFonts w:ascii="Garamond" w:hAnsi="Garamond"/>
          <w:sz w:val="24"/>
          <w:szCs w:val="24"/>
        </w:rPr>
        <w:t xml:space="preserve"> v katastru </w:t>
      </w:r>
      <w:r w:rsidRPr="00127B3B">
        <w:rPr>
          <w:rFonts w:ascii="Garamond" w:hAnsi="Garamond"/>
          <w:sz w:val="24"/>
          <w:szCs w:val="24"/>
        </w:rPr>
        <w:t>nemovitostí vedeném Katastrálním úřadem pro Liberecký kraj, Katastrální pracoviště Semily, na LV č. 10001, pro k. ú.</w:t>
      </w:r>
      <w:r>
        <w:rPr>
          <w:rFonts w:ascii="Garamond" w:hAnsi="Garamond"/>
          <w:sz w:val="24"/>
          <w:szCs w:val="24"/>
        </w:rPr>
        <w:t xml:space="preserve"> Dolní Rokytnice, obec Rokytnice </w:t>
      </w:r>
      <w:r>
        <w:rPr>
          <w:rFonts w:ascii="Garamond" w:hAnsi="Garamond"/>
          <w:sz w:val="24"/>
          <w:szCs w:val="24"/>
        </w:rPr>
        <w:tab/>
        <w:t xml:space="preserve">nad Jizerou, okres Semily, 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ind w:firstLine="708"/>
        <w:contextualSpacing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/>
          <w:sz w:val="24"/>
          <w:szCs w:val="24"/>
        </w:rPr>
        <w:t xml:space="preserve">(dále </w:t>
      </w:r>
      <w:r>
        <w:rPr>
          <w:rFonts w:ascii="Garamond" w:hAnsi="Garamond"/>
          <w:sz w:val="24"/>
          <w:szCs w:val="24"/>
        </w:rPr>
        <w:t xml:space="preserve">společně </w:t>
      </w:r>
      <w:r w:rsidRPr="00636A7D">
        <w:rPr>
          <w:rFonts w:ascii="Garamond" w:hAnsi="Garamond"/>
          <w:sz w:val="24"/>
          <w:szCs w:val="24"/>
        </w:rPr>
        <w:t>jen</w:t>
      </w:r>
      <w:r>
        <w:rPr>
          <w:rFonts w:ascii="Garamond" w:hAnsi="Garamond"/>
          <w:sz w:val="24"/>
          <w:szCs w:val="24"/>
        </w:rPr>
        <w:t xml:space="preserve"> jako</w:t>
      </w:r>
      <w:r w:rsidRPr="00636A7D">
        <w:rPr>
          <w:rFonts w:ascii="Garamond" w:hAnsi="Garamond"/>
          <w:sz w:val="24"/>
          <w:szCs w:val="24"/>
        </w:rPr>
        <w:t xml:space="preserve"> „</w:t>
      </w:r>
      <w:r w:rsidRPr="0020107D">
        <w:rPr>
          <w:rFonts w:ascii="Garamond" w:hAnsi="Garamond"/>
          <w:b/>
          <w:sz w:val="24"/>
          <w:szCs w:val="24"/>
        </w:rPr>
        <w:t>Nemovitost</w:t>
      </w:r>
      <w:r>
        <w:rPr>
          <w:rFonts w:ascii="Garamond" w:hAnsi="Garamond"/>
          <w:b/>
          <w:sz w:val="24"/>
          <w:szCs w:val="24"/>
        </w:rPr>
        <w:t>i</w:t>
      </w:r>
      <w:r w:rsidRPr="00636A7D">
        <w:rPr>
          <w:rFonts w:ascii="Garamond" w:hAnsi="Garamond"/>
          <w:sz w:val="24"/>
          <w:szCs w:val="24"/>
        </w:rPr>
        <w:t>“).</w:t>
      </w:r>
    </w:p>
    <w:p w:rsidR="00BA014D" w:rsidRDefault="00BA014D" w:rsidP="00BA014D">
      <w:pPr>
        <w:spacing w:line="240" w:lineRule="auto"/>
        <w:ind w:firstLine="708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ind w:left="708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uvedené Nemovitosti tvoří veškerou stavební část mechanicko – biologické čistírny odpadních vod (dále jen „</w:t>
      </w:r>
      <w:r w:rsidRPr="003C70DF">
        <w:rPr>
          <w:rFonts w:ascii="Garamond" w:hAnsi="Garamond"/>
          <w:b/>
          <w:sz w:val="24"/>
          <w:szCs w:val="24"/>
        </w:rPr>
        <w:t>ČOV</w:t>
      </w:r>
      <w:r>
        <w:rPr>
          <w:rFonts w:ascii="Garamond" w:hAnsi="Garamond"/>
          <w:sz w:val="24"/>
          <w:szCs w:val="24"/>
        </w:rPr>
        <w:t>“) s přístupem k ČOV v obci Rokytnice nad Jizerou, přičemž jejich specifikace včetně evidenční pořizovací hodnoty je uvedena v Příloze č. 1 této Smlouvy.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ind w:left="708" w:hanging="288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>Převodce dále prohlašuje, že je výlučným vlastníkem hlavního kanalizačního sběrače v Rokytnici nad Jizerou, jak je tento kanalizační sběrač specifikován včetně evidenční pořizovací hodnoty v Příloze č. 2 této Smlouvy (dále jen „</w:t>
      </w:r>
      <w:r w:rsidRPr="00CD2E5A">
        <w:rPr>
          <w:rFonts w:ascii="Garamond" w:hAnsi="Garamond"/>
          <w:b/>
          <w:sz w:val="24"/>
          <w:szCs w:val="24"/>
        </w:rPr>
        <w:t>Kanalizační sběrač</w:t>
      </w:r>
      <w:r>
        <w:rPr>
          <w:rFonts w:ascii="Garamond" w:hAnsi="Garamond"/>
          <w:sz w:val="24"/>
          <w:szCs w:val="24"/>
        </w:rPr>
        <w:t>“).</w:t>
      </w:r>
    </w:p>
    <w:p w:rsidR="00BA014D" w:rsidRDefault="00BA014D" w:rsidP="00BA014D">
      <w:pPr>
        <w:spacing w:line="240" w:lineRule="auto"/>
        <w:ind w:left="708" w:hanging="288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ind w:left="708" w:hanging="288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>Převodce dále prohlašuje, že je výlučným vlastníkem movitých věcí, jejichž seznam a specifikace včetně evidenční pořizovací hodnoty jsou uvedeny v Příloze č. 3 této Smlouvy (dále jen „</w:t>
      </w:r>
      <w:r w:rsidRPr="00C10513">
        <w:rPr>
          <w:rFonts w:ascii="Garamond" w:hAnsi="Garamond"/>
          <w:b/>
          <w:sz w:val="24"/>
          <w:szCs w:val="24"/>
        </w:rPr>
        <w:t>Technologie</w:t>
      </w:r>
      <w:r>
        <w:rPr>
          <w:rFonts w:ascii="Garamond" w:hAnsi="Garamond"/>
          <w:sz w:val="24"/>
          <w:szCs w:val="24"/>
        </w:rPr>
        <w:t>“). Výše uvedená Technologie tvoří veškerou technologickou část ČOV v obci Rokytnice nad Jizerou.</w:t>
      </w:r>
    </w:p>
    <w:p w:rsidR="00BA014D" w:rsidRDefault="00BA014D" w:rsidP="00BA014D">
      <w:pPr>
        <w:spacing w:line="240" w:lineRule="auto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</w:p>
    <w:p w:rsidR="00BA014D" w:rsidRPr="00A4062A" w:rsidRDefault="00BA014D" w:rsidP="00BA014D">
      <w:pPr>
        <w:spacing w:line="240" w:lineRule="auto"/>
        <w:ind w:left="708" w:hanging="288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  <w:t xml:space="preserve">Nemovitosti, Kanalizační sběrač a Technologie jakožto soubor nemovitých a movitých věcí společně tvoří ČOV a kanalizaci v obci Rokytnice nad Jizerou. Nemovitosti, Kanalizační </w:t>
      </w:r>
      <w:r w:rsidRPr="00362BF1">
        <w:rPr>
          <w:rFonts w:ascii="Garamond" w:hAnsi="Garamond"/>
          <w:sz w:val="24"/>
          <w:szCs w:val="24"/>
        </w:rPr>
        <w:t>sběrač a Technologie jsou dále v této Smlouvě společně uváděny také jako „</w:t>
      </w:r>
      <w:r w:rsidRPr="00362BF1">
        <w:rPr>
          <w:rFonts w:ascii="Garamond" w:hAnsi="Garamond"/>
          <w:b/>
          <w:sz w:val="24"/>
          <w:szCs w:val="24"/>
        </w:rPr>
        <w:t>Předmět převodu</w:t>
      </w:r>
      <w:r w:rsidRPr="00362BF1">
        <w:rPr>
          <w:rFonts w:ascii="Garamond" w:hAnsi="Garamond"/>
          <w:sz w:val="24"/>
          <w:szCs w:val="24"/>
        </w:rPr>
        <w:t>“. Pro zamezení pochybností Smluvní strany prohlašují, že Předmět převodu dle této Smlouvy zahrnuje taktéž i jakákoli technická zhodnocení daného majetku, realizovaná ze strany Nabyvatele coby nájemce před účinností této Smlouvy, a to včetně případných technických zhodnocení, která nebyla dosud dokončená a uvedena do užívání a která jsou prozatím účtována na účtu 042 (nedokončený dlouhodobý hmotný majetek).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Předmět smlouvy</w:t>
      </w:r>
    </w:p>
    <w:p w:rsidR="00BA014D" w:rsidRDefault="00BA014D" w:rsidP="00BA014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Převodce touto Smlouvou bezúplatně převádí</w:t>
      </w:r>
      <w:r w:rsidRPr="00636A7D">
        <w:rPr>
          <w:rFonts w:ascii="Garamond" w:hAnsi="Garamond"/>
          <w:sz w:val="24"/>
          <w:szCs w:val="24"/>
        </w:rPr>
        <w:t xml:space="preserve"> Nemovitost</w:t>
      </w:r>
      <w:r>
        <w:rPr>
          <w:rFonts w:ascii="Garamond" w:hAnsi="Garamond"/>
          <w:sz w:val="24"/>
          <w:szCs w:val="24"/>
        </w:rPr>
        <w:t>i, Kanalizační sběrač a Technologie se všemi jejich</w:t>
      </w:r>
      <w:r w:rsidRPr="00636A7D">
        <w:rPr>
          <w:rFonts w:ascii="Garamond" w:hAnsi="Garamond"/>
          <w:sz w:val="24"/>
          <w:szCs w:val="24"/>
        </w:rPr>
        <w:t xml:space="preserve"> součástmi a příslušenstvím </w:t>
      </w:r>
      <w:r>
        <w:rPr>
          <w:rFonts w:ascii="Garamond" w:hAnsi="Garamond"/>
          <w:sz w:val="24"/>
          <w:szCs w:val="24"/>
        </w:rPr>
        <w:t>Nabyvateli, který je</w:t>
      </w:r>
      <w:r w:rsidRPr="00636A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 Převodce nabývá</w:t>
      </w:r>
      <w:r w:rsidRPr="00636A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Pr="00636A7D">
        <w:rPr>
          <w:rFonts w:ascii="Garamond" w:hAnsi="Garamond"/>
          <w:sz w:val="24"/>
          <w:szCs w:val="24"/>
        </w:rPr>
        <w:t>přijímá do svého výlučného vlastnictví.</w:t>
      </w:r>
    </w:p>
    <w:p w:rsidR="00BA014D" w:rsidRPr="00636A7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Pr="006C21A7" w:rsidRDefault="00BA014D" w:rsidP="00BA014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Převodce se zavazuje Nemovitosti, Kanalizační sběrač a Technologie předat Nabyvateli</w:t>
      </w:r>
      <w:r w:rsidRPr="00636A7D">
        <w:rPr>
          <w:rFonts w:ascii="Garamond" w:hAnsi="Garamond"/>
          <w:sz w:val="24"/>
          <w:szCs w:val="24"/>
        </w:rPr>
        <w:t xml:space="preserve"> a umožnit m</w:t>
      </w:r>
      <w:r>
        <w:rPr>
          <w:rFonts w:ascii="Garamond" w:hAnsi="Garamond"/>
          <w:sz w:val="24"/>
          <w:szCs w:val="24"/>
        </w:rPr>
        <w:t>u nabytí vlastnického práva k nim a Nabyvatel</w:t>
      </w:r>
      <w:r w:rsidRPr="00636A7D">
        <w:rPr>
          <w:rFonts w:ascii="Garamond" w:hAnsi="Garamond"/>
          <w:sz w:val="24"/>
          <w:szCs w:val="24"/>
        </w:rPr>
        <w:t xml:space="preserve"> se zavazuje Nemovitost</w:t>
      </w:r>
      <w:r>
        <w:rPr>
          <w:rFonts w:ascii="Garamond" w:hAnsi="Garamond"/>
          <w:sz w:val="24"/>
          <w:szCs w:val="24"/>
        </w:rPr>
        <w:t>i, Kanalizační sběrač a Technologie od Převodce</w:t>
      </w:r>
      <w:r w:rsidRPr="00636A7D">
        <w:rPr>
          <w:rFonts w:ascii="Garamond" w:hAnsi="Garamond"/>
          <w:sz w:val="24"/>
          <w:szCs w:val="24"/>
        </w:rPr>
        <w:t xml:space="preserve"> do svéh</w:t>
      </w:r>
      <w:r>
        <w:rPr>
          <w:rFonts w:ascii="Garamond" w:hAnsi="Garamond"/>
          <w:sz w:val="24"/>
          <w:szCs w:val="24"/>
        </w:rPr>
        <w:t>o výlučného vlastnictví převzít, a to ve stavu, v jakém se nacházejí ke dni nabytí účinnosti této Smlouvy.</w:t>
      </w:r>
    </w:p>
    <w:p w:rsidR="00BA014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 Stav předmětu převodu</w:t>
      </w:r>
    </w:p>
    <w:p w:rsidR="00BA014D" w:rsidRDefault="00BA014D" w:rsidP="00BA014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Převodce</w:t>
      </w:r>
      <w:r w:rsidRPr="00636A7D">
        <w:rPr>
          <w:rFonts w:ascii="Garamond" w:hAnsi="Garamond"/>
          <w:sz w:val="24"/>
          <w:szCs w:val="24"/>
        </w:rPr>
        <w:t xml:space="preserve"> prohlašuje, že na </w:t>
      </w:r>
      <w:r>
        <w:rPr>
          <w:rFonts w:ascii="Garamond" w:hAnsi="Garamond"/>
          <w:sz w:val="24"/>
          <w:szCs w:val="24"/>
        </w:rPr>
        <w:t xml:space="preserve">Předmětu převodu </w:t>
      </w:r>
      <w:r w:rsidRPr="00636A7D">
        <w:rPr>
          <w:rFonts w:ascii="Garamond" w:hAnsi="Garamond"/>
          <w:sz w:val="24"/>
          <w:szCs w:val="24"/>
        </w:rPr>
        <w:t>neváznou žádné právní vady, zejména pak žá</w:t>
      </w:r>
      <w:r>
        <w:rPr>
          <w:rFonts w:ascii="Garamond" w:hAnsi="Garamond"/>
          <w:sz w:val="24"/>
          <w:szCs w:val="24"/>
        </w:rPr>
        <w:t>dná věcná práva, závazky</w:t>
      </w:r>
      <w:r w:rsidRPr="00636A7D">
        <w:rPr>
          <w:rFonts w:ascii="Garamond" w:hAnsi="Garamond"/>
          <w:sz w:val="24"/>
          <w:szCs w:val="24"/>
        </w:rPr>
        <w:t>, není omezen jejich převod a neexistují ani jiné právní povinnosti, které by jakk</w:t>
      </w:r>
      <w:r>
        <w:rPr>
          <w:rFonts w:ascii="Garamond" w:hAnsi="Garamond"/>
          <w:sz w:val="24"/>
          <w:szCs w:val="24"/>
        </w:rPr>
        <w:t>oliv bránily převodu Předmětu převodu a jeho použití za účelem provozu ČOV a hlavního kanalizačního sběrače v obci Rokytnice nad Jizerou</w:t>
      </w:r>
      <w:r w:rsidRPr="00636A7D">
        <w:rPr>
          <w:rFonts w:ascii="Garamond" w:hAnsi="Garamond"/>
          <w:sz w:val="24"/>
          <w:szCs w:val="24"/>
        </w:rPr>
        <w:t>.</w:t>
      </w:r>
    </w:p>
    <w:p w:rsidR="00BA014D" w:rsidRPr="00636A7D" w:rsidRDefault="00BA014D" w:rsidP="00BA014D">
      <w:pPr>
        <w:pStyle w:val="Odstavecseseznamem"/>
        <w:spacing w:line="240" w:lineRule="auto"/>
        <w:ind w:left="765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Nabyvatel</w:t>
      </w:r>
      <w:r w:rsidRPr="00636A7D">
        <w:rPr>
          <w:rFonts w:ascii="Garamond" w:hAnsi="Garamond"/>
          <w:sz w:val="24"/>
          <w:szCs w:val="24"/>
        </w:rPr>
        <w:t xml:space="preserve"> prohlašuje, že je mu stav převádě</w:t>
      </w:r>
      <w:r>
        <w:rPr>
          <w:rFonts w:ascii="Garamond" w:hAnsi="Garamond"/>
          <w:sz w:val="24"/>
          <w:szCs w:val="24"/>
        </w:rPr>
        <w:t>ných Nemovitostí, Kanalizačního sběrače</w:t>
      </w:r>
      <w:r w:rsidRPr="00636A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Technologií </w:t>
      </w:r>
      <w:r w:rsidRPr="00636A7D">
        <w:rPr>
          <w:rFonts w:ascii="Garamond" w:hAnsi="Garamond"/>
          <w:sz w:val="24"/>
          <w:szCs w:val="24"/>
        </w:rPr>
        <w:t xml:space="preserve">včetně </w:t>
      </w:r>
      <w:r>
        <w:rPr>
          <w:rFonts w:ascii="Garamond" w:hAnsi="Garamond"/>
          <w:sz w:val="24"/>
          <w:szCs w:val="24"/>
        </w:rPr>
        <w:t xml:space="preserve">jejich součástí a příslušenství </w:t>
      </w:r>
      <w:r w:rsidRPr="00636A7D">
        <w:rPr>
          <w:rFonts w:ascii="Garamond" w:hAnsi="Garamond"/>
          <w:sz w:val="24"/>
          <w:szCs w:val="24"/>
        </w:rPr>
        <w:t>dobře zná</w:t>
      </w:r>
      <w:r>
        <w:rPr>
          <w:rFonts w:ascii="Garamond" w:hAnsi="Garamond"/>
          <w:sz w:val="24"/>
          <w:szCs w:val="24"/>
        </w:rPr>
        <w:t>m, že si je před podpisem této S</w:t>
      </w:r>
      <w:r w:rsidRPr="00636A7D">
        <w:rPr>
          <w:rFonts w:ascii="Garamond" w:hAnsi="Garamond"/>
          <w:sz w:val="24"/>
          <w:szCs w:val="24"/>
        </w:rPr>
        <w:t>mlouvy důkladně prohlédl, seznámil se s jejich stavem a že Nemovitost</w:t>
      </w:r>
      <w:r>
        <w:rPr>
          <w:rFonts w:ascii="Garamond" w:hAnsi="Garamond"/>
          <w:sz w:val="24"/>
          <w:szCs w:val="24"/>
        </w:rPr>
        <w:t>i, Kanalizační sběrač a Technologie včetně veškerých součástí a příslušenství v tomto stavu od Převodce</w:t>
      </w:r>
      <w:r w:rsidRPr="00636A7D">
        <w:rPr>
          <w:rFonts w:ascii="Garamond" w:hAnsi="Garamond"/>
          <w:sz w:val="24"/>
          <w:szCs w:val="24"/>
        </w:rPr>
        <w:t xml:space="preserve"> přebírá.</w:t>
      </w:r>
    </w:p>
    <w:p w:rsidR="00BA014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 Zvláštní ustanovení</w:t>
      </w:r>
    </w:p>
    <w:p w:rsidR="00BA014D" w:rsidRPr="00362BF1" w:rsidRDefault="00BA014D" w:rsidP="00BA014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Převod vlastnictví </w:t>
      </w:r>
      <w:r w:rsidRPr="00362BF1">
        <w:rPr>
          <w:rFonts w:ascii="Garamond" w:hAnsi="Garamond"/>
          <w:sz w:val="24"/>
          <w:szCs w:val="24"/>
        </w:rPr>
        <w:t>k Předmětu převodu dle této Smlouvy je sjednán jako bezúplatný.</w:t>
      </w:r>
    </w:p>
    <w:p w:rsidR="00BA014D" w:rsidRPr="00362BF1" w:rsidRDefault="00BA014D" w:rsidP="00BA014D">
      <w:pPr>
        <w:pStyle w:val="Odstavecseseznamem"/>
        <w:spacing w:line="240" w:lineRule="auto"/>
        <w:ind w:left="765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62BF1">
        <w:rPr>
          <w:rFonts w:ascii="Garamond" w:hAnsi="Garamond"/>
          <w:sz w:val="24"/>
          <w:szCs w:val="24"/>
        </w:rPr>
        <w:t>Smluvní strany berou na vědomí, že v souvislosti s bezúplatným převodem Předmětu převodu dle této Smlouvy a ukončením nájemních smluv dle čl. VI. odst. 2 této Smlouvy je nutno provést vypořádání daně z přidané hodnoty, které bude provedeno způsobem a v rozsahu dle platných právních předpisů</w:t>
      </w:r>
      <w:r>
        <w:rPr>
          <w:rFonts w:ascii="Garamond" w:hAnsi="Garamond"/>
          <w:sz w:val="24"/>
          <w:szCs w:val="24"/>
        </w:rPr>
        <w:t xml:space="preserve"> a dle vystavených daňových dokladů.</w:t>
      </w:r>
    </w:p>
    <w:p w:rsidR="00BA014D" w:rsidRPr="00CC507C" w:rsidRDefault="00BA014D" w:rsidP="00BA014D">
      <w:pPr>
        <w:pStyle w:val="Odstavecseseznamem"/>
        <w:rPr>
          <w:rFonts w:ascii="Garamond" w:hAnsi="Garamond"/>
          <w:sz w:val="24"/>
          <w:szCs w:val="24"/>
        </w:rPr>
      </w:pPr>
    </w:p>
    <w:p w:rsidR="00BA014D" w:rsidRPr="00362BF1" w:rsidRDefault="00BA014D" w:rsidP="00BA014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Předmět převodu, který se touto Smlouvou bezúplatně převádí na Nabyvatele, tvoří funkční celek ČOV a kanalizace v obci Rokytnice nad Jizerou. Smluvní strany tímto prohlašují, že v případě ukončení členství Převodce ve Vodohospodářském sdružení Turnov mezi sebou uzavřou bez zbytečného odkladu obdobnou smlouvu o bezúplatném převodu majetku, na jejímž základě bude Předmět převodu bezúplatně převeden zpět do vlastnictví Převodce. </w:t>
      </w:r>
    </w:p>
    <w:p w:rsidR="00BA014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BA014D" w:rsidRPr="00636A7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 Nabytí vlastnického práva, předání předmětu převodu</w:t>
      </w:r>
    </w:p>
    <w:p w:rsidR="00BA014D" w:rsidRDefault="00BA014D" w:rsidP="00BA014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Vlastnické právo k Technologiím a Kanalizačnímu sběrači nabývá Nabyvatel okamžikem jejich fyzického předání.</w:t>
      </w:r>
    </w:p>
    <w:p w:rsidR="00BA014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Vlastnické právo k Nemovitostem nabývá Nabyvatel</w:t>
      </w:r>
      <w:r w:rsidRPr="00636A7D">
        <w:rPr>
          <w:rFonts w:ascii="Garamond" w:hAnsi="Garamond"/>
          <w:sz w:val="24"/>
          <w:szCs w:val="24"/>
        </w:rPr>
        <w:t xml:space="preserve"> se všemi právy a povinnostmi dnem vkladu vlastnického práva </w:t>
      </w:r>
      <w:r>
        <w:rPr>
          <w:rFonts w:ascii="Garamond" w:hAnsi="Garamond"/>
          <w:sz w:val="24"/>
          <w:szCs w:val="24"/>
        </w:rPr>
        <w:t xml:space="preserve">k Nemovitostem </w:t>
      </w:r>
      <w:r w:rsidRPr="00636A7D">
        <w:rPr>
          <w:rFonts w:ascii="Garamond" w:hAnsi="Garamond"/>
          <w:sz w:val="24"/>
          <w:szCs w:val="24"/>
        </w:rPr>
        <w:t>do katastru nemovitostí.</w:t>
      </w:r>
    </w:p>
    <w:p w:rsidR="00BA014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/>
          <w:sz w:val="24"/>
          <w:szCs w:val="24"/>
        </w:rPr>
        <w:t xml:space="preserve">Návrh na vklad </w:t>
      </w:r>
      <w:r>
        <w:rPr>
          <w:rFonts w:ascii="Garamond" w:hAnsi="Garamond"/>
          <w:sz w:val="24"/>
          <w:szCs w:val="24"/>
        </w:rPr>
        <w:t>vlastnického práva k Nemovitostem</w:t>
      </w:r>
      <w:r w:rsidRPr="00636A7D">
        <w:rPr>
          <w:rFonts w:ascii="Garamond" w:hAnsi="Garamond"/>
          <w:sz w:val="24"/>
          <w:szCs w:val="24"/>
        </w:rPr>
        <w:t xml:space="preserve"> do katastru nemovi</w:t>
      </w:r>
      <w:r>
        <w:rPr>
          <w:rFonts w:ascii="Garamond" w:hAnsi="Garamond"/>
          <w:sz w:val="24"/>
          <w:szCs w:val="24"/>
        </w:rPr>
        <w:t>tostí se zavazuje k příslušnému katastrálnímu úřadu podat Nabyvatel</w:t>
      </w:r>
      <w:r w:rsidRPr="00636A7D">
        <w:rPr>
          <w:rFonts w:ascii="Garamond" w:hAnsi="Garamond"/>
          <w:sz w:val="24"/>
          <w:szCs w:val="24"/>
        </w:rPr>
        <w:t>, a to včetně uhrazení správního poplatku s tímto návrhem spojeným</w:t>
      </w:r>
      <w:r>
        <w:rPr>
          <w:rFonts w:ascii="Garamond" w:hAnsi="Garamond"/>
          <w:sz w:val="24"/>
          <w:szCs w:val="24"/>
        </w:rPr>
        <w:t>, nejpozději do 10. pracovních dnů ode dne nabytí účinnosti této Smlouvy</w:t>
      </w:r>
      <w:r w:rsidRPr="00636A7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Smluvní strany souhlasí s provedením vkladu vlastnického práva k Nemovitostem do katastru nemovitostí na základě této Smlouvy.</w:t>
      </w:r>
    </w:p>
    <w:p w:rsidR="00BA014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Pr="0042786F" w:rsidRDefault="00BA014D" w:rsidP="00BA014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Převodce</w:t>
      </w:r>
      <w:r w:rsidRPr="00636A7D">
        <w:rPr>
          <w:rFonts w:ascii="Garamond" w:hAnsi="Garamond"/>
          <w:sz w:val="24"/>
          <w:szCs w:val="24"/>
        </w:rPr>
        <w:t xml:space="preserve"> se tímto zavazuje, že do dne povolení vkladu vlas</w:t>
      </w:r>
      <w:r>
        <w:rPr>
          <w:rFonts w:ascii="Garamond" w:hAnsi="Garamond"/>
          <w:sz w:val="24"/>
          <w:szCs w:val="24"/>
        </w:rPr>
        <w:t>tnického práva k Nemovitostem ve prospěch Nabyvatele dle této S</w:t>
      </w:r>
      <w:r w:rsidRPr="00636A7D">
        <w:rPr>
          <w:rFonts w:ascii="Garamond" w:hAnsi="Garamond"/>
          <w:sz w:val="24"/>
          <w:szCs w:val="24"/>
        </w:rPr>
        <w:t>mlouvy nebude činit žádné úkony, které b</w:t>
      </w:r>
      <w:r>
        <w:rPr>
          <w:rFonts w:ascii="Garamond" w:hAnsi="Garamond"/>
          <w:sz w:val="24"/>
          <w:szCs w:val="24"/>
        </w:rPr>
        <w:t>y vlastnické právo k Nemovitostem</w:t>
      </w:r>
      <w:r w:rsidRPr="00636A7D">
        <w:rPr>
          <w:rFonts w:ascii="Garamond" w:hAnsi="Garamond"/>
          <w:sz w:val="24"/>
          <w:szCs w:val="24"/>
        </w:rPr>
        <w:t xml:space="preserve"> jakkoli omezovaly.</w:t>
      </w:r>
    </w:p>
    <w:p w:rsidR="00BA014D" w:rsidRPr="00636A7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/>
          <w:sz w:val="24"/>
          <w:szCs w:val="24"/>
        </w:rPr>
        <w:t>Pro případ, že příslušný katastrální úřad zamítne, a to z jakéhokoliv důvodu, povole</w:t>
      </w:r>
      <w:r>
        <w:rPr>
          <w:rFonts w:ascii="Garamond" w:hAnsi="Garamond"/>
          <w:sz w:val="24"/>
          <w:szCs w:val="24"/>
        </w:rPr>
        <w:t>ní vkladu vlastnického práva ve prospěch Nabyvatele</w:t>
      </w:r>
      <w:r w:rsidRPr="00636A7D">
        <w:rPr>
          <w:rFonts w:ascii="Garamond" w:hAnsi="Garamond"/>
          <w:sz w:val="24"/>
          <w:szCs w:val="24"/>
        </w:rPr>
        <w:t xml:space="preserve"> nebo vkladové řízení přeruší nebo vyzve navrhovatele k doplnění návrhu, zavazují se </w:t>
      </w:r>
      <w:r>
        <w:rPr>
          <w:rFonts w:ascii="Garamond" w:hAnsi="Garamond"/>
          <w:sz w:val="24"/>
          <w:szCs w:val="24"/>
        </w:rPr>
        <w:t xml:space="preserve">smluvní strany </w:t>
      </w:r>
      <w:r w:rsidRPr="00636A7D">
        <w:rPr>
          <w:rFonts w:ascii="Garamond" w:hAnsi="Garamond"/>
          <w:sz w:val="24"/>
          <w:szCs w:val="24"/>
        </w:rPr>
        <w:t xml:space="preserve">vyvinout veškeré úsilí k tomu, aby došlo k odstranění vad, které brání vkladu vlastnického práva a k povolení vkladu vlastnického práva </w:t>
      </w:r>
      <w:r>
        <w:rPr>
          <w:rFonts w:ascii="Garamond" w:hAnsi="Garamond"/>
          <w:sz w:val="24"/>
          <w:szCs w:val="24"/>
        </w:rPr>
        <w:t>ve prospěch Nabyvatele</w:t>
      </w:r>
      <w:r w:rsidRPr="00636A7D">
        <w:rPr>
          <w:rFonts w:ascii="Garamond" w:hAnsi="Garamond"/>
          <w:sz w:val="24"/>
          <w:szCs w:val="24"/>
        </w:rPr>
        <w:t>. V případě, že ani toto úsilí nepovede k povolení vkladu v</w:t>
      </w:r>
      <w:r>
        <w:rPr>
          <w:rFonts w:ascii="Garamond" w:hAnsi="Garamond"/>
          <w:sz w:val="24"/>
          <w:szCs w:val="24"/>
        </w:rPr>
        <w:t>lastnického práva pro Nabyvatele</w:t>
      </w:r>
      <w:r w:rsidRPr="00636A7D">
        <w:rPr>
          <w:rFonts w:ascii="Garamond" w:hAnsi="Garamond"/>
          <w:sz w:val="24"/>
          <w:szCs w:val="24"/>
        </w:rPr>
        <w:t>, je kterákoliv ze sml</w:t>
      </w:r>
      <w:r>
        <w:rPr>
          <w:rFonts w:ascii="Garamond" w:hAnsi="Garamond"/>
          <w:sz w:val="24"/>
          <w:szCs w:val="24"/>
        </w:rPr>
        <w:t xml:space="preserve">uvních stran </w:t>
      </w:r>
      <w:r>
        <w:rPr>
          <w:rFonts w:ascii="Garamond" w:hAnsi="Garamond"/>
          <w:sz w:val="24"/>
          <w:szCs w:val="24"/>
        </w:rPr>
        <w:lastRenderedPageBreak/>
        <w:t>oprávněna od této S</w:t>
      </w:r>
      <w:r w:rsidRPr="00636A7D">
        <w:rPr>
          <w:rFonts w:ascii="Garamond" w:hAnsi="Garamond"/>
          <w:sz w:val="24"/>
          <w:szCs w:val="24"/>
        </w:rPr>
        <w:t>mlouvy odstoupit a smluvní strany jsou povinny si vrátit dosud vzájemně poskytnutá plnění</w:t>
      </w:r>
      <w:r>
        <w:rPr>
          <w:rFonts w:ascii="Garamond" w:hAnsi="Garamond"/>
          <w:sz w:val="24"/>
          <w:szCs w:val="24"/>
        </w:rPr>
        <w:t>,</w:t>
      </w:r>
      <w:r w:rsidRPr="00636A7D">
        <w:rPr>
          <w:rFonts w:ascii="Garamond" w:hAnsi="Garamond"/>
          <w:sz w:val="24"/>
          <w:szCs w:val="24"/>
        </w:rPr>
        <w:t xml:space="preserve"> a to do deseti dnů od doručení písemného odstoupení jedné ze smluvních stran od této </w:t>
      </w:r>
      <w:r>
        <w:rPr>
          <w:rFonts w:ascii="Garamond" w:hAnsi="Garamond"/>
          <w:sz w:val="24"/>
          <w:szCs w:val="24"/>
        </w:rPr>
        <w:t>S</w:t>
      </w:r>
      <w:r w:rsidRPr="00636A7D">
        <w:rPr>
          <w:rFonts w:ascii="Garamond" w:hAnsi="Garamond"/>
          <w:sz w:val="24"/>
          <w:szCs w:val="24"/>
        </w:rPr>
        <w:t>mlouvy.</w:t>
      </w:r>
    </w:p>
    <w:p w:rsidR="00BA014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Pr="00245E7A" w:rsidRDefault="00BA014D" w:rsidP="00BA014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45E7A">
        <w:rPr>
          <w:rFonts w:ascii="Garamond" w:hAnsi="Garamond"/>
          <w:sz w:val="24"/>
          <w:szCs w:val="24"/>
        </w:rPr>
        <w:t xml:space="preserve">Technologie </w:t>
      </w:r>
      <w:r>
        <w:rPr>
          <w:rFonts w:ascii="Garamond" w:hAnsi="Garamond"/>
          <w:sz w:val="24"/>
          <w:szCs w:val="24"/>
        </w:rPr>
        <w:t xml:space="preserve">a Kanalizační sběrač </w:t>
      </w:r>
      <w:r w:rsidRPr="00245E7A">
        <w:rPr>
          <w:rFonts w:ascii="Garamond" w:hAnsi="Garamond"/>
          <w:sz w:val="24"/>
          <w:szCs w:val="24"/>
        </w:rPr>
        <w:t xml:space="preserve">budou Převodcem fyzicky předány Nabyvateli nejpozději do </w:t>
      </w:r>
      <w:r>
        <w:rPr>
          <w:rFonts w:ascii="Garamond" w:hAnsi="Garamond"/>
          <w:sz w:val="24"/>
          <w:szCs w:val="24"/>
        </w:rPr>
        <w:t>10.</w:t>
      </w:r>
      <w:r w:rsidRPr="00245E7A">
        <w:rPr>
          <w:rFonts w:ascii="Garamond" w:hAnsi="Garamond"/>
          <w:sz w:val="24"/>
          <w:szCs w:val="24"/>
        </w:rPr>
        <w:t xml:space="preserve"> pracovních dnů ode dne nabytí účinnosti této Smlouvy. Nemovitosti budou Převodcem fyzicky předány Nabyvateli nejpozději do </w:t>
      </w:r>
      <w:r>
        <w:rPr>
          <w:rFonts w:ascii="Garamond" w:hAnsi="Garamond"/>
          <w:sz w:val="24"/>
          <w:szCs w:val="24"/>
        </w:rPr>
        <w:t>10.</w:t>
      </w:r>
      <w:r w:rsidRPr="00245E7A">
        <w:rPr>
          <w:rFonts w:ascii="Garamond" w:hAnsi="Garamond"/>
          <w:sz w:val="24"/>
          <w:szCs w:val="24"/>
        </w:rPr>
        <w:t xml:space="preserve"> pracovních dnů po provedení vkladu vlastnického práva k Nemovitostem do katastru nemovitostí. O předání/převzetí Nemovitostí</w:t>
      </w:r>
      <w:r>
        <w:rPr>
          <w:rFonts w:ascii="Garamond" w:hAnsi="Garamond"/>
          <w:sz w:val="24"/>
          <w:szCs w:val="24"/>
        </w:rPr>
        <w:t>, Kanalizačního sběrače a Technologií</w:t>
      </w:r>
      <w:r w:rsidRPr="00245E7A">
        <w:rPr>
          <w:rFonts w:ascii="Garamond" w:hAnsi="Garamond"/>
          <w:sz w:val="24"/>
          <w:szCs w:val="24"/>
        </w:rPr>
        <w:t xml:space="preserve"> bude sepsán písemný protokol. Smluvní strany se zavazují poskytnout si veškerou nezbytnou součinnost potřebnou k předání a převzetí Nemovitostí</w:t>
      </w:r>
      <w:r>
        <w:rPr>
          <w:rFonts w:ascii="Garamond" w:hAnsi="Garamond"/>
          <w:sz w:val="24"/>
          <w:szCs w:val="24"/>
        </w:rPr>
        <w:t>, Kanalizačního sběrače</w:t>
      </w:r>
      <w:r w:rsidRPr="00245E7A">
        <w:rPr>
          <w:rFonts w:ascii="Garamond" w:hAnsi="Garamond"/>
          <w:sz w:val="24"/>
          <w:szCs w:val="24"/>
        </w:rPr>
        <w:t xml:space="preserve"> a Technologií.</w:t>
      </w:r>
    </w:p>
    <w:p w:rsidR="00BA014D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BA014D" w:rsidRPr="00E453BA" w:rsidRDefault="00BA014D" w:rsidP="00BA014D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 Závěrečná ustanovení</w:t>
      </w:r>
    </w:p>
    <w:p w:rsidR="00BA014D" w:rsidRPr="00E4000B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nabývá platnosti okamžikem jejího podpisu oběma smluvními stranami, a účinnosti ke </w:t>
      </w:r>
      <w:r w:rsidRPr="00E4000B">
        <w:rPr>
          <w:rFonts w:ascii="Garamond" w:hAnsi="Garamond"/>
          <w:sz w:val="24"/>
          <w:szCs w:val="24"/>
        </w:rPr>
        <w:t xml:space="preserve">dni 30. 9. 2019. </w:t>
      </w:r>
    </w:p>
    <w:p w:rsidR="00BA014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Pr="00362BF1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62BF1">
        <w:rPr>
          <w:rFonts w:ascii="Garamond" w:hAnsi="Garamond"/>
          <w:sz w:val="24"/>
          <w:szCs w:val="24"/>
        </w:rPr>
        <w:t xml:space="preserve">Smluvní strany prohlašují, že ke dni přechodu vlastnického práva k Předmětu převodu dle této Smlouvy na Nabyvatele zanikají tyto nájemní smlouvy uzavřené mezi Převodcem jako pronajímatelem a Nabyvatelem jako nájemcem: </w:t>
      </w:r>
    </w:p>
    <w:p w:rsidR="00BA014D" w:rsidRPr="00362BF1" w:rsidRDefault="00BA014D" w:rsidP="00BA014D">
      <w:pPr>
        <w:pStyle w:val="Odstavecseseznamem"/>
        <w:rPr>
          <w:rFonts w:ascii="Garamond" w:hAnsi="Garamond"/>
          <w:sz w:val="24"/>
          <w:szCs w:val="24"/>
        </w:rPr>
      </w:pPr>
    </w:p>
    <w:p w:rsidR="00BA014D" w:rsidRPr="00362BF1" w:rsidRDefault="00BA014D" w:rsidP="00BA014D">
      <w:pPr>
        <w:pStyle w:val="Odstavecseseznamem"/>
        <w:numPr>
          <w:ilvl w:val="0"/>
          <w:numId w:val="11"/>
        </w:numPr>
        <w:spacing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362BF1">
        <w:rPr>
          <w:rFonts w:ascii="Garamond" w:hAnsi="Garamond"/>
          <w:sz w:val="24"/>
          <w:szCs w:val="24"/>
        </w:rPr>
        <w:t>Smlouva o nájmu Kanalizačního sběrače ze dne 31. 3. 2005, ve znění jejího dodatku č. 1 ze dne 8. 9. 2011, a</w:t>
      </w:r>
    </w:p>
    <w:p w:rsidR="00BA014D" w:rsidRPr="00362BF1" w:rsidRDefault="00BA014D" w:rsidP="00BA014D">
      <w:pPr>
        <w:pStyle w:val="Odstavecseseznamem"/>
        <w:numPr>
          <w:ilvl w:val="0"/>
          <w:numId w:val="11"/>
        </w:numPr>
        <w:spacing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362BF1">
        <w:rPr>
          <w:rFonts w:ascii="Garamond" w:hAnsi="Garamond"/>
          <w:sz w:val="24"/>
          <w:szCs w:val="24"/>
        </w:rPr>
        <w:t>Smlouva o nájmu ČOV ze dne 14. 11. 2006, ve znění jejího dodatku č. 1 ze dne 8. 9. 2011.</w:t>
      </w:r>
    </w:p>
    <w:p w:rsidR="00BA014D" w:rsidRPr="00362BF1" w:rsidRDefault="00BA014D" w:rsidP="00BA014D">
      <w:pPr>
        <w:pStyle w:val="Odstavecseseznamem"/>
        <w:rPr>
          <w:rFonts w:ascii="Garamond" w:hAnsi="Garamond"/>
          <w:sz w:val="24"/>
          <w:szCs w:val="24"/>
        </w:rPr>
      </w:pPr>
    </w:p>
    <w:p w:rsidR="00BA014D" w:rsidRPr="00362BF1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  <w:r w:rsidRPr="00362BF1">
        <w:rPr>
          <w:rFonts w:ascii="Garamond" w:hAnsi="Garamond"/>
          <w:sz w:val="24"/>
          <w:szCs w:val="24"/>
        </w:rPr>
        <w:t>Smluvní strany v této souvislosti prohlašují, že veškerá technická zhodnocení, realizovaná Nabyvatelem jako nájemcem na majetku, který je předmětem uvedených nájemních smluv a který zároveň tvoří Předmět převodu dle této Smlouvy, budou mezi nimi zcela vypořádaná bezúplatným převodem tohoto majetku (včetně příslušných technických zhodnocení) na Nabyvatele dle této Smlouvy.</w:t>
      </w:r>
    </w:p>
    <w:p w:rsidR="00BA014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/>
          <w:sz w:val="24"/>
          <w:szCs w:val="24"/>
        </w:rPr>
        <w:t xml:space="preserve">Smluvní strany prohlašují, že jejich cílem </w:t>
      </w:r>
      <w:r>
        <w:rPr>
          <w:rFonts w:ascii="Garamond" w:hAnsi="Garamond"/>
          <w:sz w:val="24"/>
          <w:szCs w:val="24"/>
        </w:rPr>
        <w:t>je realizovat bezúplatný převod Nemovitostí, Kanalizačního sběrače</w:t>
      </w:r>
      <w:r w:rsidRPr="00636A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Technologií </w:t>
      </w:r>
      <w:r w:rsidRPr="00636A7D">
        <w:rPr>
          <w:rFonts w:ascii="Garamond" w:hAnsi="Garamond"/>
          <w:sz w:val="24"/>
          <w:szCs w:val="24"/>
        </w:rPr>
        <w:t>za výše uvedených podmínek, podniknout k tomu všechny potřebné kroky a opatření, a že si v tomto ohledu poskytnou veškerou nezbytnou součinnost.</w:t>
      </w:r>
    </w:p>
    <w:p w:rsidR="00BA014D" w:rsidRPr="00636A7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Právní vztahy touto S</w:t>
      </w:r>
      <w:r w:rsidRPr="00636A7D">
        <w:rPr>
          <w:rFonts w:ascii="Garamond" w:hAnsi="Garamond"/>
          <w:sz w:val="24"/>
          <w:szCs w:val="24"/>
        </w:rPr>
        <w:t>mlouvou neupravené se řídí zákony České republiky, předevší</w:t>
      </w:r>
      <w:r>
        <w:rPr>
          <w:rFonts w:ascii="Garamond" w:hAnsi="Garamond"/>
          <w:sz w:val="24"/>
          <w:szCs w:val="24"/>
        </w:rPr>
        <w:t>m pak příslušnými ustanoveními O</w:t>
      </w:r>
      <w:r w:rsidRPr="00636A7D">
        <w:rPr>
          <w:rFonts w:ascii="Garamond" w:hAnsi="Garamond"/>
          <w:sz w:val="24"/>
          <w:szCs w:val="24"/>
        </w:rPr>
        <w:t>bčanského zákoníku</w:t>
      </w:r>
      <w:r>
        <w:rPr>
          <w:rFonts w:ascii="Garamond" w:hAnsi="Garamond"/>
          <w:sz w:val="24"/>
          <w:szCs w:val="24"/>
        </w:rPr>
        <w:t>.</w:t>
      </w:r>
    </w:p>
    <w:p w:rsidR="00BA014D" w:rsidRPr="00636A7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Pr="002A1F42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36A7D">
        <w:rPr>
          <w:rFonts w:ascii="Garamond" w:hAnsi="Garamond" w:cs="Times New Roman"/>
          <w:sz w:val="24"/>
          <w:szCs w:val="24"/>
        </w:rPr>
        <w:t>Bude-li některé z ustanovení této Smlouvy prohlášeno za neplatné, nemá tato neplatnost vliv na ostatní ujednání stran této Smlouvy, lze-li je oddělit. Strany této Smlouvy se zavazují nahradit takové ustanovení platným a účinným ustanovením podobného obsahu a významu při zachování hospodářského účelu a smyslu této Smlouvy.</w:t>
      </w:r>
    </w:p>
    <w:p w:rsidR="00BA014D" w:rsidRPr="00636A7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byla sepsána v 5</w:t>
      </w:r>
      <w:r w:rsidRPr="00636A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(pěti) </w:t>
      </w:r>
      <w:r w:rsidRPr="00636A7D">
        <w:rPr>
          <w:rFonts w:ascii="Garamond" w:hAnsi="Garamond"/>
          <w:sz w:val="24"/>
          <w:szCs w:val="24"/>
        </w:rPr>
        <w:t xml:space="preserve">vyhotoveních, z nichž každá ze smluvních stran obdrží po </w:t>
      </w:r>
      <w:r>
        <w:rPr>
          <w:rFonts w:ascii="Garamond" w:hAnsi="Garamond"/>
          <w:sz w:val="24"/>
          <w:szCs w:val="24"/>
        </w:rPr>
        <w:t>2 (dvou)</w:t>
      </w:r>
      <w:r w:rsidRPr="00636A7D">
        <w:rPr>
          <w:rFonts w:ascii="Garamond" w:hAnsi="Garamond"/>
          <w:sz w:val="24"/>
          <w:szCs w:val="24"/>
        </w:rPr>
        <w:t xml:space="preserve"> vyhotovení a </w:t>
      </w:r>
      <w:r>
        <w:rPr>
          <w:rFonts w:ascii="Garamond" w:hAnsi="Garamond"/>
          <w:sz w:val="24"/>
          <w:szCs w:val="24"/>
        </w:rPr>
        <w:t>1 (</w:t>
      </w:r>
      <w:r w:rsidRPr="00636A7D">
        <w:rPr>
          <w:rFonts w:ascii="Garamond" w:hAnsi="Garamond"/>
          <w:sz w:val="24"/>
          <w:szCs w:val="24"/>
        </w:rPr>
        <w:t>jedno</w:t>
      </w:r>
      <w:r>
        <w:rPr>
          <w:rFonts w:ascii="Garamond" w:hAnsi="Garamond"/>
          <w:sz w:val="24"/>
          <w:szCs w:val="24"/>
        </w:rPr>
        <w:t>)</w:t>
      </w:r>
      <w:r w:rsidRPr="00636A7D">
        <w:rPr>
          <w:rFonts w:ascii="Garamond" w:hAnsi="Garamond"/>
          <w:sz w:val="24"/>
          <w:szCs w:val="24"/>
        </w:rPr>
        <w:t xml:space="preserve"> vyhotovení je určeno pro potřebu vkladového řízení před příslušným katastrálním úřadem.</w:t>
      </w:r>
    </w:p>
    <w:p w:rsidR="00BA014D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Nedílnou součástí této Smlouvy jsou následující přílohy:</w:t>
      </w:r>
    </w:p>
    <w:p w:rsidR="00BA014D" w:rsidRDefault="00BA014D" w:rsidP="00BA014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Příloha č. 1: </w:t>
      </w:r>
      <w:r w:rsidRPr="0040021A">
        <w:rPr>
          <w:rFonts w:ascii="Garamond" w:hAnsi="Garamond"/>
          <w:sz w:val="24"/>
          <w:szCs w:val="24"/>
          <w:u w:val="single"/>
        </w:rPr>
        <w:t>Specifikace nemovitých věcí</w:t>
      </w:r>
      <w:r>
        <w:rPr>
          <w:rFonts w:ascii="Garamond" w:hAnsi="Garamond"/>
          <w:sz w:val="24"/>
          <w:szCs w:val="24"/>
        </w:rPr>
        <w:t>, které jsou předmětem této Smlouvy, včetně jejich evidenční pořizovací hodnoty;</w:t>
      </w:r>
    </w:p>
    <w:p w:rsidR="00BA014D" w:rsidRDefault="00BA014D" w:rsidP="00BA014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2: </w:t>
      </w:r>
      <w:r>
        <w:rPr>
          <w:rFonts w:ascii="Garamond" w:hAnsi="Garamond"/>
          <w:sz w:val="24"/>
          <w:szCs w:val="24"/>
          <w:u w:val="single"/>
        </w:rPr>
        <w:t>S</w:t>
      </w:r>
      <w:r w:rsidRPr="00CD2E5A">
        <w:rPr>
          <w:rFonts w:ascii="Garamond" w:hAnsi="Garamond"/>
          <w:sz w:val="24"/>
          <w:szCs w:val="24"/>
          <w:u w:val="single"/>
        </w:rPr>
        <w:t>pecifikace kanalizační</w:t>
      </w:r>
      <w:r>
        <w:rPr>
          <w:rFonts w:ascii="Garamond" w:hAnsi="Garamond"/>
          <w:sz w:val="24"/>
          <w:szCs w:val="24"/>
          <w:u w:val="single"/>
        </w:rPr>
        <w:t>ho</w:t>
      </w:r>
      <w:r w:rsidRPr="00CD2E5A">
        <w:rPr>
          <w:rFonts w:ascii="Garamond" w:hAnsi="Garamond"/>
          <w:sz w:val="24"/>
          <w:szCs w:val="24"/>
          <w:u w:val="single"/>
        </w:rPr>
        <w:t xml:space="preserve"> sběrač</w:t>
      </w:r>
      <w:r>
        <w:rPr>
          <w:rFonts w:ascii="Garamond" w:hAnsi="Garamond"/>
          <w:sz w:val="24"/>
          <w:szCs w:val="24"/>
          <w:u w:val="single"/>
        </w:rPr>
        <w:t>e</w:t>
      </w:r>
      <w:r>
        <w:rPr>
          <w:rFonts w:ascii="Garamond" w:hAnsi="Garamond"/>
          <w:sz w:val="24"/>
          <w:szCs w:val="24"/>
        </w:rPr>
        <w:t>, který je předmětem této Smlouvy, včetně jeho evidenční pořizovací hodnoty;</w:t>
      </w:r>
    </w:p>
    <w:p w:rsidR="00BA014D" w:rsidRPr="008B73A5" w:rsidRDefault="00BA014D" w:rsidP="00BA014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8B73A5">
        <w:rPr>
          <w:rFonts w:ascii="Garamond" w:hAnsi="Garamond"/>
          <w:sz w:val="24"/>
          <w:szCs w:val="24"/>
        </w:rPr>
        <w:t xml:space="preserve">Příloha č. </w:t>
      </w:r>
      <w:r>
        <w:rPr>
          <w:rFonts w:ascii="Garamond" w:hAnsi="Garamond"/>
          <w:sz w:val="24"/>
          <w:szCs w:val="24"/>
        </w:rPr>
        <w:t>3</w:t>
      </w:r>
      <w:r w:rsidRPr="008B73A5">
        <w:rPr>
          <w:rFonts w:ascii="Garamond" w:hAnsi="Garamond"/>
          <w:sz w:val="24"/>
          <w:szCs w:val="24"/>
        </w:rPr>
        <w:t xml:space="preserve">: </w:t>
      </w:r>
      <w:r w:rsidRPr="008B73A5">
        <w:rPr>
          <w:rFonts w:ascii="Garamond" w:hAnsi="Garamond"/>
          <w:sz w:val="24"/>
          <w:szCs w:val="24"/>
          <w:u w:val="single"/>
        </w:rPr>
        <w:t>Seznam a specifikace movitých věcí (technologie)</w:t>
      </w:r>
      <w:r w:rsidRPr="008B73A5">
        <w:rPr>
          <w:rFonts w:ascii="Garamond" w:hAnsi="Garamond"/>
          <w:sz w:val="24"/>
          <w:szCs w:val="24"/>
        </w:rPr>
        <w:t>, které jsou předmětem této Smlouvy</w:t>
      </w:r>
      <w:r>
        <w:rPr>
          <w:rFonts w:ascii="Garamond" w:hAnsi="Garamond"/>
          <w:sz w:val="24"/>
          <w:szCs w:val="24"/>
        </w:rPr>
        <w:t>, včetně jejich evidenční pořizovací hodnoty</w:t>
      </w:r>
      <w:r w:rsidRPr="008B73A5">
        <w:rPr>
          <w:rFonts w:ascii="Garamond" w:hAnsi="Garamond"/>
          <w:sz w:val="24"/>
          <w:szCs w:val="24"/>
        </w:rPr>
        <w:t>.</w:t>
      </w:r>
    </w:p>
    <w:p w:rsidR="00BA014D" w:rsidRPr="00636A7D" w:rsidRDefault="00BA014D" w:rsidP="00BA014D">
      <w:pPr>
        <w:pStyle w:val="Odstavecseseznamem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podpisem S</w:t>
      </w:r>
      <w:r w:rsidRPr="00636A7D">
        <w:rPr>
          <w:rFonts w:ascii="Garamond" w:hAnsi="Garamond"/>
          <w:sz w:val="24"/>
          <w:szCs w:val="24"/>
        </w:rPr>
        <w:t>mlouvy stvrzují</w:t>
      </w:r>
      <w:r>
        <w:rPr>
          <w:rFonts w:ascii="Garamond" w:hAnsi="Garamond"/>
          <w:sz w:val="24"/>
          <w:szCs w:val="24"/>
        </w:rPr>
        <w:t>, že si Smlouvu</w:t>
      </w:r>
      <w:r w:rsidRPr="00636A7D">
        <w:rPr>
          <w:rFonts w:ascii="Garamond" w:hAnsi="Garamond"/>
          <w:sz w:val="24"/>
          <w:szCs w:val="24"/>
        </w:rPr>
        <w:t xml:space="preserve"> přečetly, s jejím obsahem souhlasí a rozumí mu, a že byla podepsána na základě jejich řádné a svobodné vůle a nikoliv v tísni za nápadně nevýhodných podmínek, na důkaz čehož připojují své vlastnoruční podpisy.</w:t>
      </w:r>
    </w:p>
    <w:p w:rsidR="00BA014D" w:rsidRDefault="00BA014D" w:rsidP="00BA014D">
      <w:pPr>
        <w:pStyle w:val="Odstavecseseznamem"/>
        <w:rPr>
          <w:rFonts w:ascii="Garamond" w:hAnsi="Garamond"/>
          <w:sz w:val="24"/>
          <w:szCs w:val="24"/>
        </w:rPr>
      </w:pPr>
    </w:p>
    <w:p w:rsidR="00BA014D" w:rsidRPr="002A1F42" w:rsidRDefault="00BA014D" w:rsidP="00BA014D">
      <w:pPr>
        <w:pStyle w:val="Odstavecseseznamem"/>
        <w:rPr>
          <w:rFonts w:ascii="Garamond" w:hAnsi="Garamond"/>
          <w:sz w:val="24"/>
          <w:szCs w:val="24"/>
        </w:rPr>
      </w:pPr>
    </w:p>
    <w:p w:rsidR="00BA014D" w:rsidRPr="002A1F42" w:rsidRDefault="00BA014D" w:rsidP="00BA014D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Za Převodce</w:t>
      </w:r>
      <w:r w:rsidRPr="002A1F42">
        <w:rPr>
          <w:rFonts w:ascii="Garamond" w:hAnsi="Garamond"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D26F2">
        <w:rPr>
          <w:rFonts w:ascii="Garamond" w:hAnsi="Garamond"/>
          <w:sz w:val="24"/>
          <w:szCs w:val="24"/>
          <w:u w:val="single"/>
        </w:rPr>
        <w:t xml:space="preserve">Za </w:t>
      </w:r>
      <w:r>
        <w:rPr>
          <w:rFonts w:ascii="Garamond" w:hAnsi="Garamond"/>
          <w:sz w:val="24"/>
          <w:szCs w:val="24"/>
          <w:u w:val="single"/>
        </w:rPr>
        <w:t>Nabyvatele</w:t>
      </w:r>
      <w:r w:rsidRPr="002A1F42">
        <w:rPr>
          <w:rFonts w:ascii="Garamond" w:hAnsi="Garamond"/>
          <w:sz w:val="24"/>
          <w:szCs w:val="24"/>
          <w:u w:val="single"/>
        </w:rPr>
        <w:t>: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E4000B">
        <w:rPr>
          <w:rFonts w:ascii="Garamond" w:hAnsi="Garamond"/>
          <w:sz w:val="24"/>
          <w:szCs w:val="24"/>
        </w:rPr>
        <w:t>V Rokytnici n. Jiz. dne 30. 9. 2019</w:t>
      </w:r>
      <w:r w:rsidRPr="00E4000B">
        <w:rPr>
          <w:rFonts w:ascii="Garamond" w:hAnsi="Garamond"/>
          <w:sz w:val="24"/>
          <w:szCs w:val="24"/>
        </w:rPr>
        <w:tab/>
      </w:r>
      <w:r w:rsidRPr="00E4000B">
        <w:rPr>
          <w:rFonts w:ascii="Garamond" w:hAnsi="Garamond"/>
          <w:sz w:val="24"/>
          <w:szCs w:val="24"/>
        </w:rPr>
        <w:tab/>
      </w:r>
      <w:r w:rsidRPr="00E4000B">
        <w:rPr>
          <w:rFonts w:ascii="Garamond" w:hAnsi="Garamond"/>
          <w:sz w:val="24"/>
          <w:szCs w:val="24"/>
        </w:rPr>
        <w:tab/>
        <w:t>V Turnov</w:t>
      </w:r>
      <w:r>
        <w:rPr>
          <w:rFonts w:ascii="Garamond" w:hAnsi="Garamond"/>
          <w:sz w:val="24"/>
          <w:szCs w:val="24"/>
        </w:rPr>
        <w:t>ě</w:t>
      </w:r>
      <w:r w:rsidRPr="00E4000B">
        <w:rPr>
          <w:rFonts w:ascii="Garamond" w:hAnsi="Garamond"/>
          <w:sz w:val="24"/>
          <w:szCs w:val="24"/>
        </w:rPr>
        <w:t xml:space="preserve"> dne 30. 9. 2019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A014D" w:rsidRPr="00407219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407219">
        <w:rPr>
          <w:rFonts w:ascii="Garamond" w:hAnsi="Garamond"/>
          <w:sz w:val="24"/>
          <w:szCs w:val="24"/>
        </w:rPr>
        <w:t>______________________</w:t>
      </w:r>
      <w:r w:rsidRPr="00407219">
        <w:rPr>
          <w:rFonts w:ascii="Garamond" w:hAnsi="Garamond"/>
          <w:sz w:val="24"/>
          <w:szCs w:val="24"/>
        </w:rPr>
        <w:tab/>
      </w:r>
      <w:r w:rsidRPr="0040721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07219">
        <w:rPr>
          <w:rFonts w:ascii="Garamond" w:hAnsi="Garamond"/>
          <w:sz w:val="24"/>
          <w:szCs w:val="24"/>
        </w:rPr>
        <w:tab/>
        <w:t>_____________</w:t>
      </w:r>
      <w:r>
        <w:rPr>
          <w:rFonts w:ascii="Garamond" w:hAnsi="Garamond"/>
          <w:sz w:val="24"/>
          <w:szCs w:val="24"/>
        </w:rPr>
        <w:t>____</w:t>
      </w:r>
      <w:r w:rsidRPr="00407219">
        <w:rPr>
          <w:rFonts w:ascii="Garamond" w:hAnsi="Garamond"/>
          <w:sz w:val="24"/>
          <w:szCs w:val="24"/>
        </w:rPr>
        <w:t>_________</w:t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407219">
        <w:rPr>
          <w:rFonts w:ascii="Garamond" w:hAnsi="Garamond"/>
          <w:sz w:val="24"/>
          <w:szCs w:val="24"/>
        </w:rPr>
        <w:t>Ing. Petr Matyáš, starosta</w:t>
      </w:r>
      <w:r w:rsidRPr="00407219">
        <w:rPr>
          <w:rFonts w:ascii="Garamond" w:hAnsi="Garamond"/>
          <w:sz w:val="24"/>
          <w:szCs w:val="24"/>
        </w:rPr>
        <w:tab/>
      </w:r>
      <w:r w:rsidRPr="0040721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07219">
        <w:rPr>
          <w:rFonts w:ascii="Garamond" w:hAnsi="Garamond"/>
          <w:sz w:val="24"/>
          <w:szCs w:val="24"/>
        </w:rPr>
        <w:t>Ing. Milan Hejduk, ředitel s</w:t>
      </w:r>
      <w:r>
        <w:rPr>
          <w:rFonts w:ascii="Garamond" w:hAnsi="Garamond"/>
          <w:sz w:val="24"/>
          <w:szCs w:val="24"/>
        </w:rPr>
        <w:t>vazku</w:t>
      </w:r>
      <w:r w:rsidRPr="00407219">
        <w:rPr>
          <w:rFonts w:ascii="Garamond" w:hAnsi="Garamond"/>
          <w:sz w:val="24"/>
          <w:szCs w:val="24"/>
        </w:rPr>
        <w:t xml:space="preserve"> </w:t>
      </w:r>
    </w:p>
    <w:p w:rsidR="00BA014D" w:rsidRPr="00407219" w:rsidRDefault="00BA014D" w:rsidP="00BA014D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407219">
        <w:rPr>
          <w:rFonts w:ascii="Garamond" w:hAnsi="Garamond"/>
          <w:sz w:val="24"/>
          <w:szCs w:val="24"/>
        </w:rPr>
        <w:t>Město Rokytnice nad Jizerou</w:t>
      </w:r>
      <w:r w:rsidRPr="00407219">
        <w:rPr>
          <w:rFonts w:ascii="Garamond" w:hAnsi="Garamond"/>
          <w:sz w:val="24"/>
          <w:szCs w:val="24"/>
        </w:rPr>
        <w:tab/>
      </w:r>
      <w:r w:rsidRPr="00407219">
        <w:rPr>
          <w:rFonts w:ascii="Garamond" w:hAnsi="Garamond"/>
          <w:sz w:val="24"/>
          <w:szCs w:val="24"/>
        </w:rPr>
        <w:tab/>
      </w:r>
      <w:r w:rsidRPr="0040721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07219">
        <w:rPr>
          <w:rFonts w:ascii="Garamond" w:hAnsi="Garamond"/>
          <w:sz w:val="24"/>
          <w:szCs w:val="24"/>
        </w:rPr>
        <w:t>Vodohospodářské sdružení Turnov</w:t>
      </w:r>
      <w:r w:rsidRPr="00407219">
        <w:rPr>
          <w:rFonts w:ascii="Garamond" w:hAnsi="Garamond"/>
          <w:sz w:val="24"/>
          <w:szCs w:val="24"/>
        </w:rPr>
        <w:tab/>
      </w: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Pr="00940D3F" w:rsidRDefault="00BA014D" w:rsidP="00BA014D">
      <w:pPr>
        <w:rPr>
          <w:b/>
        </w:rPr>
      </w:pPr>
      <w:r w:rsidRPr="00940D3F">
        <w:rPr>
          <w:b/>
        </w:rPr>
        <w:t xml:space="preserve">Příloha č. </w:t>
      </w:r>
      <w:r>
        <w:rPr>
          <w:b/>
        </w:rPr>
        <w:t>1</w:t>
      </w:r>
      <w:r w:rsidRPr="00940D3F">
        <w:rPr>
          <w:b/>
        </w:rPr>
        <w:t xml:space="preserve"> – Specifikace </w:t>
      </w:r>
      <w:r>
        <w:rPr>
          <w:b/>
        </w:rPr>
        <w:t>nemovitých věcí</w:t>
      </w:r>
    </w:p>
    <w:tbl>
      <w:tblPr>
        <w:tblW w:w="9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37"/>
        <w:gridCol w:w="1180"/>
        <w:gridCol w:w="1240"/>
        <w:gridCol w:w="1180"/>
        <w:gridCol w:w="1460"/>
        <w:gridCol w:w="483"/>
        <w:gridCol w:w="160"/>
        <w:gridCol w:w="141"/>
        <w:gridCol w:w="194"/>
        <w:gridCol w:w="1060"/>
        <w:gridCol w:w="1170"/>
        <w:gridCol w:w="126"/>
        <w:gridCol w:w="72"/>
        <w:gridCol w:w="14"/>
        <w:gridCol w:w="460"/>
        <w:gridCol w:w="73"/>
      </w:tblGrid>
      <w:tr w:rsidR="00BA014D" w:rsidRPr="008A0743" w:rsidTr="00782E4F">
        <w:trPr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8A074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8A074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8A074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8A074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8A074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8A074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8A074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936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4C5A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5A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1. Pozemek v majetku města Rokytnice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nad Jizerou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br/>
              <w:t>veden pod inv. č. 1028/2</w:t>
            </w:r>
          </w:p>
        </w:tc>
      </w:tr>
      <w:tr w:rsidR="00BA014D" w:rsidRPr="00CF5D5B" w:rsidTr="00782E4F">
        <w:trPr>
          <w:gridAfter w:val="1"/>
          <w:wAfter w:w="73" w:type="dxa"/>
          <w:trHeight w:val="528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1"/>
          <w:wAfter w:w="73" w:type="dxa"/>
          <w:trHeight w:val="324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Evidenční pořizovací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odnota: 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85.536,11 Kč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4D" w:rsidRPr="009B4CB3" w:rsidTr="00782E4F">
        <w:trPr>
          <w:gridAfter w:val="1"/>
          <w:wAfter w:w="73" w:type="dxa"/>
          <w:trHeight w:val="324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Zůstatková cena k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A40C9E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85.536,11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4D" w:rsidRPr="00A40C9E" w:rsidTr="00782E4F">
        <w:trPr>
          <w:gridAfter w:val="1"/>
          <w:wAfter w:w="73" w:type="dxa"/>
          <w:trHeight w:val="312"/>
        </w:trPr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288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 xml:space="preserve">Parcelní číslo: 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1028/2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Katastrální území: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Dolní Rokytnice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Číslo LV: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Výměra: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Druh pozemku: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zastavěná plocha a nádvoří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 xml:space="preserve">Budova s č.p. 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1"/>
          <w:wAfter w:w="73" w:type="dxa"/>
          <w:trHeight w:val="312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4C5AD9" w:rsidTr="00782E4F">
        <w:trPr>
          <w:gridAfter w:val="3"/>
          <w:wAfter w:w="547" w:type="dxa"/>
          <w:trHeight w:val="1092"/>
        </w:trPr>
        <w:tc>
          <w:tcPr>
            <w:tcW w:w="9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4C5A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2.</w:t>
            </w:r>
            <w:r w:rsidRPr="004C5A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Pozemek v majetku města Rokytnice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nad Jizerou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br/>
              <w:t>veden pod inv. č. 1074/5</w:t>
            </w:r>
          </w:p>
        </w:tc>
      </w:tr>
      <w:tr w:rsidR="00BA014D" w:rsidRPr="00CF5D5B" w:rsidTr="00782E4F">
        <w:trPr>
          <w:gridAfter w:val="7"/>
          <w:wAfter w:w="2975" w:type="dxa"/>
          <w:trHeight w:val="528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A40C9E" w:rsidTr="00782E4F">
        <w:trPr>
          <w:gridAfter w:val="4"/>
          <w:wAfter w:w="619" w:type="dxa"/>
          <w:trHeight w:val="324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Evidenční pořizovací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odnota: 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48,- Kč</w:t>
            </w:r>
          </w:p>
        </w:tc>
      </w:tr>
      <w:tr w:rsidR="00BA014D" w:rsidRPr="00A40C9E" w:rsidTr="00782E4F">
        <w:trPr>
          <w:gridAfter w:val="4"/>
          <w:wAfter w:w="619" w:type="dxa"/>
          <w:trHeight w:val="324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Zůstatková cena k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A40C9E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48,- Kč</w:t>
            </w:r>
          </w:p>
        </w:tc>
      </w:tr>
      <w:tr w:rsidR="00BA014D" w:rsidRPr="00A40C9E" w:rsidTr="00782E4F">
        <w:trPr>
          <w:gridAfter w:val="7"/>
          <w:wAfter w:w="2975" w:type="dxa"/>
          <w:trHeight w:val="312"/>
        </w:trPr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288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 xml:space="preserve">Parcelní číslo: 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p.p.č.</w:t>
            </w: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074/5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Katastrální území: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Dolní Rokytnice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Číslo LV: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10001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Výměra: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Druh pozemku: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Ostatní plocha, manipulační plocha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4C5AD9" w:rsidTr="00782E4F">
        <w:trPr>
          <w:gridAfter w:val="3"/>
          <w:wAfter w:w="547" w:type="dxa"/>
          <w:trHeight w:val="1092"/>
        </w:trPr>
        <w:tc>
          <w:tcPr>
            <w:tcW w:w="9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4C5A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3.</w:t>
            </w:r>
            <w:r w:rsidRPr="004C5A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Pozemek v majetku města Rokytnice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nad Jizerou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br/>
              <w:t>veden pod inv. č. 1075/2</w:t>
            </w:r>
          </w:p>
        </w:tc>
      </w:tr>
      <w:tr w:rsidR="00BA014D" w:rsidRPr="00CF5D5B" w:rsidTr="00782E4F">
        <w:trPr>
          <w:gridAfter w:val="7"/>
          <w:wAfter w:w="2975" w:type="dxa"/>
          <w:trHeight w:val="528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A40C9E" w:rsidTr="00782E4F">
        <w:trPr>
          <w:gridAfter w:val="4"/>
          <w:wAfter w:w="619" w:type="dxa"/>
          <w:trHeight w:val="324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Evidenční pořizovací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odnota: 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754,49 Kč</w:t>
            </w:r>
          </w:p>
        </w:tc>
      </w:tr>
      <w:tr w:rsidR="00BA014D" w:rsidRPr="00A40C9E" w:rsidTr="00782E4F">
        <w:trPr>
          <w:gridAfter w:val="4"/>
          <w:wAfter w:w="619" w:type="dxa"/>
          <w:trHeight w:val="324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Zůstatková cena k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A40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A40C9E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754,49 Kč</w:t>
            </w:r>
          </w:p>
        </w:tc>
      </w:tr>
      <w:tr w:rsidR="00BA014D" w:rsidRPr="00A40C9E" w:rsidTr="00782E4F">
        <w:trPr>
          <w:gridAfter w:val="7"/>
          <w:wAfter w:w="2975" w:type="dxa"/>
          <w:trHeight w:val="312"/>
        </w:trPr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A40C9E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288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 xml:space="preserve">Parcelní číslo: 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p.p.č.</w:t>
            </w: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075/2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Katastrální území: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Dolní Rokytnice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Číslo LV: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5D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10001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Výměra: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D5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Druh pozemku: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Ostatní komunikace</w:t>
            </w: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CF5D5B" w:rsidTr="00782E4F">
        <w:trPr>
          <w:gridAfter w:val="7"/>
          <w:wAfter w:w="2975" w:type="dxa"/>
          <w:trHeight w:val="399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CF5D5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3"/>
          <w:wAfter w:w="547" w:type="dxa"/>
          <w:trHeight w:val="1092"/>
        </w:trPr>
        <w:tc>
          <w:tcPr>
            <w:tcW w:w="9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4C5A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  <w:r w:rsidRPr="004C5A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. ČOV - stavební část  v majetku města Rokytnice nad Jizerou </w:t>
            </w:r>
            <w:r w:rsidRPr="004C5A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br/>
              <w:t>vedena pod inv. č. 19013</w:t>
            </w:r>
          </w:p>
        </w:tc>
      </w:tr>
      <w:tr w:rsidR="00BA014D" w:rsidRPr="009B4CB3" w:rsidTr="00782E4F">
        <w:trPr>
          <w:gridAfter w:val="3"/>
          <w:wAfter w:w="547" w:type="dxa"/>
          <w:trHeight w:val="289"/>
        </w:trPr>
        <w:tc>
          <w:tcPr>
            <w:tcW w:w="9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14D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432"/>
        </w:trPr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Evidenční pořizovací hodnota: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665B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665BD9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5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37.939.378,-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4D" w:rsidRPr="009B4CB3" w:rsidTr="00782E4F">
        <w:trPr>
          <w:gridAfter w:val="5"/>
          <w:wAfter w:w="745" w:type="dxa"/>
          <w:trHeight w:val="516"/>
        </w:trPr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Zůstatková cena k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665B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5B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27.239.243,-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BA014D" w:rsidRPr="009B4CB3" w:rsidTr="00782E4F">
        <w:trPr>
          <w:gridAfter w:val="5"/>
          <w:wAfter w:w="745" w:type="dxa"/>
          <w:trHeight w:val="516"/>
        </w:trPr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Technické zhodnocení k 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665B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665BD9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1.057.542,- Kč</w:t>
            </w:r>
          </w:p>
        </w:tc>
      </w:tr>
      <w:tr w:rsidR="00BA014D" w:rsidRPr="009B4CB3" w:rsidTr="00782E4F">
        <w:trPr>
          <w:gridAfter w:val="5"/>
          <w:wAfter w:w="745" w:type="dxa"/>
          <w:trHeight w:val="516"/>
        </w:trPr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Zůstatková cena k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 včetně technického zhodnocení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665BD9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665BD9" w:rsidRDefault="00BA014D" w:rsidP="00782E4F">
            <w:pPr>
              <w:spacing w:after="0" w:line="240" w:lineRule="auto"/>
              <w:ind w:left="-122" w:firstLine="12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28.296.785,- Kč</w:t>
            </w:r>
          </w:p>
        </w:tc>
      </w:tr>
      <w:tr w:rsidR="00BA014D" w:rsidRPr="009B4CB3" w:rsidTr="00782E4F">
        <w:trPr>
          <w:gridAfter w:val="2"/>
          <w:wAfter w:w="533" w:type="dxa"/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288"/>
        </w:trPr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B4CB3">
              <w:rPr>
                <w:rFonts w:ascii="Calibri" w:eastAsia="Times New Roman" w:hAnsi="Calibri" w:cs="Calibri"/>
                <w:color w:val="000000"/>
                <w:u w:val="single"/>
              </w:rPr>
              <w:t xml:space="preserve">Specifikace: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22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Stavební část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budova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-biomaster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Parschalův žlab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62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Uskladňovací nádrž na stabilizaci</w:t>
            </w: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kalu 70 m3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sklepní jímka od splaš. a technolo. vod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Rozvaděče (3 ks)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4C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Přípojka VN 35 kV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9B4CB3" w:rsidTr="00782E4F">
        <w:trPr>
          <w:gridAfter w:val="2"/>
          <w:wAfter w:w="533" w:type="dxa"/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9B4CB3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014D" w:rsidRDefault="00BA014D" w:rsidP="00BA014D"/>
    <w:p w:rsidR="00BA014D" w:rsidRDefault="00BA014D" w:rsidP="00BA014D">
      <w:pPr>
        <w:rPr>
          <w:b/>
        </w:rPr>
      </w:pPr>
      <w:r w:rsidRPr="00940D3F">
        <w:rPr>
          <w:b/>
        </w:rPr>
        <w:t xml:space="preserve">Příloha č. 2 – Specifikace kanalizačního sběrače </w:t>
      </w:r>
    </w:p>
    <w:p w:rsidR="00BA014D" w:rsidRDefault="00BA014D" w:rsidP="00BA014D">
      <w:pPr>
        <w:rPr>
          <w:b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069"/>
        <w:gridCol w:w="2103"/>
        <w:gridCol w:w="640"/>
        <w:gridCol w:w="1592"/>
        <w:gridCol w:w="1410"/>
        <w:gridCol w:w="146"/>
      </w:tblGrid>
      <w:tr w:rsidR="00BA014D" w:rsidRPr="00D339FB" w:rsidTr="00782E4F">
        <w:trPr>
          <w:trHeight w:val="924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1. 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Kanalizace "O" , v majetku města Rokytnice nad Jizerou vedena pod inv. č. 93004,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>evidenční pořizovací hodnota:  1.709.170,- Kč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zůstatková cena k 30.9.2019 </w:t>
            </w:r>
            <w:r w:rsidRPr="00DF3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: 970.337,- Kč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stoka</w:t>
            </w:r>
          </w:p>
        </w:tc>
        <w:tc>
          <w:tcPr>
            <w:tcW w:w="2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staničení</w:t>
            </w: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DN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materiál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délka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0,00 - 1,477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693,00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D339FB" w:rsidTr="00782E4F">
        <w:trPr>
          <w:trHeight w:val="1020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2. 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Kanalizace "I" , v majetku města Rokytnice nad Jizerou vedena pod inv. č. 93005,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evidenční pořizovací hodnota: 27.018.201,- Kč 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>zůstatková cena k 30.9.2019</w:t>
            </w:r>
            <w:r w:rsidRPr="00DF3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: 15.339.566,- Kč</w:t>
            </w: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stoka</w:t>
            </w:r>
          </w:p>
        </w:tc>
        <w:tc>
          <w:tcPr>
            <w:tcW w:w="2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staničení</w:t>
            </w: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DN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materiál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délka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0,00 - 1,477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186,00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0,00 - 1,477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0,00 - 1,477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1 200,00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1,477 - 2,530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978,00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1,477 - 2,530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75,00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1,477 - 2,530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2,53 - 4,309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1 114,00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2,53 - 4,309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388,00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2,53 - 4,309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201,00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2,53 - 4,309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76,00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4,309 - 5,313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503,00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4,309 - 5,313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345,00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4,309 - 5,313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155,00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587,00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PVC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233,00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D339FB" w:rsidTr="00782E4F">
        <w:trPr>
          <w:trHeight w:val="1308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3. 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Kanalizace a přípojky, náměstí, v majetku města Rokytnice nad Jizerou 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vedena pod inv. č. 93007, 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 xml:space="preserve">evidenční pořizovací hodnota: 1.015.684,- Kč 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>zůstatková cena k 30.9.</w:t>
            </w:r>
            <w:r w:rsidRPr="00DF3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2019: 364.344,- Kč</w:t>
            </w:r>
            <w:r w:rsidRPr="00D33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stoka</w:t>
            </w:r>
          </w:p>
        </w:tc>
        <w:tc>
          <w:tcPr>
            <w:tcW w:w="2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staničení</w:t>
            </w:r>
          </w:p>
        </w:tc>
        <w:tc>
          <w:tcPr>
            <w:tcW w:w="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DN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materiál</w:t>
            </w:r>
          </w:p>
        </w:tc>
        <w:tc>
          <w:tcPr>
            <w:tcW w:w="1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9FB">
              <w:rPr>
                <w:rFonts w:ascii="Calibri" w:eastAsia="Times New Roman" w:hAnsi="Calibri" w:cs="Calibri"/>
                <w:b/>
                <w:bCs/>
                <w:color w:val="000000"/>
              </w:rPr>
              <w:t>délka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A014D" w:rsidRPr="00D339FB" w:rsidTr="00782E4F">
        <w:trPr>
          <w:trHeight w:val="576"/>
        </w:trPr>
        <w:tc>
          <w:tcPr>
            <w:tcW w:w="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Kanalizace</w:t>
            </w:r>
            <w:r w:rsidRPr="00D339FB">
              <w:rPr>
                <w:rFonts w:ascii="Calibri" w:eastAsia="Times New Roman" w:hAnsi="Calibri" w:cs="Calibri"/>
                <w:color w:val="000000"/>
              </w:rPr>
              <w:br/>
              <w:t>náměstí</w:t>
            </w:r>
          </w:p>
        </w:tc>
        <w:tc>
          <w:tcPr>
            <w:tcW w:w="2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kamenina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39FB">
              <w:rPr>
                <w:rFonts w:ascii="Calibri" w:eastAsia="Times New Roman" w:hAnsi="Calibri" w:cs="Calibri"/>
                <w:color w:val="000000"/>
              </w:rPr>
              <w:t>198,00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014D" w:rsidRPr="00D339FB" w:rsidTr="00782E4F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4D" w:rsidRPr="00D339FB" w:rsidRDefault="00BA014D" w:rsidP="0078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A014D" w:rsidRDefault="00BA014D" w:rsidP="00BA014D">
      <w:pPr>
        <w:rPr>
          <w:b/>
        </w:rPr>
      </w:pPr>
      <w:r w:rsidRPr="00940D3F">
        <w:rPr>
          <w:b/>
        </w:rPr>
        <w:t xml:space="preserve">Příloha č. </w:t>
      </w:r>
      <w:r>
        <w:rPr>
          <w:b/>
        </w:rPr>
        <w:t>3</w:t>
      </w:r>
      <w:r w:rsidRPr="00940D3F">
        <w:rPr>
          <w:b/>
        </w:rPr>
        <w:t xml:space="preserve"> – Specifikace </w:t>
      </w:r>
      <w:r>
        <w:rPr>
          <w:b/>
        </w:rPr>
        <w:t xml:space="preserve">movitých věcí (technologie) </w:t>
      </w:r>
      <w:r w:rsidRPr="00940D3F">
        <w:rPr>
          <w:b/>
        </w:rPr>
        <w:t xml:space="preserve"> </w:t>
      </w:r>
    </w:p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2268"/>
        <w:gridCol w:w="1204"/>
        <w:gridCol w:w="2340"/>
        <w:gridCol w:w="888"/>
        <w:gridCol w:w="419"/>
        <w:gridCol w:w="1703"/>
        <w:gridCol w:w="1294"/>
      </w:tblGrid>
      <w:tr w:rsidR="00BA014D" w:rsidRPr="00E11B7B" w:rsidTr="00782E4F">
        <w:trPr>
          <w:trHeight w:val="1104"/>
        </w:trPr>
        <w:tc>
          <w:tcPr>
            <w:tcW w:w="9888" w:type="dxa"/>
            <w:gridSpan w:val="7"/>
            <w:hideMark/>
          </w:tcPr>
          <w:p w:rsidR="00BA014D" w:rsidRPr="00790ED9" w:rsidRDefault="00BA014D" w:rsidP="00782E4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790E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ČOV - technologická část  v majetku města Rokytnice nad Jizerou </w:t>
            </w:r>
            <w:r w:rsidRPr="00790E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br/>
              <w:t>vedena pod inv. č. 220001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0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E11B7B" w:rsidTr="00782E4F">
        <w:trPr>
          <w:trHeight w:val="454"/>
        </w:trPr>
        <w:tc>
          <w:tcPr>
            <w:tcW w:w="5812" w:type="dxa"/>
            <w:gridSpan w:val="3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Evidenční pořizovací hodnota: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noWrap/>
            <w:hideMark/>
          </w:tcPr>
          <w:p w:rsidR="00BA014D" w:rsidRPr="00E11B7B" w:rsidRDefault="00BA014D" w:rsidP="00782E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28.406.158,- Kč</w:t>
            </w:r>
          </w:p>
        </w:tc>
      </w:tr>
      <w:tr w:rsidR="00BA014D" w:rsidRPr="00E11B7B" w:rsidTr="00782E4F">
        <w:trPr>
          <w:trHeight w:val="454"/>
        </w:trPr>
        <w:tc>
          <w:tcPr>
            <w:tcW w:w="5812" w:type="dxa"/>
            <w:gridSpan w:val="3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3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Zůstatková cena k 30.9.2019: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noWrap/>
            <w:hideMark/>
          </w:tcPr>
          <w:p w:rsidR="00BA014D" w:rsidRPr="00E11B7B" w:rsidRDefault="00BA014D" w:rsidP="00782E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3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15.273.006,-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BA014D" w:rsidRPr="00E11B7B" w:rsidTr="00782E4F">
        <w:trPr>
          <w:trHeight w:val="454"/>
        </w:trPr>
        <w:tc>
          <w:tcPr>
            <w:tcW w:w="5812" w:type="dxa"/>
            <w:gridSpan w:val="3"/>
            <w:noWrap/>
          </w:tcPr>
          <w:p w:rsidR="00BA014D" w:rsidRPr="00F31337" w:rsidRDefault="00BA014D" w:rsidP="00782E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Technické zhodnocení k 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12" w:type="dxa"/>
            <w:noWrap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noWrap/>
          </w:tcPr>
          <w:p w:rsidR="00BA014D" w:rsidRPr="00BC0688" w:rsidRDefault="00BA014D" w:rsidP="00782E4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06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139.653,- Kč</w:t>
            </w:r>
          </w:p>
        </w:tc>
      </w:tr>
      <w:tr w:rsidR="00BA014D" w:rsidRPr="00E11B7B" w:rsidTr="00782E4F">
        <w:trPr>
          <w:trHeight w:val="454"/>
        </w:trPr>
        <w:tc>
          <w:tcPr>
            <w:tcW w:w="6624" w:type="dxa"/>
            <w:gridSpan w:val="4"/>
            <w:noWrap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Zůstatková cena k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 včetně technického zhodnocení</w:t>
            </w:r>
            <w:r w:rsidRPr="009B4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3" w:type="dxa"/>
            <w:noWrap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noWrap/>
          </w:tcPr>
          <w:p w:rsidR="00BA014D" w:rsidRPr="00E11B7B" w:rsidRDefault="00BA014D" w:rsidP="00782E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15.412.659</w:t>
            </w:r>
            <w:r w:rsidRPr="00BC06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,- Kč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E11B7B" w:rsidTr="00782E4F">
        <w:trPr>
          <w:trHeight w:val="312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Specifikace: </w:t>
            </w:r>
          </w:p>
        </w:tc>
        <w:tc>
          <w:tcPr>
            <w:tcW w:w="1204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umístění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strojní vvbavení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pořízení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Hrubé předčištění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Strojní česle (lukové)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Degrémont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není štítek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Pohon česlí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Alfréd Imhof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DFT80kh/C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Lapák písku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Dmychadlo pro mamutku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LCDF 80D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Turbína Aeroflot (mikrobublina)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Aeroflott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F321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Shrabovací zařízení tuků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není štítek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Biol.rozklad tuků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BC0688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Biomaster</w:t>
            </w:r>
          </w:p>
        </w:tc>
        <w:tc>
          <w:tcPr>
            <w:tcW w:w="812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Provzdušňovací elementy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Flexazure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Míchadlo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Flygt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SR4400 2kW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Montážní jeřábek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Manibox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GR150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Dmychadlo/kompresor (Biomaster)_nefunkční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Odstranění fosforu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Nádrž na Prefloc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 xml:space="preserve">Dávkovací čerpadlo_1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ALLDOS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Primus.serie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 xml:space="preserve">Dávkovací čerpadlo_2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ALLDOS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Primus.serie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Aktivace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Dmychadlo pro aktivace_1 (kompresorovna)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RKR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K70R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Dmychadlo pro aktivace_2 (kompresorovna)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RKR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K70R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Provzdušňovací nerezový rošt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Kyslíková sonda 2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Kyslíková sonda 4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Dosazovací nádrže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Pojezdový sací most DN1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není štítek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Pojezdový sací most DN2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není štítek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Pojezdová kola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Vymezovací kola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Motor s převodovkou DN1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ETR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SF11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Motor s převodovkou DN2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ETR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SF11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Měrný objekt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BC0688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Parschalův žlab</w:t>
            </w:r>
          </w:p>
        </w:tc>
        <w:tc>
          <w:tcPr>
            <w:tcW w:w="812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Zahuštění kalu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GDE_nádrž_polyelektrolyt 1m3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GDE_pohon_motor s převodovkou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LEROY SOMER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SA52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GDE_ostřik zahušťovacího stolu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LEROY SOMER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CB1703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Průtokoměr_původní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PULSMAG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DM16732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Stabilizace kalu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BC0688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Uskladňovací nádrž na stabilizaci kalu 70 m3</w:t>
            </w:r>
          </w:p>
        </w:tc>
        <w:tc>
          <w:tcPr>
            <w:tcW w:w="812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Montážní jeřábek 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MANIBOX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GR150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Míchadlo_dávk.zařízení chemikálií (vápno)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Siemens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LA5070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Čerpadlo_dávk.zařízení chemikálií (vápno)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PROCAM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DS500/100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Kalová koncovka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Čerpadlo stabilizovaného kalu na lis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66-EPR-160-GO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Pásový lis_kompletní linka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Vanex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Vx-8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Míchadlo flokulantu_chem.hosp.lisu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není štítek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Pásový dopravník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VsZ a.s.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T-504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Zdvihací zařízení kontejner_el.kladkostroj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Dezodorizace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Ventilační věž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Eveco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VAh706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Skrápěcí čerpadlo ventil.věž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ASV Stubbe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ET40-125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BC0688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BC0688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Biologický filtr na borku_rošty</w:t>
            </w:r>
          </w:p>
        </w:tc>
        <w:tc>
          <w:tcPr>
            <w:tcW w:w="812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BC0688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Koncovka ČOV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BC0688" w:rsidRDefault="00BA014D" w:rsidP="00782E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Sklepní jímka odp. splašk. a technol.vod</w:t>
            </w:r>
          </w:p>
        </w:tc>
        <w:tc>
          <w:tcPr>
            <w:tcW w:w="812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BC0688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068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Vzduchotechnika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Ventilátor_přívod vzduchu do ČOV (0,65/2,6kW)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Paul Wirz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TD31-G-L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El.ohřev vzduchu_přívod do ČOV_Sahara</w:t>
            </w:r>
          </w:p>
        </w:tc>
        <w:tc>
          <w:tcPr>
            <w:tcW w:w="812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ElektroLusteritizer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EL84</w:t>
            </w:r>
          </w:p>
        </w:tc>
      </w:tr>
      <w:tr w:rsidR="00BA014D" w:rsidRPr="00E127F5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1B7B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27F5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Ventilátor_odsávání  (3/12kW)</w:t>
            </w:r>
          </w:p>
        </w:tc>
        <w:tc>
          <w:tcPr>
            <w:tcW w:w="812" w:type="dxa"/>
            <w:noWrap/>
            <w:hideMark/>
          </w:tcPr>
          <w:p w:rsidR="00BA014D" w:rsidRPr="00E127F5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43" w:type="dxa"/>
            <w:noWrap/>
            <w:hideMark/>
          </w:tcPr>
          <w:p w:rsidR="00BA014D" w:rsidRPr="00E127F5" w:rsidRDefault="00BA014D" w:rsidP="00782E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27F5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 Wirz</w:t>
            </w:r>
          </w:p>
        </w:tc>
        <w:tc>
          <w:tcPr>
            <w:tcW w:w="1294" w:type="dxa"/>
            <w:noWrap/>
            <w:hideMark/>
          </w:tcPr>
          <w:p w:rsidR="00BA014D" w:rsidRPr="00E127F5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HTM35.09Li</w:t>
            </w:r>
          </w:p>
        </w:tc>
      </w:tr>
      <w:tr w:rsidR="00BA014D" w:rsidRPr="00E11B7B" w:rsidTr="00782E4F">
        <w:trPr>
          <w:trHeight w:val="288"/>
        </w:trPr>
        <w:tc>
          <w:tcPr>
            <w:tcW w:w="2268" w:type="dxa"/>
            <w:noWrap/>
            <w:hideMark/>
          </w:tcPr>
          <w:p w:rsidR="00BA014D" w:rsidRPr="00E127F5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TZ ASŘ </w:t>
            </w:r>
          </w:p>
        </w:tc>
        <w:tc>
          <w:tcPr>
            <w:tcW w:w="3544" w:type="dxa"/>
            <w:gridSpan w:val="2"/>
            <w:noWrap/>
            <w:hideMark/>
          </w:tcPr>
          <w:p w:rsidR="00BA014D" w:rsidRPr="00E127F5" w:rsidRDefault="00BA014D" w:rsidP="00782E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ASŘ + telemetrie </w:t>
            </w:r>
          </w:p>
        </w:tc>
        <w:tc>
          <w:tcPr>
            <w:tcW w:w="812" w:type="dxa"/>
            <w:noWrap/>
            <w:hideMark/>
          </w:tcPr>
          <w:p w:rsidR="00BA014D" w:rsidRPr="00E127F5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sz w:val="20"/>
                <w:szCs w:val="20"/>
              </w:rPr>
              <w:t>2013</w:t>
            </w:r>
          </w:p>
        </w:tc>
        <w:tc>
          <w:tcPr>
            <w:tcW w:w="343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27F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BA014D" w:rsidRPr="00E11B7B" w:rsidRDefault="00BA014D" w:rsidP="00782E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1B7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BA014D" w:rsidRPr="00407219" w:rsidRDefault="00BA014D" w:rsidP="00BA014D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6D45DA" w:rsidRDefault="006D45DA">
      <w:bookmarkStart w:id="0" w:name="_GoBack"/>
      <w:bookmarkEnd w:id="0"/>
    </w:p>
    <w:sectPr w:rsidR="006D45DA" w:rsidSect="007D107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618750"/>
      <w:docPartObj>
        <w:docPartGallery w:val="Page Numbers (Bottom of Page)"/>
        <w:docPartUnique/>
      </w:docPartObj>
    </w:sdtPr>
    <w:sdtEndPr/>
    <w:sdtContent>
      <w:p w:rsidR="008E1662" w:rsidRDefault="00BA0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E1662" w:rsidRDefault="00BA014D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AF0"/>
    <w:multiLevelType w:val="hybridMultilevel"/>
    <w:tmpl w:val="3A286F9A"/>
    <w:lvl w:ilvl="0" w:tplc="3CDC4B40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A288F"/>
    <w:multiLevelType w:val="hybridMultilevel"/>
    <w:tmpl w:val="42985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2D6"/>
    <w:multiLevelType w:val="hybridMultilevel"/>
    <w:tmpl w:val="11A8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648B"/>
    <w:multiLevelType w:val="hybridMultilevel"/>
    <w:tmpl w:val="F4E45A96"/>
    <w:lvl w:ilvl="0" w:tplc="5B761F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3B7FE6"/>
    <w:multiLevelType w:val="hybridMultilevel"/>
    <w:tmpl w:val="8300FA02"/>
    <w:lvl w:ilvl="0" w:tplc="A84A9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6F64"/>
    <w:multiLevelType w:val="hybridMultilevel"/>
    <w:tmpl w:val="2CB6CDC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34A4235E"/>
    <w:multiLevelType w:val="hybridMultilevel"/>
    <w:tmpl w:val="0AB2B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7CAD"/>
    <w:multiLevelType w:val="hybridMultilevel"/>
    <w:tmpl w:val="7EEA7D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C2757"/>
    <w:multiLevelType w:val="hybridMultilevel"/>
    <w:tmpl w:val="C6E280B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96F4CB7"/>
    <w:multiLevelType w:val="hybridMultilevel"/>
    <w:tmpl w:val="EF2273A6"/>
    <w:lvl w:ilvl="0" w:tplc="DE5C1EAC"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D211E97"/>
    <w:multiLevelType w:val="hybridMultilevel"/>
    <w:tmpl w:val="6CA45CEC"/>
    <w:lvl w:ilvl="0" w:tplc="CB12E9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B6586"/>
    <w:multiLevelType w:val="hybridMultilevel"/>
    <w:tmpl w:val="169CE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4D"/>
    <w:rsid w:val="006D45DA"/>
    <w:rsid w:val="00B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B58F-6EB5-489F-BD6B-952A6388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A014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14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A01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1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14D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1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14D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4D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14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14D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BA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2580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Malá</dc:creator>
  <cp:keywords/>
  <dc:description/>
  <cp:lastModifiedBy>Michaela Malá</cp:lastModifiedBy>
  <cp:revision>1</cp:revision>
  <dcterms:created xsi:type="dcterms:W3CDTF">2019-10-01T08:16:00Z</dcterms:created>
  <dcterms:modified xsi:type="dcterms:W3CDTF">2019-10-01T08:16:00Z</dcterms:modified>
</cp:coreProperties>
</file>