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69C" w:rsidRPr="0001669C" w:rsidRDefault="0001669C" w:rsidP="0001669C">
      <w:pPr>
        <w:pStyle w:val="Nadpis3"/>
        <w:rPr>
          <w:rFonts w:ascii="Times New Roman" w:hAnsi="Times New Roman" w:cs="Times New Roman"/>
        </w:rPr>
      </w:pPr>
      <w:r w:rsidRPr="0001669C">
        <w:rPr>
          <w:rFonts w:ascii="Times New Roman" w:hAnsi="Times New Roman" w:cs="Times New Roman"/>
          <w:sz w:val="36"/>
          <w:szCs w:val="36"/>
        </w:rPr>
        <w:t xml:space="preserve">Kupní smlouva </w:t>
      </w:r>
    </w:p>
    <w:p w:rsidR="0001669C" w:rsidRPr="0001669C" w:rsidRDefault="0001669C" w:rsidP="0001669C">
      <w:r w:rsidRPr="0001669C">
        <w:t>uzavřená dle § 2079 zákona č. 89/2012 Sb., občanského zákoníku</w:t>
      </w:r>
    </w:p>
    <w:p w:rsidR="0001669C" w:rsidRPr="0001669C" w:rsidRDefault="0001669C" w:rsidP="0001669C">
      <w:pPr>
        <w:pStyle w:val="Nadpis3"/>
        <w:spacing w:before="397" w:after="227"/>
        <w:rPr>
          <w:rFonts w:ascii="Times New Roman" w:hAnsi="Times New Roman" w:cs="Times New Roman"/>
        </w:rPr>
      </w:pPr>
      <w:r w:rsidRPr="0001669C">
        <w:rPr>
          <w:rFonts w:ascii="Times New Roman" w:hAnsi="Times New Roman" w:cs="Times New Roman"/>
        </w:rPr>
        <w:t>I.</w:t>
      </w:r>
      <w:r w:rsidRPr="0001669C">
        <w:rPr>
          <w:rFonts w:ascii="Times New Roman" w:hAnsi="Times New Roman" w:cs="Times New Roman"/>
        </w:rPr>
        <w:br/>
      </w:r>
      <w:r w:rsidRPr="0001669C">
        <w:rPr>
          <w:rFonts w:ascii="Times New Roman" w:hAnsi="Times New Roman" w:cs="Times New Roman"/>
          <w:caps/>
          <w:color w:val="000000"/>
        </w:rPr>
        <w:t>Smluvní strany</w:t>
      </w:r>
    </w:p>
    <w:p w:rsidR="0001669C" w:rsidRPr="00A949CF" w:rsidRDefault="0001669C" w:rsidP="0001669C">
      <w:pPr>
        <w:widowControl w:val="0"/>
        <w:numPr>
          <w:ilvl w:val="0"/>
          <w:numId w:val="11"/>
        </w:numPr>
        <w:tabs>
          <w:tab w:val="left" w:pos="435"/>
        </w:tabs>
        <w:suppressAutoHyphens/>
        <w:spacing w:before="113" w:line="276" w:lineRule="auto"/>
        <w:ind w:left="450" w:hanging="465"/>
        <w:jc w:val="left"/>
      </w:pPr>
      <w:r>
        <w:rPr>
          <w:b/>
          <w:bCs/>
        </w:rPr>
        <w:t>Technické služby města Nového Jičína</w:t>
      </w:r>
      <w:r w:rsidRPr="00A949CF">
        <w:rPr>
          <w:b/>
          <w:bCs/>
        </w:rPr>
        <w:t>, příspěvková organizace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Se sídlem:</w:t>
      </w:r>
      <w:r w:rsidRPr="00A949CF">
        <w:rPr>
          <w:b/>
          <w:bCs/>
        </w:rPr>
        <w:tab/>
      </w:r>
      <w:r>
        <w:t xml:space="preserve">Suvorovova 909/114, 741 01, Nový Jičín 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Zastoupena:</w:t>
      </w:r>
      <w:r w:rsidRPr="00A949CF">
        <w:tab/>
      </w:r>
      <w:r>
        <w:t xml:space="preserve">Ing. </w:t>
      </w:r>
      <w:r w:rsidR="007C65EF">
        <w:t>Pav</w:t>
      </w:r>
      <w:r w:rsidR="00AE6EA0">
        <w:t>el</w:t>
      </w:r>
      <w:r w:rsidR="007C65EF">
        <w:t xml:space="preserve"> Tichý</w:t>
      </w:r>
      <w:r w:rsidRPr="00A949CF">
        <w:t>, ředitel</w:t>
      </w:r>
    </w:p>
    <w:p w:rsidR="0001669C" w:rsidRPr="00A949CF" w:rsidRDefault="007C65EF" w:rsidP="0001669C">
      <w:pPr>
        <w:widowControl w:val="0"/>
        <w:tabs>
          <w:tab w:val="left" w:pos="3420"/>
        </w:tabs>
        <w:ind w:left="3420" w:hanging="3420"/>
        <w:jc w:val="left"/>
      </w:pPr>
      <w:r>
        <w:t>Ve věcech technických</w:t>
      </w:r>
      <w:r w:rsidR="0001669C">
        <w:t>:</w:t>
      </w:r>
      <w:r w:rsidR="0001669C">
        <w:tab/>
      </w:r>
      <w:r w:rsidR="002F369C">
        <w:t>XXXXXX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IČ: </w:t>
      </w:r>
      <w:r w:rsidRPr="00A949CF">
        <w:tab/>
      </w:r>
      <w:r>
        <w:t>004 17 688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DIČ: </w:t>
      </w:r>
      <w:r w:rsidRPr="00A949CF">
        <w:tab/>
        <w:t>CZ</w:t>
      </w:r>
      <w:r>
        <w:t>00417688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  <w:rPr>
          <w:rFonts w:eastAsia="Arial Unicode MS"/>
        </w:rPr>
      </w:pPr>
      <w:r w:rsidRPr="00A949CF">
        <w:t>Tel:</w:t>
      </w:r>
      <w:r w:rsidRPr="00A949CF">
        <w:tab/>
      </w:r>
      <w:r w:rsidR="002F369C">
        <w:t>XXXXXX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rPr>
          <w:rFonts w:eastAsia="Arial Unicode MS"/>
        </w:rPr>
        <w:t>B</w:t>
      </w:r>
      <w:r w:rsidRPr="00A949CF">
        <w:t xml:space="preserve">ankovní spojení: </w:t>
      </w:r>
      <w:r w:rsidRPr="00A949CF">
        <w:tab/>
      </w:r>
      <w:r>
        <w:t>Komerční banka, a. s., pobočka Nový Jičín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Číslo účtu: </w:t>
      </w:r>
      <w:r w:rsidRPr="00A949CF">
        <w:tab/>
      </w:r>
      <w:r w:rsidR="002F369C">
        <w:t>XXXXXX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email:</w:t>
      </w:r>
      <w:r w:rsidRPr="00A949CF">
        <w:tab/>
      </w:r>
      <w:hyperlink r:id="rId7" w:history="1">
        <w:r w:rsidR="002F369C">
          <w:rPr>
            <w:rStyle w:val="Hypertextovodkaz"/>
          </w:rPr>
          <w:t>XXXXXX</w:t>
        </w:r>
      </w:hyperlink>
      <w:r w:rsidR="007C65EF">
        <w:t xml:space="preserve"> </w:t>
      </w:r>
    </w:p>
    <w:p w:rsidR="0001669C" w:rsidRPr="007C65EF" w:rsidRDefault="003B2D4C" w:rsidP="0001669C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Organizace zřízena usnesením ZM Nový Jičín č. 17/20/2009 ze dne 10. 09. 2009.</w:t>
      </w:r>
    </w:p>
    <w:p w:rsidR="0001669C" w:rsidRPr="000F0DC2" w:rsidRDefault="0001669C" w:rsidP="0001669C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(dále jen jako „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kupující</w:t>
      </w:r>
      <w:r>
        <w:rPr>
          <w:rFonts w:ascii="Times New Roman" w:hAnsi="Times New Roman" w:cs="Times New Roman"/>
          <w:i/>
          <w:iCs/>
          <w:sz w:val="24"/>
          <w:szCs w:val="24"/>
        </w:rPr>
        <w:t>“)</w:t>
      </w:r>
    </w:p>
    <w:p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</w:pPr>
      <w:r w:rsidRPr="00A949CF">
        <w:t>a</w:t>
      </w:r>
    </w:p>
    <w:p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  <w:jc w:val="left"/>
      </w:pPr>
    </w:p>
    <w:p w:rsidR="00F74FAF" w:rsidRPr="00A949CF" w:rsidRDefault="00F74FAF" w:rsidP="00F74FAF">
      <w:pPr>
        <w:tabs>
          <w:tab w:val="left" w:pos="426"/>
        </w:tabs>
        <w:spacing w:line="278" w:lineRule="auto"/>
        <w:jc w:val="left"/>
      </w:pPr>
      <w:r w:rsidRPr="00A949CF">
        <w:rPr>
          <w:b/>
          <w:bCs/>
        </w:rPr>
        <w:t xml:space="preserve">2.   </w:t>
      </w:r>
      <w:r>
        <w:rPr>
          <w:b/>
          <w:bCs/>
        </w:rPr>
        <w:t>ZAHRADNICTVÍ KUNÍN s. r. o.</w:t>
      </w:r>
    </w:p>
    <w:p w:rsidR="00F74FAF" w:rsidRPr="00A949CF" w:rsidRDefault="00F74FAF" w:rsidP="00F74FAF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Se sídlem:</w:t>
      </w:r>
      <w:r>
        <w:tab/>
      </w:r>
      <w:r>
        <w:tab/>
        <w:t>Kunín 276, 742 53 Kunín</w:t>
      </w:r>
    </w:p>
    <w:p w:rsidR="00F74FAF" w:rsidRPr="00A949CF" w:rsidRDefault="00F74FAF" w:rsidP="00F74FAF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Zastoupena:</w:t>
      </w:r>
      <w:r>
        <w:tab/>
      </w:r>
      <w:r>
        <w:tab/>
      </w:r>
      <w:r w:rsidR="00617B0E">
        <w:t xml:space="preserve">Ing. </w:t>
      </w:r>
      <w:r>
        <w:t>Jaroslav Kubál</w:t>
      </w:r>
      <w:r w:rsidR="00952E3A">
        <w:t>ek, jednatel</w:t>
      </w:r>
    </w:p>
    <w:p w:rsidR="00F74FAF" w:rsidRPr="00A949CF" w:rsidRDefault="00F74FAF" w:rsidP="00F74FAF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IČ:</w:t>
      </w:r>
      <w:r>
        <w:tab/>
      </w:r>
      <w:r>
        <w:tab/>
      </w:r>
      <w:r>
        <w:tab/>
        <w:t>262 60 786</w:t>
      </w:r>
    </w:p>
    <w:p w:rsidR="00F74FAF" w:rsidRPr="00A949CF" w:rsidRDefault="00F74FAF" w:rsidP="00F74FAF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DIČ:</w:t>
      </w:r>
      <w:r>
        <w:tab/>
      </w:r>
      <w:r>
        <w:tab/>
        <w:t>CZ26260786</w:t>
      </w:r>
    </w:p>
    <w:p w:rsidR="00F74FAF" w:rsidRPr="00A949CF" w:rsidRDefault="00F74FAF" w:rsidP="00F74FAF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Bankovní spojení:</w:t>
      </w:r>
      <w:r>
        <w:tab/>
      </w:r>
      <w:r>
        <w:tab/>
        <w:t>Česká spořitelna, a. s., pobočka Nový Jičín</w:t>
      </w:r>
    </w:p>
    <w:p w:rsidR="00F74FAF" w:rsidRDefault="00F74FAF" w:rsidP="00F74FAF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Číslo účtu:</w:t>
      </w:r>
      <w:r>
        <w:tab/>
      </w:r>
      <w:r>
        <w:tab/>
      </w:r>
      <w:r w:rsidR="002F369C">
        <w:t>XXXXXX</w:t>
      </w:r>
    </w:p>
    <w:p w:rsidR="00F74FAF" w:rsidRPr="00A949CF" w:rsidRDefault="00F74FAF" w:rsidP="00F74FAF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>
        <w:t>email:</w:t>
      </w:r>
      <w:r>
        <w:tab/>
      </w:r>
      <w:r>
        <w:tab/>
      </w:r>
      <w:r w:rsidR="002F369C">
        <w:rPr>
          <w:rStyle w:val="Hypertextovodkaz"/>
        </w:rPr>
        <w:t>XXXXXX</w:t>
      </w:r>
    </w:p>
    <w:p w:rsidR="00F74FAF" w:rsidRPr="00A949CF" w:rsidRDefault="00F74FAF" w:rsidP="00F74FAF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both"/>
      </w:pPr>
      <w:r w:rsidRPr="00A949CF">
        <w:t xml:space="preserve">Zapsána v obchodním rejstříku vedeném </w:t>
      </w:r>
      <w:r>
        <w:t>Krajským</w:t>
      </w:r>
      <w:r w:rsidRPr="00A949CF">
        <w:t xml:space="preserve"> soudem v </w:t>
      </w:r>
      <w:r>
        <w:t>Ostravě</w:t>
      </w:r>
      <w:r w:rsidRPr="00A949CF">
        <w:t xml:space="preserve">, oddíl </w:t>
      </w:r>
      <w:r>
        <w:t>C</w:t>
      </w:r>
      <w:r w:rsidRPr="00A949CF">
        <w:t xml:space="preserve">, vložka </w:t>
      </w:r>
      <w:r>
        <w:t>57529</w:t>
      </w:r>
    </w:p>
    <w:p w:rsidR="0001669C" w:rsidRPr="00A949CF" w:rsidRDefault="0001669C" w:rsidP="00E53C88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(dále jen jako „prodávající“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1669C" w:rsidRPr="00A949CF" w:rsidRDefault="0001669C" w:rsidP="0001669C">
      <w:pPr>
        <w:pStyle w:val="Zkladntext"/>
        <w:numPr>
          <w:ilvl w:val="12"/>
          <w:numId w:val="0"/>
        </w:numPr>
        <w:tabs>
          <w:tab w:val="left" w:pos="426"/>
        </w:tabs>
        <w:spacing w:line="278" w:lineRule="auto"/>
        <w:jc w:val="left"/>
        <w:rPr>
          <w:i/>
          <w:iCs/>
        </w:rPr>
      </w:pPr>
    </w:p>
    <w:p w:rsidR="0001669C" w:rsidRPr="000A77CD" w:rsidRDefault="0001669C" w:rsidP="00554552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  <w:rPr>
          <w:b/>
        </w:rPr>
      </w:pPr>
      <w:r w:rsidRPr="000A77CD">
        <w:rPr>
          <w:b/>
        </w:rPr>
        <w:t>II.</w:t>
      </w:r>
      <w:r w:rsidRPr="000A77CD">
        <w:rPr>
          <w:b/>
        </w:rPr>
        <w:br/>
      </w:r>
      <w:r w:rsidRPr="000A77CD">
        <w:rPr>
          <w:b/>
          <w:caps/>
          <w:color w:val="000000"/>
        </w:rPr>
        <w:t>Základní ustanovení</w:t>
      </w:r>
    </w:p>
    <w:p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 xml:space="preserve">Smluvní strany prohlašují, že údaje uvedené v čl. I této smlouvy jsou v souladu s právní skutečností v době uzavření smlouvy. Smluvní strany se zavazují, že změny dotčených údajů oznámí bez </w:t>
      </w:r>
      <w:r>
        <w:t>zbytečného odkladu</w:t>
      </w:r>
      <w:r w:rsidRPr="00A949CF">
        <w:t xml:space="preserve"> druhé smluvní straně. Při změně identifikačních údajů smluvních stran včetně změny účtu není nutné uzavírat ke smlouvě dodatek.</w:t>
      </w:r>
    </w:p>
    <w:p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>Smluvní strany prohlašují, že osoby podepisující tuto smlouvu jsou k tomuto úkonu oprávněny.</w:t>
      </w:r>
    </w:p>
    <w:p w:rsidR="0001669C" w:rsidRPr="00AD0C76" w:rsidRDefault="0001669C" w:rsidP="0001669C">
      <w:pPr>
        <w:pStyle w:val="OdstavecSmlouvy"/>
        <w:numPr>
          <w:ilvl w:val="0"/>
          <w:numId w:val="3"/>
        </w:numPr>
        <w:rPr>
          <w:b/>
          <w:bCs/>
        </w:rPr>
      </w:pPr>
      <w:r w:rsidRPr="00A949CF">
        <w:t>Prodávající prohlašuje, že je odborně způsobilý k zajištění předmětu plnění podle této smlouvy.</w:t>
      </w:r>
    </w:p>
    <w:p w:rsidR="0001669C" w:rsidRPr="006764AA" w:rsidRDefault="0001669C" w:rsidP="0001669C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426" w:hanging="426"/>
        <w:rPr>
          <w:b/>
          <w:bCs/>
        </w:rPr>
      </w:pPr>
      <w:r w:rsidRPr="00AD0C76">
        <w:t>Prodávající se zava</w:t>
      </w:r>
      <w:r>
        <w:t>zuje, být po celou dobu plnění dl</w:t>
      </w:r>
      <w:r w:rsidRPr="00AD0C76">
        <w:t>e</w:t>
      </w:r>
      <w:r>
        <w:t xml:space="preserve"> této</w:t>
      </w:r>
      <w:r w:rsidRPr="00AD0C76">
        <w:t xml:space="preserve"> smlouvy pojištěn</w:t>
      </w:r>
      <w:r w:rsidR="003B2D4C">
        <w:t xml:space="preserve"> nejméně v rozsahu předmětu smlouvy</w:t>
      </w:r>
      <w:r w:rsidRPr="00AD0C76">
        <w:t xml:space="preserve"> pro případ způsobení škody</w:t>
      </w:r>
      <w:r>
        <w:t xml:space="preserve"> jeho</w:t>
      </w:r>
      <w:r w:rsidRPr="00AD0C76">
        <w:t xml:space="preserve"> podnikatelskou činností </w:t>
      </w:r>
      <w:r>
        <w:t xml:space="preserve">kupujícímu nebo </w:t>
      </w:r>
      <w:r w:rsidRPr="00AD0C76">
        <w:t>třetí osobě.</w:t>
      </w:r>
    </w:p>
    <w:p w:rsidR="0001669C" w:rsidRPr="00A949CF" w:rsidRDefault="0001669C" w:rsidP="0001669C">
      <w:pPr>
        <w:widowControl w:val="0"/>
        <w:spacing w:before="227" w:after="232" w:line="240" w:lineRule="atLeast"/>
      </w:pPr>
      <w:r w:rsidRPr="00A949CF">
        <w:rPr>
          <w:b/>
          <w:bCs/>
        </w:rPr>
        <w:lastRenderedPageBreak/>
        <w:t>III.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Předmět smlouvy</w:t>
      </w:r>
    </w:p>
    <w:p w:rsidR="008D6FCF" w:rsidRDefault="0001669C" w:rsidP="0001669C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bookmarkStart w:id="0" w:name="OLE_LINK1"/>
      <w:r>
        <w:t xml:space="preserve">Předmětem této smlouvy je závazek prodávajícího dodat kupujícímu </w:t>
      </w:r>
      <w:r w:rsidR="008D6FCF">
        <w:t xml:space="preserve">následující druhy </w:t>
      </w:r>
      <w:r w:rsidR="0091276D">
        <w:t>rostlinného materiálu, dále jen „</w:t>
      </w:r>
      <w:r>
        <w:t>zboží</w:t>
      </w:r>
      <w:r w:rsidR="0091276D">
        <w:t>“</w:t>
      </w:r>
      <w:r>
        <w:t xml:space="preserve"> </w:t>
      </w:r>
      <w:r w:rsidR="008D6FCF">
        <w:t>a převést na kupujícího vlastnická práva:</w:t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4673"/>
        <w:gridCol w:w="1701"/>
        <w:gridCol w:w="1134"/>
        <w:gridCol w:w="1701"/>
      </w:tblGrid>
      <w:tr w:rsidR="00155715" w:rsidRPr="00554552" w:rsidTr="00793098">
        <w:trPr>
          <w:trHeight w:val="812"/>
        </w:trPr>
        <w:tc>
          <w:tcPr>
            <w:tcW w:w="4673" w:type="dxa"/>
            <w:vAlign w:val="center"/>
            <w:hideMark/>
          </w:tcPr>
          <w:p w:rsidR="00155715" w:rsidRPr="00155715" w:rsidRDefault="00155715" w:rsidP="00793098">
            <w:pPr>
              <w:widowControl w:val="0"/>
              <w:suppressAutoHyphens/>
              <w:jc w:val="left"/>
              <w:rPr>
                <w:b/>
                <w:bCs/>
                <w:szCs w:val="24"/>
              </w:rPr>
            </w:pPr>
            <w:r w:rsidRPr="00155715">
              <w:rPr>
                <w:b/>
                <w:bCs/>
                <w:szCs w:val="24"/>
              </w:rPr>
              <w:t xml:space="preserve">Obchodní název </w:t>
            </w:r>
          </w:p>
        </w:tc>
        <w:tc>
          <w:tcPr>
            <w:tcW w:w="1701" w:type="dxa"/>
            <w:vAlign w:val="center"/>
            <w:hideMark/>
          </w:tcPr>
          <w:p w:rsidR="00155715" w:rsidRPr="00155715" w:rsidRDefault="00155715" w:rsidP="00155715">
            <w:pPr>
              <w:widowControl w:val="0"/>
              <w:suppressAutoHyphens/>
              <w:rPr>
                <w:b/>
                <w:bCs/>
                <w:szCs w:val="24"/>
              </w:rPr>
            </w:pPr>
            <w:r w:rsidRPr="00155715">
              <w:rPr>
                <w:b/>
                <w:bCs/>
                <w:szCs w:val="24"/>
              </w:rPr>
              <w:t>Cena za 1 kus</w:t>
            </w:r>
          </w:p>
          <w:p w:rsidR="00155715" w:rsidRPr="00155715" w:rsidRDefault="00155715" w:rsidP="00155715">
            <w:pPr>
              <w:widowControl w:val="0"/>
              <w:suppressAutoHyphens/>
              <w:rPr>
                <w:b/>
                <w:bCs/>
                <w:szCs w:val="24"/>
              </w:rPr>
            </w:pPr>
            <w:r w:rsidRPr="00155715">
              <w:rPr>
                <w:b/>
                <w:bCs/>
                <w:szCs w:val="24"/>
              </w:rPr>
              <w:t>(v Kč) bez DPH</w:t>
            </w:r>
          </w:p>
        </w:tc>
        <w:tc>
          <w:tcPr>
            <w:tcW w:w="1134" w:type="dxa"/>
            <w:vAlign w:val="center"/>
            <w:hideMark/>
          </w:tcPr>
          <w:p w:rsidR="00155715" w:rsidRPr="00155715" w:rsidRDefault="00155715" w:rsidP="00793098">
            <w:pPr>
              <w:widowControl w:val="0"/>
              <w:suppressAutoHyphens/>
              <w:rPr>
                <w:b/>
                <w:bCs/>
                <w:szCs w:val="24"/>
              </w:rPr>
            </w:pPr>
            <w:r w:rsidRPr="00155715">
              <w:rPr>
                <w:b/>
                <w:bCs/>
                <w:szCs w:val="24"/>
              </w:rPr>
              <w:t>Počet kusů</w:t>
            </w:r>
          </w:p>
        </w:tc>
        <w:tc>
          <w:tcPr>
            <w:tcW w:w="1701" w:type="dxa"/>
            <w:vAlign w:val="center"/>
            <w:hideMark/>
          </w:tcPr>
          <w:p w:rsidR="00155715" w:rsidRPr="00155715" w:rsidRDefault="00155715" w:rsidP="00155715">
            <w:pPr>
              <w:widowControl w:val="0"/>
              <w:suppressAutoHyphens/>
              <w:rPr>
                <w:b/>
                <w:bCs/>
                <w:szCs w:val="24"/>
              </w:rPr>
            </w:pPr>
            <w:r w:rsidRPr="00155715">
              <w:rPr>
                <w:b/>
                <w:bCs/>
                <w:szCs w:val="24"/>
              </w:rPr>
              <w:t>Cena celkem bez DPH</w:t>
            </w:r>
          </w:p>
        </w:tc>
      </w:tr>
      <w:tr w:rsidR="000A51FE" w:rsidRPr="00554552" w:rsidTr="00793098">
        <w:trPr>
          <w:trHeight w:val="400"/>
        </w:trPr>
        <w:tc>
          <w:tcPr>
            <w:tcW w:w="4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1FE" w:rsidRPr="00535FB6" w:rsidRDefault="00535FB6" w:rsidP="00793098">
            <w:pPr>
              <w:jc w:val="left"/>
              <w:rPr>
                <w:b/>
              </w:rPr>
            </w:pPr>
            <w:r w:rsidRPr="00535FB6">
              <w:rPr>
                <w:b/>
              </w:rPr>
              <w:t>Cibuloviny</w:t>
            </w:r>
          </w:p>
        </w:tc>
        <w:tc>
          <w:tcPr>
            <w:tcW w:w="1701" w:type="dxa"/>
            <w:vAlign w:val="center"/>
          </w:tcPr>
          <w:p w:rsidR="000A51FE" w:rsidRPr="00155715" w:rsidRDefault="000A51FE" w:rsidP="0020428D">
            <w:pPr>
              <w:widowControl w:val="0"/>
              <w:suppressAutoHyphens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1FE" w:rsidRPr="000040E5" w:rsidRDefault="000A51FE" w:rsidP="00793098"/>
        </w:tc>
        <w:tc>
          <w:tcPr>
            <w:tcW w:w="1701" w:type="dxa"/>
            <w:vAlign w:val="center"/>
          </w:tcPr>
          <w:p w:rsidR="000A51FE" w:rsidRPr="00155715" w:rsidRDefault="000A51FE" w:rsidP="0020428D">
            <w:pPr>
              <w:widowControl w:val="0"/>
              <w:suppressAutoHyphens/>
              <w:jc w:val="right"/>
              <w:rPr>
                <w:bCs/>
                <w:szCs w:val="24"/>
              </w:rPr>
            </w:pPr>
          </w:p>
        </w:tc>
      </w:tr>
      <w:tr w:rsidR="00793098" w:rsidRPr="00554552" w:rsidTr="00793098">
        <w:trPr>
          <w:trHeight w:val="400"/>
        </w:trPr>
        <w:tc>
          <w:tcPr>
            <w:tcW w:w="4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98" w:rsidRPr="008957CF" w:rsidRDefault="00793098" w:rsidP="00793098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Allium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sphaerocephalon</w:t>
            </w:r>
            <w:proofErr w:type="spellEnd"/>
          </w:p>
        </w:tc>
        <w:tc>
          <w:tcPr>
            <w:tcW w:w="1701" w:type="dxa"/>
            <w:vAlign w:val="center"/>
          </w:tcPr>
          <w:p w:rsidR="00793098" w:rsidRPr="00283573" w:rsidRDefault="00793098" w:rsidP="00793098">
            <w:r w:rsidRPr="00283573"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98" w:rsidRPr="000040E5" w:rsidRDefault="00793098" w:rsidP="00793098">
            <w:r w:rsidRPr="000040E5">
              <w:t>500</w:t>
            </w:r>
          </w:p>
        </w:tc>
        <w:tc>
          <w:tcPr>
            <w:tcW w:w="1701" w:type="dxa"/>
            <w:vAlign w:val="center"/>
          </w:tcPr>
          <w:p w:rsidR="00793098" w:rsidRPr="001B3E95" w:rsidRDefault="00793098" w:rsidP="00793098">
            <w:pPr>
              <w:jc w:val="right"/>
            </w:pPr>
            <w:r w:rsidRPr="001B3E95">
              <w:t xml:space="preserve">         1 050,00    </w:t>
            </w:r>
          </w:p>
        </w:tc>
      </w:tr>
      <w:tr w:rsidR="00793098" w:rsidRPr="00554552" w:rsidTr="00793098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98" w:rsidRPr="008957CF" w:rsidRDefault="00793098" w:rsidP="00793098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Crocus</w:t>
            </w:r>
            <w:proofErr w:type="spellEnd"/>
            <w:r w:rsidRPr="008957CF">
              <w:rPr>
                <w:szCs w:val="24"/>
              </w:rPr>
              <w:t xml:space="preserve"> modrý</w:t>
            </w:r>
          </w:p>
        </w:tc>
        <w:tc>
          <w:tcPr>
            <w:tcW w:w="1701" w:type="dxa"/>
            <w:vAlign w:val="center"/>
          </w:tcPr>
          <w:p w:rsidR="00793098" w:rsidRPr="00283573" w:rsidRDefault="00793098" w:rsidP="00793098">
            <w:r w:rsidRPr="00283573">
              <w:t>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98" w:rsidRPr="000040E5" w:rsidRDefault="00793098" w:rsidP="00793098">
            <w:r w:rsidRPr="000040E5">
              <w:t>100</w:t>
            </w:r>
          </w:p>
        </w:tc>
        <w:tc>
          <w:tcPr>
            <w:tcW w:w="1701" w:type="dxa"/>
            <w:vAlign w:val="center"/>
          </w:tcPr>
          <w:p w:rsidR="00793098" w:rsidRPr="001B3E95" w:rsidRDefault="00793098" w:rsidP="00793098">
            <w:pPr>
              <w:jc w:val="right"/>
            </w:pPr>
            <w:r w:rsidRPr="001B3E95">
              <w:t xml:space="preserve">            250,00    </w:t>
            </w:r>
          </w:p>
        </w:tc>
      </w:tr>
      <w:tr w:rsidR="00793098" w:rsidRPr="00554552" w:rsidTr="00793098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98" w:rsidRPr="008957CF" w:rsidRDefault="00793098" w:rsidP="00793098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Crocus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tommasinianus</w:t>
            </w:r>
            <w:proofErr w:type="spellEnd"/>
          </w:p>
        </w:tc>
        <w:tc>
          <w:tcPr>
            <w:tcW w:w="1701" w:type="dxa"/>
            <w:vAlign w:val="center"/>
          </w:tcPr>
          <w:p w:rsidR="00793098" w:rsidRPr="00283573" w:rsidRDefault="00793098" w:rsidP="00793098">
            <w:r w:rsidRPr="00283573">
              <w:t>2,10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98" w:rsidRPr="000040E5" w:rsidRDefault="00793098" w:rsidP="00793098">
            <w:r w:rsidRPr="000040E5">
              <w:t>400</w:t>
            </w:r>
          </w:p>
        </w:tc>
        <w:tc>
          <w:tcPr>
            <w:tcW w:w="1701" w:type="dxa"/>
            <w:vAlign w:val="center"/>
          </w:tcPr>
          <w:p w:rsidR="00793098" w:rsidRPr="001B3E95" w:rsidRDefault="00793098" w:rsidP="00793098">
            <w:pPr>
              <w:jc w:val="right"/>
            </w:pPr>
            <w:r w:rsidRPr="001B3E95">
              <w:t xml:space="preserve">            840,00    </w:t>
            </w:r>
          </w:p>
        </w:tc>
      </w:tr>
      <w:tr w:rsidR="00793098" w:rsidRPr="00554552" w:rsidTr="00793098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98" w:rsidRPr="008957CF" w:rsidRDefault="00793098" w:rsidP="00793098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Crocus</w:t>
            </w:r>
            <w:proofErr w:type="spellEnd"/>
            <w:r w:rsidRPr="008957CF">
              <w:rPr>
                <w:szCs w:val="24"/>
              </w:rPr>
              <w:t xml:space="preserve"> žlutý</w:t>
            </w:r>
          </w:p>
        </w:tc>
        <w:tc>
          <w:tcPr>
            <w:tcW w:w="1701" w:type="dxa"/>
            <w:vAlign w:val="center"/>
          </w:tcPr>
          <w:p w:rsidR="00793098" w:rsidRPr="00283573" w:rsidRDefault="00793098" w:rsidP="00793098">
            <w:r w:rsidRPr="00283573">
              <w:t>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98" w:rsidRPr="000040E5" w:rsidRDefault="00793098" w:rsidP="00793098">
            <w:r w:rsidRPr="000040E5">
              <w:t>100</w:t>
            </w:r>
          </w:p>
        </w:tc>
        <w:tc>
          <w:tcPr>
            <w:tcW w:w="1701" w:type="dxa"/>
            <w:vAlign w:val="center"/>
          </w:tcPr>
          <w:p w:rsidR="00793098" w:rsidRPr="001B3E95" w:rsidRDefault="00793098" w:rsidP="00793098">
            <w:pPr>
              <w:jc w:val="right"/>
            </w:pPr>
            <w:r w:rsidRPr="001B3E95">
              <w:t xml:space="preserve">            250,00    </w:t>
            </w:r>
          </w:p>
        </w:tc>
      </w:tr>
      <w:tr w:rsidR="00793098" w:rsidRPr="00554552" w:rsidTr="00793098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98" w:rsidRPr="008957CF" w:rsidRDefault="00793098" w:rsidP="00793098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Muscari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armeniacum</w:t>
            </w:r>
            <w:proofErr w:type="spellEnd"/>
          </w:p>
        </w:tc>
        <w:tc>
          <w:tcPr>
            <w:tcW w:w="1701" w:type="dxa"/>
            <w:vAlign w:val="center"/>
          </w:tcPr>
          <w:p w:rsidR="00793098" w:rsidRPr="00283573" w:rsidRDefault="00793098" w:rsidP="00793098">
            <w:r w:rsidRPr="00283573">
              <w:t>2,10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98" w:rsidRPr="000040E5" w:rsidRDefault="00793098" w:rsidP="00793098">
            <w:r w:rsidRPr="000040E5">
              <w:t>600</w:t>
            </w:r>
          </w:p>
        </w:tc>
        <w:tc>
          <w:tcPr>
            <w:tcW w:w="1701" w:type="dxa"/>
            <w:vAlign w:val="center"/>
          </w:tcPr>
          <w:p w:rsidR="00793098" w:rsidRPr="001B3E95" w:rsidRDefault="00793098" w:rsidP="00793098">
            <w:pPr>
              <w:jc w:val="right"/>
            </w:pPr>
            <w:r w:rsidRPr="001B3E95">
              <w:t xml:space="preserve">         1 260,00    </w:t>
            </w:r>
          </w:p>
        </w:tc>
      </w:tr>
      <w:tr w:rsidR="00793098" w:rsidRPr="00554552" w:rsidTr="00793098">
        <w:trPr>
          <w:trHeight w:val="407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98" w:rsidRPr="008957CF" w:rsidRDefault="00793098" w:rsidP="00793098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Tulipa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praestans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Fusilier</w:t>
            </w:r>
            <w:proofErr w:type="spellEnd"/>
          </w:p>
        </w:tc>
        <w:tc>
          <w:tcPr>
            <w:tcW w:w="1701" w:type="dxa"/>
            <w:vAlign w:val="center"/>
          </w:tcPr>
          <w:p w:rsidR="00793098" w:rsidRPr="00283573" w:rsidRDefault="00793098" w:rsidP="00793098">
            <w:r w:rsidRPr="00283573">
              <w:t>6,10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98" w:rsidRPr="000040E5" w:rsidRDefault="00793098" w:rsidP="00793098">
            <w:r w:rsidRPr="000040E5">
              <w:t>800</w:t>
            </w:r>
          </w:p>
        </w:tc>
        <w:tc>
          <w:tcPr>
            <w:tcW w:w="1701" w:type="dxa"/>
            <w:vAlign w:val="center"/>
          </w:tcPr>
          <w:p w:rsidR="00793098" w:rsidRPr="001B3E95" w:rsidRDefault="00793098" w:rsidP="00793098">
            <w:pPr>
              <w:jc w:val="right"/>
            </w:pPr>
            <w:r w:rsidRPr="001B3E95">
              <w:t xml:space="preserve">         4 880,00    </w:t>
            </w:r>
          </w:p>
        </w:tc>
      </w:tr>
      <w:tr w:rsidR="00793098" w:rsidRPr="00554552" w:rsidTr="00793098">
        <w:trPr>
          <w:trHeight w:val="398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98" w:rsidRPr="008957CF" w:rsidRDefault="00793098" w:rsidP="00793098">
            <w:pPr>
              <w:jc w:val="left"/>
              <w:rPr>
                <w:szCs w:val="24"/>
              </w:rPr>
            </w:pPr>
            <w:r w:rsidRPr="008957CF">
              <w:rPr>
                <w:szCs w:val="24"/>
              </w:rPr>
              <w:t xml:space="preserve">a cibuloviny </w:t>
            </w:r>
            <w:proofErr w:type="spellStart"/>
            <w:r w:rsidRPr="008957CF">
              <w:rPr>
                <w:szCs w:val="24"/>
              </w:rPr>
              <w:t>Ornithogallum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umbellatum</w:t>
            </w:r>
            <w:proofErr w:type="spellEnd"/>
            <w:r w:rsidRPr="008957CF">
              <w:rPr>
                <w:szCs w:val="24"/>
              </w:rPr>
              <w:t xml:space="preserve">, </w:t>
            </w:r>
            <w:proofErr w:type="spellStart"/>
            <w:r w:rsidRPr="008957CF">
              <w:rPr>
                <w:szCs w:val="24"/>
              </w:rPr>
              <w:t>Muscari</w:t>
            </w:r>
            <w:proofErr w:type="spellEnd"/>
            <w:r w:rsidRPr="008957CF">
              <w:rPr>
                <w:szCs w:val="24"/>
              </w:rPr>
              <w:t xml:space="preserve">, </w:t>
            </w:r>
            <w:proofErr w:type="spellStart"/>
            <w:r w:rsidRPr="008957CF">
              <w:rPr>
                <w:szCs w:val="24"/>
              </w:rPr>
              <w:t>Crocus</w:t>
            </w:r>
            <w:proofErr w:type="spellEnd"/>
            <w:r w:rsidRPr="008957CF">
              <w:rPr>
                <w:szCs w:val="24"/>
              </w:rPr>
              <w:t xml:space="preserve"> žlutý</w:t>
            </w:r>
          </w:p>
        </w:tc>
        <w:tc>
          <w:tcPr>
            <w:tcW w:w="1701" w:type="dxa"/>
            <w:vAlign w:val="center"/>
          </w:tcPr>
          <w:p w:rsidR="00793098" w:rsidRDefault="00793098" w:rsidP="00793098">
            <w:r w:rsidRPr="00283573">
              <w:t>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98" w:rsidRDefault="00793098" w:rsidP="00793098">
            <w:r w:rsidRPr="000040E5">
              <w:t>150</w:t>
            </w:r>
          </w:p>
        </w:tc>
        <w:tc>
          <w:tcPr>
            <w:tcW w:w="1701" w:type="dxa"/>
            <w:vAlign w:val="center"/>
          </w:tcPr>
          <w:p w:rsidR="00793098" w:rsidRDefault="00793098" w:rsidP="00793098">
            <w:pPr>
              <w:jc w:val="right"/>
            </w:pPr>
            <w:r w:rsidRPr="001B3E95">
              <w:t xml:space="preserve">            525,00    </w:t>
            </w:r>
          </w:p>
        </w:tc>
      </w:tr>
      <w:tr w:rsidR="0020428D" w:rsidRPr="00554552" w:rsidTr="00793098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28D" w:rsidRPr="008957CF" w:rsidRDefault="00535FB6" w:rsidP="00793098">
            <w:pPr>
              <w:jc w:val="left"/>
              <w:rPr>
                <w:b/>
                <w:szCs w:val="24"/>
              </w:rPr>
            </w:pPr>
            <w:r w:rsidRPr="008957CF">
              <w:rPr>
                <w:b/>
                <w:szCs w:val="24"/>
              </w:rPr>
              <w:t>Trvalky</w:t>
            </w:r>
          </w:p>
        </w:tc>
        <w:tc>
          <w:tcPr>
            <w:tcW w:w="1701" w:type="dxa"/>
            <w:vAlign w:val="center"/>
          </w:tcPr>
          <w:p w:rsidR="0020428D" w:rsidRPr="00155715" w:rsidRDefault="0020428D" w:rsidP="0020428D">
            <w:pPr>
              <w:widowControl w:val="0"/>
              <w:suppressAutoHyphens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28D" w:rsidRPr="00155715" w:rsidRDefault="0020428D" w:rsidP="00793098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428D" w:rsidRPr="00155715" w:rsidRDefault="0020428D" w:rsidP="0020428D">
            <w:pPr>
              <w:widowControl w:val="0"/>
              <w:suppressAutoHyphens/>
              <w:jc w:val="right"/>
              <w:rPr>
                <w:bCs/>
                <w:szCs w:val="24"/>
              </w:rPr>
            </w:pP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color w:val="000000"/>
                <w:szCs w:val="24"/>
              </w:rPr>
            </w:pPr>
            <w:r w:rsidRPr="008957CF">
              <w:rPr>
                <w:color w:val="000000"/>
                <w:szCs w:val="24"/>
              </w:rPr>
              <w:t xml:space="preserve">Achillea </w:t>
            </w:r>
            <w:proofErr w:type="spellStart"/>
            <w:r w:rsidRPr="008957CF">
              <w:rPr>
                <w:color w:val="000000"/>
                <w:szCs w:val="24"/>
              </w:rPr>
              <w:t>Coronation</w:t>
            </w:r>
            <w:proofErr w:type="spellEnd"/>
            <w:r w:rsidRPr="008957CF">
              <w:rPr>
                <w:color w:val="000000"/>
                <w:szCs w:val="24"/>
              </w:rPr>
              <w:t xml:space="preserve"> Gold</w:t>
            </w:r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C9797A" w:rsidRDefault="00877536" w:rsidP="00877536">
            <w:r w:rsidRPr="00C9797A">
              <w:t>21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525,00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color w:val="000000"/>
                <w:szCs w:val="24"/>
              </w:rPr>
            </w:pPr>
            <w:proofErr w:type="spellStart"/>
            <w:r w:rsidRPr="008957CF">
              <w:rPr>
                <w:color w:val="000000"/>
                <w:szCs w:val="24"/>
              </w:rPr>
              <w:t>Anemone</w:t>
            </w:r>
            <w:proofErr w:type="spellEnd"/>
            <w:r w:rsidRPr="008957CF">
              <w:rPr>
                <w:color w:val="000000"/>
                <w:szCs w:val="24"/>
              </w:rPr>
              <w:t xml:space="preserve"> </w:t>
            </w:r>
            <w:proofErr w:type="spellStart"/>
            <w:r w:rsidRPr="008957CF">
              <w:rPr>
                <w:color w:val="000000"/>
                <w:szCs w:val="24"/>
              </w:rPr>
              <w:t>sylvestris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C9797A" w:rsidRDefault="00877536" w:rsidP="00877536">
            <w:r w:rsidRPr="00C9797A">
              <w:t>123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3 075,00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color w:val="000000"/>
                <w:szCs w:val="24"/>
              </w:rPr>
            </w:pPr>
            <w:proofErr w:type="spellStart"/>
            <w:r w:rsidRPr="008957CF">
              <w:rPr>
                <w:color w:val="000000"/>
                <w:szCs w:val="24"/>
              </w:rPr>
              <w:t>Arabis</w:t>
            </w:r>
            <w:proofErr w:type="spellEnd"/>
            <w:r w:rsidRPr="008957CF">
              <w:rPr>
                <w:color w:val="000000"/>
                <w:szCs w:val="24"/>
              </w:rPr>
              <w:t xml:space="preserve"> </w:t>
            </w:r>
            <w:proofErr w:type="spellStart"/>
            <w:r w:rsidRPr="008957CF">
              <w:rPr>
                <w:color w:val="000000"/>
                <w:szCs w:val="24"/>
              </w:rPr>
              <w:t>caucasica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C9797A" w:rsidRDefault="00877536" w:rsidP="00877536">
            <w:r w:rsidRPr="00C9797A">
              <w:t>20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500,00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Artemisia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schmidtiana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Nana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C9797A" w:rsidRDefault="00877536" w:rsidP="00877536">
            <w:r w:rsidRPr="00C9797A">
              <w:t>60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1 500,00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color w:val="000000"/>
                <w:szCs w:val="24"/>
              </w:rPr>
            </w:pPr>
            <w:r w:rsidRPr="008957CF">
              <w:rPr>
                <w:color w:val="000000"/>
                <w:szCs w:val="24"/>
              </w:rPr>
              <w:t xml:space="preserve">Aster </w:t>
            </w:r>
            <w:proofErr w:type="spellStart"/>
            <w:r w:rsidRPr="008957CF">
              <w:rPr>
                <w:color w:val="000000"/>
                <w:szCs w:val="24"/>
              </w:rPr>
              <w:t>amellus</w:t>
            </w:r>
            <w:proofErr w:type="spellEnd"/>
            <w:r w:rsidRPr="008957CF">
              <w:rPr>
                <w:color w:val="000000"/>
                <w:szCs w:val="24"/>
              </w:rPr>
              <w:t xml:space="preserve"> </w:t>
            </w:r>
            <w:proofErr w:type="spellStart"/>
            <w:r w:rsidRPr="008957CF">
              <w:rPr>
                <w:color w:val="000000"/>
                <w:szCs w:val="24"/>
              </w:rPr>
              <w:t>Sternkugel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C9797A" w:rsidRDefault="00877536" w:rsidP="00877536">
            <w:r w:rsidRPr="00C9797A">
              <w:t>55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1 375,00    </w:t>
            </w:r>
          </w:p>
        </w:tc>
      </w:tr>
      <w:tr w:rsidR="00877536" w:rsidRPr="00554552" w:rsidTr="00877536">
        <w:trPr>
          <w:trHeight w:val="4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r w:rsidRPr="008957CF">
              <w:rPr>
                <w:szCs w:val="24"/>
              </w:rPr>
              <w:t xml:space="preserve">Aster </w:t>
            </w:r>
            <w:proofErr w:type="spellStart"/>
            <w:r w:rsidRPr="008957CF">
              <w:rPr>
                <w:szCs w:val="24"/>
              </w:rPr>
              <w:t>dumosus</w:t>
            </w:r>
            <w:proofErr w:type="spellEnd"/>
            <w:r w:rsidRPr="008957CF">
              <w:rPr>
                <w:szCs w:val="24"/>
              </w:rPr>
              <w:t xml:space="preserve"> Jenny</w:t>
            </w:r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C9797A" w:rsidRDefault="00877536" w:rsidP="00877536">
            <w:r w:rsidRPr="00C9797A">
              <w:t>12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300,00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color w:val="000000"/>
                <w:szCs w:val="24"/>
              </w:rPr>
            </w:pPr>
            <w:r w:rsidRPr="008957CF">
              <w:rPr>
                <w:color w:val="000000"/>
                <w:szCs w:val="24"/>
              </w:rPr>
              <w:t xml:space="preserve">Aster </w:t>
            </w:r>
            <w:proofErr w:type="spellStart"/>
            <w:r w:rsidRPr="008957CF">
              <w:rPr>
                <w:color w:val="000000"/>
                <w:szCs w:val="24"/>
              </w:rPr>
              <w:t>dumosus</w:t>
            </w:r>
            <w:proofErr w:type="spellEnd"/>
            <w:r w:rsidRPr="008957CF">
              <w:rPr>
                <w:color w:val="000000"/>
                <w:szCs w:val="24"/>
              </w:rPr>
              <w:t xml:space="preserve"> Kristina</w:t>
            </w:r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C9797A" w:rsidRDefault="00877536" w:rsidP="00877536">
            <w:r w:rsidRPr="00C9797A">
              <w:t>6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150,00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r w:rsidRPr="008957CF">
              <w:rPr>
                <w:szCs w:val="24"/>
              </w:rPr>
              <w:t xml:space="preserve">Aster </w:t>
            </w:r>
            <w:proofErr w:type="spellStart"/>
            <w:r w:rsidRPr="008957CF">
              <w:rPr>
                <w:szCs w:val="24"/>
              </w:rPr>
              <w:t>dumosus</w:t>
            </w:r>
            <w:proofErr w:type="spellEnd"/>
            <w:r w:rsidRPr="008957CF">
              <w:rPr>
                <w:szCs w:val="24"/>
              </w:rPr>
              <w:t xml:space="preserve"> Lady in Blue/</w:t>
            </w:r>
            <w:proofErr w:type="spellStart"/>
            <w:r w:rsidRPr="008957CF">
              <w:rPr>
                <w:szCs w:val="24"/>
              </w:rPr>
              <w:t>Mittelmeer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C9797A" w:rsidRDefault="00877536" w:rsidP="00877536">
            <w:r w:rsidRPr="00C9797A">
              <w:t>15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375,00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r w:rsidRPr="008957CF">
              <w:rPr>
                <w:szCs w:val="24"/>
              </w:rPr>
              <w:t xml:space="preserve">Aster </w:t>
            </w:r>
            <w:proofErr w:type="spellStart"/>
            <w:r w:rsidRPr="008957CF">
              <w:rPr>
                <w:szCs w:val="24"/>
              </w:rPr>
              <w:t>laterifolius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Bleke</w:t>
            </w:r>
            <w:proofErr w:type="spellEnd"/>
            <w:r w:rsidRPr="008957CF">
              <w:rPr>
                <w:szCs w:val="24"/>
              </w:rPr>
              <w:t xml:space="preserve"> Bet</w:t>
            </w:r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C9797A" w:rsidRDefault="00877536" w:rsidP="00877536">
            <w:r w:rsidRPr="00C9797A">
              <w:t>27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675,00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color w:val="000000"/>
                <w:szCs w:val="24"/>
              </w:rPr>
            </w:pPr>
            <w:r w:rsidRPr="008957CF">
              <w:rPr>
                <w:color w:val="000000"/>
                <w:szCs w:val="24"/>
              </w:rPr>
              <w:t xml:space="preserve">Aster </w:t>
            </w:r>
            <w:proofErr w:type="spellStart"/>
            <w:r w:rsidRPr="008957CF">
              <w:rPr>
                <w:color w:val="000000"/>
                <w:szCs w:val="24"/>
              </w:rPr>
              <w:t>lynosyris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30,00</w:t>
            </w:r>
          </w:p>
        </w:tc>
        <w:tc>
          <w:tcPr>
            <w:tcW w:w="1134" w:type="dxa"/>
            <w:vAlign w:val="center"/>
          </w:tcPr>
          <w:p w:rsidR="00877536" w:rsidRPr="00C9797A" w:rsidRDefault="00877536" w:rsidP="00877536">
            <w:r w:rsidRPr="00C9797A">
              <w:t>36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1 080,00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color w:val="000000"/>
                <w:szCs w:val="24"/>
              </w:rPr>
            </w:pPr>
            <w:proofErr w:type="spellStart"/>
            <w:r w:rsidRPr="008957CF">
              <w:rPr>
                <w:color w:val="000000"/>
                <w:szCs w:val="24"/>
              </w:rPr>
              <w:t>Bergenia</w:t>
            </w:r>
            <w:proofErr w:type="spellEnd"/>
            <w:r w:rsidRPr="008957CF">
              <w:rPr>
                <w:color w:val="000000"/>
                <w:szCs w:val="24"/>
              </w:rPr>
              <w:t xml:space="preserve"> </w:t>
            </w:r>
            <w:proofErr w:type="spellStart"/>
            <w:r w:rsidRPr="008957CF">
              <w:rPr>
                <w:color w:val="000000"/>
                <w:szCs w:val="24"/>
              </w:rPr>
              <w:t>cordifolia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Default="00877536" w:rsidP="00877536">
            <w:r w:rsidRPr="00C9797A">
              <w:t>21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525,00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Bergenia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Morgenröte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E94FE0" w:rsidRDefault="00877536" w:rsidP="00877536">
            <w:r w:rsidRPr="00E94FE0">
              <w:t>12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300,00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r w:rsidRPr="008957CF">
              <w:rPr>
                <w:szCs w:val="24"/>
              </w:rPr>
              <w:t xml:space="preserve">Brunnera </w:t>
            </w:r>
            <w:proofErr w:type="spellStart"/>
            <w:r w:rsidRPr="008957CF">
              <w:rPr>
                <w:szCs w:val="24"/>
              </w:rPr>
              <w:t>macrophylla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55,00</w:t>
            </w:r>
          </w:p>
        </w:tc>
        <w:tc>
          <w:tcPr>
            <w:tcW w:w="1134" w:type="dxa"/>
            <w:vAlign w:val="center"/>
          </w:tcPr>
          <w:p w:rsidR="00877536" w:rsidRPr="00E94FE0" w:rsidRDefault="00877536" w:rsidP="00877536">
            <w:r w:rsidRPr="00E94FE0">
              <w:t>12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660,00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Calamintha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nepeta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proofErr w:type="gramStart"/>
            <w:r w:rsidRPr="008957CF">
              <w:rPr>
                <w:szCs w:val="24"/>
              </w:rPr>
              <w:t>ssp.nepeta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E94FE0" w:rsidRDefault="00877536" w:rsidP="00877536">
            <w:r w:rsidRPr="00E94FE0">
              <w:t>120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3 000,00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Catananche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caerulea</w:t>
            </w:r>
            <w:proofErr w:type="spellEnd"/>
            <w:r w:rsidRPr="008957CF">
              <w:rPr>
                <w:szCs w:val="24"/>
              </w:rPr>
              <w:t xml:space="preserve"> (</w:t>
            </w:r>
            <w:proofErr w:type="spellStart"/>
            <w:r w:rsidRPr="008957CF">
              <w:rPr>
                <w:szCs w:val="24"/>
              </w:rPr>
              <w:t>Geranium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himalayense</w:t>
            </w:r>
            <w:proofErr w:type="spellEnd"/>
            <w:r w:rsidRPr="008957CF">
              <w:rPr>
                <w:szCs w:val="24"/>
              </w:rPr>
              <w:t xml:space="preserve"> (=</w:t>
            </w:r>
            <w:proofErr w:type="spellStart"/>
            <w:r w:rsidRPr="008957CF">
              <w:rPr>
                <w:szCs w:val="24"/>
              </w:rPr>
              <w:t>grandiflorum</w:t>
            </w:r>
            <w:proofErr w:type="spellEnd"/>
            <w:r w:rsidRPr="008957CF">
              <w:rPr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35,00</w:t>
            </w:r>
          </w:p>
        </w:tc>
        <w:tc>
          <w:tcPr>
            <w:tcW w:w="1134" w:type="dxa"/>
            <w:vAlign w:val="center"/>
          </w:tcPr>
          <w:p w:rsidR="00877536" w:rsidRPr="00E94FE0" w:rsidRDefault="00877536" w:rsidP="00877536">
            <w:r w:rsidRPr="00E94FE0">
              <w:t>18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630,00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Coreopsis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verticillata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E94FE0" w:rsidRDefault="00877536" w:rsidP="00877536">
            <w:r w:rsidRPr="00E94FE0">
              <w:t>20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500,00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Echinacea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purpurea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Magnus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E94FE0" w:rsidRDefault="00877536" w:rsidP="00877536">
            <w:r w:rsidRPr="00E94FE0">
              <w:t>30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750,00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Euphorbia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polychroma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E94FE0" w:rsidRDefault="00877536" w:rsidP="00877536">
            <w:r w:rsidRPr="00E94FE0">
              <w:t>48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1 200,00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lastRenderedPageBreak/>
              <w:t>Festuca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mairei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E94FE0" w:rsidRDefault="00877536" w:rsidP="00877536">
            <w:r w:rsidRPr="00E94FE0">
              <w:t>18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450,00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Gaura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lindheimeri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77536" w:rsidRPr="00A52ABF" w:rsidRDefault="00877536" w:rsidP="00877536">
            <w:r w:rsidRPr="00A52ABF">
              <w:t>40,00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77536" w:rsidRPr="00E94FE0" w:rsidRDefault="00877536" w:rsidP="00877536">
            <w:r w:rsidRPr="00E94FE0">
              <w:t>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720,00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Geranium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cantabrigiense</w:t>
            </w:r>
            <w:proofErr w:type="spellEnd"/>
            <w:r w:rsidRPr="008957CF">
              <w:rPr>
                <w:szCs w:val="24"/>
              </w:rPr>
              <w:t>/</w:t>
            </w:r>
            <w:proofErr w:type="spellStart"/>
            <w:r w:rsidRPr="008957CF">
              <w:rPr>
                <w:szCs w:val="24"/>
              </w:rPr>
              <w:t>renardii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77536" w:rsidRPr="00A52ABF" w:rsidRDefault="00877536" w:rsidP="00877536">
            <w:r w:rsidRPr="00A52ABF"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77536" w:rsidRPr="00E94FE0" w:rsidRDefault="00877536" w:rsidP="00877536">
            <w:r w:rsidRPr="00E94FE0">
              <w:t>12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360,00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Geranium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dalmaticum</w:t>
            </w:r>
            <w:proofErr w:type="spellEnd"/>
            <w:r w:rsidRPr="008957CF">
              <w:rPr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E94FE0" w:rsidRDefault="00877536" w:rsidP="00877536">
            <w:r w:rsidRPr="00E94FE0">
              <w:t>10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250,00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Geranium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dalmaticum</w:t>
            </w:r>
            <w:proofErr w:type="spellEnd"/>
            <w:r w:rsidRPr="008957CF">
              <w:rPr>
                <w:szCs w:val="24"/>
              </w:rPr>
              <w:t xml:space="preserve"> Album</w:t>
            </w:r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30,00</w:t>
            </w:r>
          </w:p>
        </w:tc>
        <w:tc>
          <w:tcPr>
            <w:tcW w:w="1134" w:type="dxa"/>
            <w:vAlign w:val="center"/>
          </w:tcPr>
          <w:p w:rsidR="00877536" w:rsidRDefault="00877536" w:rsidP="00877536">
            <w:r w:rsidRPr="00E94FE0">
              <w:t>15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450,00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Geranium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macrorhizum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20,00</w:t>
            </w:r>
          </w:p>
        </w:tc>
        <w:tc>
          <w:tcPr>
            <w:tcW w:w="1134" w:type="dxa"/>
            <w:vAlign w:val="center"/>
          </w:tcPr>
          <w:p w:rsidR="00877536" w:rsidRPr="00974E7C" w:rsidRDefault="00877536" w:rsidP="00877536">
            <w:r w:rsidRPr="00974E7C">
              <w:t>20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400,00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Geranium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renardii</w:t>
            </w:r>
            <w:proofErr w:type="spellEnd"/>
            <w:r w:rsidRPr="008957CF">
              <w:rPr>
                <w:szCs w:val="24"/>
              </w:rPr>
              <w:t xml:space="preserve"> (</w:t>
            </w:r>
            <w:proofErr w:type="spellStart"/>
            <w:proofErr w:type="gramStart"/>
            <w:r w:rsidRPr="008957CF">
              <w:rPr>
                <w:szCs w:val="24"/>
              </w:rPr>
              <w:t>G.macrorrhizum</w:t>
            </w:r>
            <w:proofErr w:type="spellEnd"/>
            <w:proofErr w:type="gram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Spessart</w:t>
            </w:r>
            <w:proofErr w:type="spellEnd"/>
            <w:r w:rsidRPr="008957CF">
              <w:rPr>
                <w:szCs w:val="24"/>
              </w:rPr>
              <w:t xml:space="preserve"> aj.)</w:t>
            </w:r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30,00</w:t>
            </w:r>
          </w:p>
        </w:tc>
        <w:tc>
          <w:tcPr>
            <w:tcW w:w="1134" w:type="dxa"/>
            <w:vAlign w:val="center"/>
          </w:tcPr>
          <w:p w:rsidR="00877536" w:rsidRPr="00974E7C" w:rsidRDefault="00877536" w:rsidP="00877536">
            <w:r w:rsidRPr="00974E7C">
              <w:t>72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2 160,00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Geranium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sanguineum</w:t>
            </w:r>
            <w:proofErr w:type="spellEnd"/>
            <w:r w:rsidRPr="008957CF">
              <w:rPr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30,00</w:t>
            </w:r>
          </w:p>
        </w:tc>
        <w:tc>
          <w:tcPr>
            <w:tcW w:w="1134" w:type="dxa"/>
            <w:vAlign w:val="center"/>
          </w:tcPr>
          <w:p w:rsidR="00877536" w:rsidRPr="00974E7C" w:rsidRDefault="00877536" w:rsidP="00877536">
            <w:r w:rsidRPr="00974E7C">
              <w:t>63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1 890,00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Geranium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sanguineum</w:t>
            </w:r>
            <w:proofErr w:type="spellEnd"/>
            <w:r w:rsidRPr="008957CF">
              <w:rPr>
                <w:szCs w:val="24"/>
              </w:rPr>
              <w:t xml:space="preserve"> Album</w:t>
            </w:r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35,00</w:t>
            </w:r>
          </w:p>
        </w:tc>
        <w:tc>
          <w:tcPr>
            <w:tcW w:w="1134" w:type="dxa"/>
            <w:vAlign w:val="center"/>
          </w:tcPr>
          <w:p w:rsidR="00877536" w:rsidRPr="00974E7C" w:rsidRDefault="00877536" w:rsidP="00877536">
            <w:r w:rsidRPr="00974E7C">
              <w:t>25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875,00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Geranium</w:t>
            </w:r>
            <w:proofErr w:type="spellEnd"/>
            <w:r w:rsidRPr="008957CF">
              <w:rPr>
                <w:szCs w:val="24"/>
              </w:rPr>
              <w:t xml:space="preserve"> x </w:t>
            </w:r>
            <w:proofErr w:type="spellStart"/>
            <w:r w:rsidRPr="008957CF">
              <w:rPr>
                <w:szCs w:val="24"/>
              </w:rPr>
              <w:t>cantabrigiense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Karmina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30,00</w:t>
            </w:r>
          </w:p>
        </w:tc>
        <w:tc>
          <w:tcPr>
            <w:tcW w:w="1134" w:type="dxa"/>
            <w:vAlign w:val="center"/>
          </w:tcPr>
          <w:p w:rsidR="00877536" w:rsidRPr="00974E7C" w:rsidRDefault="00877536" w:rsidP="00877536">
            <w:r w:rsidRPr="00974E7C">
              <w:t>12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360,00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Helictotrichon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sempervirens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974E7C" w:rsidRDefault="00877536" w:rsidP="00877536">
            <w:r w:rsidRPr="00974E7C">
              <w:t>8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200,00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Hemerocallis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Satin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Glass</w:t>
            </w:r>
            <w:proofErr w:type="spellEnd"/>
            <w:r w:rsidRPr="008957CF">
              <w:rPr>
                <w:szCs w:val="24"/>
              </w:rPr>
              <w:t xml:space="preserve">/Iron </w:t>
            </w:r>
            <w:proofErr w:type="spellStart"/>
            <w:r w:rsidRPr="008957CF">
              <w:rPr>
                <w:szCs w:val="24"/>
              </w:rPr>
              <w:t>Gate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Glacier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40,00</w:t>
            </w:r>
          </w:p>
        </w:tc>
        <w:tc>
          <w:tcPr>
            <w:tcW w:w="1134" w:type="dxa"/>
            <w:vAlign w:val="center"/>
          </w:tcPr>
          <w:p w:rsidR="00877536" w:rsidRPr="00974E7C" w:rsidRDefault="00877536" w:rsidP="00877536">
            <w:r w:rsidRPr="00974E7C">
              <w:t>10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400,00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Iberis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sempervirens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974E7C" w:rsidRDefault="00877536" w:rsidP="00877536">
            <w:r w:rsidRPr="00974E7C">
              <w:t>20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500,00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Inula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ensifolia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Compacta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Default="00877536" w:rsidP="00877536">
            <w:r w:rsidRPr="00974E7C">
              <w:t>37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925,00    </w:t>
            </w:r>
          </w:p>
        </w:tc>
      </w:tr>
      <w:tr w:rsidR="00877536" w:rsidRPr="00554552" w:rsidTr="00877536">
        <w:trPr>
          <w:trHeight w:val="451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Inula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hirta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9A7FC4" w:rsidRDefault="00877536" w:rsidP="00877536">
            <w:r w:rsidRPr="009A7FC4">
              <w:t>36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900,00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r w:rsidRPr="008957CF">
              <w:rPr>
                <w:szCs w:val="24"/>
              </w:rPr>
              <w:t xml:space="preserve">Iris </w:t>
            </w:r>
            <w:proofErr w:type="spellStart"/>
            <w:r w:rsidRPr="008957CF">
              <w:rPr>
                <w:szCs w:val="24"/>
              </w:rPr>
              <w:t>barbata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Nana</w:t>
            </w:r>
            <w:proofErr w:type="spellEnd"/>
            <w:r w:rsidRPr="008957CF">
              <w:rPr>
                <w:szCs w:val="24"/>
              </w:rPr>
              <w:t xml:space="preserve"> modré</w:t>
            </w:r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30,00</w:t>
            </w:r>
          </w:p>
        </w:tc>
        <w:tc>
          <w:tcPr>
            <w:tcW w:w="1134" w:type="dxa"/>
            <w:vAlign w:val="center"/>
          </w:tcPr>
          <w:p w:rsidR="00877536" w:rsidRPr="009A7FC4" w:rsidRDefault="00877536" w:rsidP="00877536">
            <w:r w:rsidRPr="009A7FC4">
              <w:t>25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750,00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r w:rsidRPr="008957CF">
              <w:rPr>
                <w:szCs w:val="24"/>
              </w:rPr>
              <w:t xml:space="preserve">Iris </w:t>
            </w:r>
            <w:proofErr w:type="gramStart"/>
            <w:r w:rsidRPr="008957CF">
              <w:rPr>
                <w:szCs w:val="24"/>
              </w:rPr>
              <w:t xml:space="preserve">x  </w:t>
            </w:r>
            <w:proofErr w:type="spellStart"/>
            <w:r w:rsidRPr="008957CF">
              <w:rPr>
                <w:szCs w:val="24"/>
              </w:rPr>
              <w:t>barbata</w:t>
            </w:r>
            <w:proofErr w:type="spellEnd"/>
            <w:proofErr w:type="gramEnd"/>
            <w:r w:rsidRPr="008957CF">
              <w:rPr>
                <w:szCs w:val="24"/>
              </w:rPr>
              <w:t xml:space="preserve"> Media modrý</w:t>
            </w:r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30,00</w:t>
            </w:r>
          </w:p>
        </w:tc>
        <w:tc>
          <w:tcPr>
            <w:tcW w:w="1134" w:type="dxa"/>
            <w:vAlign w:val="center"/>
          </w:tcPr>
          <w:p w:rsidR="00877536" w:rsidRPr="009A7FC4" w:rsidRDefault="00877536" w:rsidP="00877536">
            <w:r w:rsidRPr="009A7FC4">
              <w:t>36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1 080,00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Lamiastrum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galeobdolon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9A7FC4" w:rsidRDefault="00877536" w:rsidP="00877536">
            <w:r w:rsidRPr="009A7FC4">
              <w:t>80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2 000,00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Lavandula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angustifolia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9A7FC4" w:rsidRDefault="00877536" w:rsidP="00877536">
            <w:r w:rsidRPr="009A7FC4">
              <w:t>12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300,00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Liatris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spicata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9A7FC4" w:rsidRDefault="00877536" w:rsidP="00877536">
            <w:r w:rsidRPr="009A7FC4">
              <w:t>45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1 125,00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Linum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perenne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9A7FC4" w:rsidRDefault="00877536" w:rsidP="00877536">
            <w:r w:rsidRPr="009A7FC4">
              <w:t>18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450,00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Nepeta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nervosa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9A7FC4" w:rsidRDefault="00877536" w:rsidP="00877536">
            <w:r w:rsidRPr="009A7FC4">
              <w:t>64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1 600,00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Nepeta</w:t>
            </w:r>
            <w:proofErr w:type="spellEnd"/>
            <w:r w:rsidRPr="008957CF">
              <w:rPr>
                <w:szCs w:val="24"/>
              </w:rPr>
              <w:t xml:space="preserve"> x </w:t>
            </w:r>
            <w:proofErr w:type="spellStart"/>
            <w:r w:rsidRPr="008957CF">
              <w:rPr>
                <w:szCs w:val="24"/>
              </w:rPr>
              <w:t>faassenii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20,00</w:t>
            </w:r>
          </w:p>
        </w:tc>
        <w:tc>
          <w:tcPr>
            <w:tcW w:w="1134" w:type="dxa"/>
            <w:vAlign w:val="center"/>
          </w:tcPr>
          <w:p w:rsidR="00877536" w:rsidRPr="009A7FC4" w:rsidRDefault="00877536" w:rsidP="00877536">
            <w:r w:rsidRPr="009A7FC4">
              <w:t>50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1 000,00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Origanum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vulgare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Compactum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9A7FC4" w:rsidRDefault="00877536" w:rsidP="00877536">
            <w:r w:rsidRPr="009A7FC4">
              <w:t>50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1 250,00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Pennisetum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Hameln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35,00</w:t>
            </w:r>
          </w:p>
        </w:tc>
        <w:tc>
          <w:tcPr>
            <w:tcW w:w="1134" w:type="dxa"/>
            <w:vAlign w:val="center"/>
          </w:tcPr>
          <w:p w:rsidR="00877536" w:rsidRPr="009A7FC4" w:rsidRDefault="00877536" w:rsidP="00877536">
            <w:r w:rsidRPr="009A7FC4">
              <w:t>8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280,00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Perovskia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atriplicifolia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35,00</w:t>
            </w:r>
          </w:p>
        </w:tc>
        <w:tc>
          <w:tcPr>
            <w:tcW w:w="1134" w:type="dxa"/>
            <w:vAlign w:val="center"/>
          </w:tcPr>
          <w:p w:rsidR="00877536" w:rsidRDefault="00877536" w:rsidP="00877536">
            <w:r w:rsidRPr="009A7FC4">
              <w:t>27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945,00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Salvia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nemorosa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FA1A3A" w:rsidRDefault="00877536" w:rsidP="00877536">
            <w:r w:rsidRPr="00FA1A3A">
              <w:t>27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675,00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Salvia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officinalis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FA1A3A" w:rsidRDefault="00877536" w:rsidP="00877536">
            <w:r w:rsidRPr="00FA1A3A">
              <w:t>8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200,00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Salvia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verticillata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Purple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Rain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FA1A3A" w:rsidRDefault="00877536" w:rsidP="00877536">
            <w:r w:rsidRPr="00FA1A3A">
              <w:t>27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675,00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Sedum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telephium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Herbstfreunde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FA1A3A" w:rsidRDefault="00877536" w:rsidP="00877536">
            <w:r w:rsidRPr="00FA1A3A">
              <w:t>36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900,00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Sedum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telephium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Matrona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FA1A3A" w:rsidRDefault="00877536" w:rsidP="00877536">
            <w:r w:rsidRPr="00FA1A3A">
              <w:t>40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1 000,00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r w:rsidRPr="008957CF">
              <w:rPr>
                <w:szCs w:val="24"/>
              </w:rPr>
              <w:t xml:space="preserve">Thymus </w:t>
            </w:r>
            <w:proofErr w:type="spellStart"/>
            <w:r w:rsidRPr="008957CF">
              <w:rPr>
                <w:szCs w:val="24"/>
              </w:rPr>
              <w:t>pulegioides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FA1A3A" w:rsidRDefault="00877536" w:rsidP="00877536">
            <w:r w:rsidRPr="00FA1A3A">
              <w:t>158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3 950,00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r w:rsidRPr="008957CF">
              <w:rPr>
                <w:szCs w:val="24"/>
              </w:rPr>
              <w:t xml:space="preserve">Veronica </w:t>
            </w:r>
            <w:proofErr w:type="spellStart"/>
            <w:r w:rsidRPr="008957CF">
              <w:rPr>
                <w:szCs w:val="24"/>
              </w:rPr>
              <w:t>incana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FA1A3A" w:rsidRDefault="00877536" w:rsidP="00877536">
            <w:r w:rsidRPr="00FA1A3A">
              <w:t>9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   225,00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r w:rsidRPr="008957CF">
              <w:rPr>
                <w:szCs w:val="24"/>
              </w:rPr>
              <w:lastRenderedPageBreak/>
              <w:t xml:space="preserve">Veronica </w:t>
            </w:r>
            <w:proofErr w:type="spellStart"/>
            <w:r w:rsidRPr="008957CF">
              <w:rPr>
                <w:szCs w:val="24"/>
              </w:rPr>
              <w:t>teucrium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Knallblau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52ABF" w:rsidRDefault="00877536" w:rsidP="00877536">
            <w:r w:rsidRPr="00A52ABF">
              <w:t>25,00</w:t>
            </w:r>
          </w:p>
        </w:tc>
        <w:tc>
          <w:tcPr>
            <w:tcW w:w="1134" w:type="dxa"/>
            <w:vAlign w:val="center"/>
          </w:tcPr>
          <w:p w:rsidR="00877536" w:rsidRPr="00FA1A3A" w:rsidRDefault="00877536" w:rsidP="00877536">
            <w:r w:rsidRPr="00FA1A3A">
              <w:t>82</w:t>
            </w:r>
          </w:p>
        </w:tc>
        <w:tc>
          <w:tcPr>
            <w:tcW w:w="1701" w:type="dxa"/>
            <w:vAlign w:val="center"/>
          </w:tcPr>
          <w:p w:rsidR="00877536" w:rsidRPr="00622EE7" w:rsidRDefault="00877536" w:rsidP="00877536">
            <w:pPr>
              <w:jc w:val="right"/>
            </w:pPr>
            <w:r w:rsidRPr="00622EE7">
              <w:t xml:space="preserve">         2 050,00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Yucca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filamentosa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Default="00877536" w:rsidP="00877536">
            <w:r w:rsidRPr="00A52ABF">
              <w:t>40,00</w:t>
            </w:r>
          </w:p>
        </w:tc>
        <w:tc>
          <w:tcPr>
            <w:tcW w:w="1134" w:type="dxa"/>
            <w:vAlign w:val="center"/>
          </w:tcPr>
          <w:p w:rsidR="00877536" w:rsidRDefault="00877536" w:rsidP="00877536">
            <w:r w:rsidRPr="00C41E58">
              <w:t>8</w:t>
            </w:r>
          </w:p>
        </w:tc>
        <w:tc>
          <w:tcPr>
            <w:tcW w:w="1701" w:type="dxa"/>
            <w:vAlign w:val="center"/>
          </w:tcPr>
          <w:p w:rsidR="00877536" w:rsidRDefault="00877536" w:rsidP="00877536">
            <w:pPr>
              <w:jc w:val="right"/>
            </w:pPr>
            <w:r w:rsidRPr="00622EE7">
              <w:t xml:space="preserve">            320,00    </w:t>
            </w:r>
          </w:p>
        </w:tc>
      </w:tr>
      <w:tr w:rsidR="008957CF" w:rsidRPr="00554552" w:rsidTr="00793098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CF" w:rsidRPr="00793098" w:rsidRDefault="008957CF" w:rsidP="00793098">
            <w:pPr>
              <w:jc w:val="left"/>
              <w:rPr>
                <w:b/>
                <w:color w:val="000000"/>
                <w:szCs w:val="24"/>
              </w:rPr>
            </w:pPr>
            <w:r w:rsidRPr="00793098">
              <w:rPr>
                <w:b/>
                <w:color w:val="000000"/>
                <w:szCs w:val="24"/>
              </w:rPr>
              <w:t>Keře</w:t>
            </w:r>
          </w:p>
        </w:tc>
        <w:tc>
          <w:tcPr>
            <w:tcW w:w="1701" w:type="dxa"/>
            <w:vAlign w:val="center"/>
          </w:tcPr>
          <w:p w:rsidR="008957CF" w:rsidRPr="00155715" w:rsidRDefault="008957CF" w:rsidP="008957CF">
            <w:pPr>
              <w:widowControl w:val="0"/>
              <w:suppressAutoHyphens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57CF" w:rsidRPr="00155715" w:rsidRDefault="008957CF" w:rsidP="00793098">
            <w:pPr>
              <w:widowControl w:val="0"/>
              <w:suppressAutoHyphens/>
              <w:rPr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57CF" w:rsidRPr="00155715" w:rsidRDefault="008957CF" w:rsidP="008957CF">
            <w:pPr>
              <w:widowControl w:val="0"/>
              <w:suppressAutoHyphens/>
              <w:jc w:val="right"/>
              <w:rPr>
                <w:bCs/>
                <w:szCs w:val="24"/>
              </w:rPr>
            </w:pP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Vibrurnum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farreri</w:t>
            </w:r>
            <w:proofErr w:type="spellEnd"/>
            <w:r w:rsidRPr="008957CF">
              <w:rPr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77536" w:rsidRPr="00A6044C" w:rsidRDefault="00877536" w:rsidP="00877536">
            <w:r w:rsidRPr="00A6044C">
              <w:t>95,00</w:t>
            </w:r>
          </w:p>
        </w:tc>
        <w:tc>
          <w:tcPr>
            <w:tcW w:w="1134" w:type="dxa"/>
            <w:vAlign w:val="center"/>
          </w:tcPr>
          <w:p w:rsidR="00877536" w:rsidRPr="00E21E1C" w:rsidRDefault="00877536" w:rsidP="00877536">
            <w:r w:rsidRPr="00E21E1C">
              <w:t>5</w:t>
            </w:r>
          </w:p>
        </w:tc>
        <w:tc>
          <w:tcPr>
            <w:tcW w:w="1701" w:type="dxa"/>
            <w:vAlign w:val="center"/>
          </w:tcPr>
          <w:p w:rsidR="00877536" w:rsidRPr="002D7026" w:rsidRDefault="00877536" w:rsidP="00877536">
            <w:pPr>
              <w:jc w:val="right"/>
            </w:pPr>
            <w:r w:rsidRPr="002D7026">
              <w:t xml:space="preserve">            475,00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r w:rsidRPr="008957CF">
              <w:rPr>
                <w:szCs w:val="24"/>
              </w:rPr>
              <w:t xml:space="preserve">Taxus </w:t>
            </w:r>
            <w:proofErr w:type="spellStart"/>
            <w:r w:rsidRPr="008957CF">
              <w:rPr>
                <w:szCs w:val="24"/>
              </w:rPr>
              <w:t>baccata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6044C" w:rsidRDefault="00877536" w:rsidP="00877536">
            <w:r w:rsidRPr="00A6044C">
              <w:t>140,00</w:t>
            </w:r>
          </w:p>
        </w:tc>
        <w:tc>
          <w:tcPr>
            <w:tcW w:w="1134" w:type="dxa"/>
            <w:vAlign w:val="center"/>
          </w:tcPr>
          <w:p w:rsidR="00877536" w:rsidRPr="00E21E1C" w:rsidRDefault="00877536" w:rsidP="00877536">
            <w:r w:rsidRPr="00E21E1C">
              <w:t>100</w:t>
            </w:r>
          </w:p>
        </w:tc>
        <w:tc>
          <w:tcPr>
            <w:tcW w:w="1701" w:type="dxa"/>
            <w:vAlign w:val="center"/>
          </w:tcPr>
          <w:p w:rsidR="00877536" w:rsidRPr="002D7026" w:rsidRDefault="00877536" w:rsidP="00877536">
            <w:pPr>
              <w:jc w:val="right"/>
            </w:pPr>
            <w:r w:rsidRPr="002D7026">
              <w:t xml:space="preserve">      14 000,00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r w:rsidRPr="008957CF">
              <w:rPr>
                <w:szCs w:val="24"/>
              </w:rPr>
              <w:t>maliny</w:t>
            </w:r>
          </w:p>
        </w:tc>
        <w:tc>
          <w:tcPr>
            <w:tcW w:w="1701" w:type="dxa"/>
            <w:vAlign w:val="center"/>
          </w:tcPr>
          <w:p w:rsidR="00877536" w:rsidRPr="00A6044C" w:rsidRDefault="00877536" w:rsidP="00877536">
            <w:r w:rsidRPr="00A6044C">
              <w:t>50,00</w:t>
            </w:r>
          </w:p>
        </w:tc>
        <w:tc>
          <w:tcPr>
            <w:tcW w:w="1134" w:type="dxa"/>
            <w:vAlign w:val="center"/>
          </w:tcPr>
          <w:p w:rsidR="00877536" w:rsidRPr="00E21E1C" w:rsidRDefault="00877536" w:rsidP="00877536">
            <w:r w:rsidRPr="00E21E1C">
              <w:t>8</w:t>
            </w:r>
          </w:p>
        </w:tc>
        <w:tc>
          <w:tcPr>
            <w:tcW w:w="1701" w:type="dxa"/>
            <w:vAlign w:val="center"/>
          </w:tcPr>
          <w:p w:rsidR="00877536" w:rsidRPr="002D7026" w:rsidRDefault="00877536" w:rsidP="00877536">
            <w:pPr>
              <w:jc w:val="right"/>
            </w:pPr>
            <w:r w:rsidRPr="002D7026">
              <w:t xml:space="preserve">            400,00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r w:rsidRPr="008957CF">
              <w:rPr>
                <w:szCs w:val="24"/>
              </w:rPr>
              <w:t>lísky</w:t>
            </w:r>
          </w:p>
        </w:tc>
        <w:tc>
          <w:tcPr>
            <w:tcW w:w="1701" w:type="dxa"/>
            <w:vAlign w:val="center"/>
          </w:tcPr>
          <w:p w:rsidR="00877536" w:rsidRPr="00A6044C" w:rsidRDefault="00877536" w:rsidP="00877536">
            <w:r w:rsidRPr="00A6044C">
              <w:t>50,00</w:t>
            </w:r>
          </w:p>
        </w:tc>
        <w:tc>
          <w:tcPr>
            <w:tcW w:w="1134" w:type="dxa"/>
            <w:vAlign w:val="center"/>
          </w:tcPr>
          <w:p w:rsidR="00877536" w:rsidRPr="00E21E1C" w:rsidRDefault="00877536" w:rsidP="00877536">
            <w:r w:rsidRPr="00E21E1C">
              <w:t>3</w:t>
            </w:r>
          </w:p>
        </w:tc>
        <w:tc>
          <w:tcPr>
            <w:tcW w:w="1701" w:type="dxa"/>
            <w:vAlign w:val="center"/>
          </w:tcPr>
          <w:p w:rsidR="00877536" w:rsidRPr="002D7026" w:rsidRDefault="00877536" w:rsidP="00877536">
            <w:pPr>
              <w:jc w:val="right"/>
            </w:pPr>
            <w:r w:rsidRPr="002D7026">
              <w:t xml:space="preserve">            150,00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Cotoneaster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dammeri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Eichholz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6044C" w:rsidRDefault="00877536" w:rsidP="00877536">
            <w:r w:rsidRPr="00A6044C">
              <w:t>25,00</w:t>
            </w:r>
          </w:p>
        </w:tc>
        <w:tc>
          <w:tcPr>
            <w:tcW w:w="1134" w:type="dxa"/>
            <w:vAlign w:val="center"/>
          </w:tcPr>
          <w:p w:rsidR="00877536" w:rsidRPr="00E21E1C" w:rsidRDefault="00877536" w:rsidP="00877536">
            <w:r w:rsidRPr="00E21E1C">
              <w:t>100</w:t>
            </w:r>
          </w:p>
        </w:tc>
        <w:tc>
          <w:tcPr>
            <w:tcW w:w="1701" w:type="dxa"/>
            <w:vAlign w:val="center"/>
          </w:tcPr>
          <w:p w:rsidR="00877536" w:rsidRPr="002D7026" w:rsidRDefault="00877536" w:rsidP="00877536">
            <w:pPr>
              <w:jc w:val="right"/>
            </w:pPr>
            <w:r w:rsidRPr="002D7026">
              <w:t xml:space="preserve">         2 500,00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Cotoneaster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salicifolius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Gnom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6044C" w:rsidRDefault="00877536" w:rsidP="00877536">
            <w:r w:rsidRPr="00A6044C">
              <w:t>25,00</w:t>
            </w:r>
          </w:p>
        </w:tc>
        <w:tc>
          <w:tcPr>
            <w:tcW w:w="1134" w:type="dxa"/>
            <w:vAlign w:val="center"/>
          </w:tcPr>
          <w:p w:rsidR="00877536" w:rsidRPr="00E21E1C" w:rsidRDefault="00877536" w:rsidP="00877536">
            <w:r w:rsidRPr="00E21E1C">
              <w:t>100</w:t>
            </w:r>
          </w:p>
        </w:tc>
        <w:tc>
          <w:tcPr>
            <w:tcW w:w="1701" w:type="dxa"/>
            <w:vAlign w:val="center"/>
          </w:tcPr>
          <w:p w:rsidR="00877536" w:rsidRPr="002D7026" w:rsidRDefault="00877536" w:rsidP="00877536">
            <w:pPr>
              <w:jc w:val="right"/>
            </w:pPr>
            <w:r w:rsidRPr="002D7026">
              <w:t xml:space="preserve">         2 500,00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Genista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lydia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Pr="00A6044C" w:rsidRDefault="00877536" w:rsidP="00877536">
            <w:r w:rsidRPr="00A6044C">
              <w:t>120,00</w:t>
            </w:r>
          </w:p>
        </w:tc>
        <w:tc>
          <w:tcPr>
            <w:tcW w:w="1134" w:type="dxa"/>
            <w:vAlign w:val="center"/>
          </w:tcPr>
          <w:p w:rsidR="00877536" w:rsidRPr="00E21E1C" w:rsidRDefault="00877536" w:rsidP="00877536">
            <w:r w:rsidRPr="00E21E1C">
              <w:t>100</w:t>
            </w:r>
          </w:p>
        </w:tc>
        <w:tc>
          <w:tcPr>
            <w:tcW w:w="1701" w:type="dxa"/>
            <w:vAlign w:val="center"/>
          </w:tcPr>
          <w:p w:rsidR="00877536" w:rsidRPr="002D7026" w:rsidRDefault="00877536" w:rsidP="00877536">
            <w:pPr>
              <w:jc w:val="right"/>
            </w:pPr>
            <w:r w:rsidRPr="002D7026">
              <w:t xml:space="preserve">      12 000,00    </w:t>
            </w:r>
          </w:p>
        </w:tc>
      </w:tr>
      <w:tr w:rsidR="00877536" w:rsidRPr="00554552" w:rsidTr="00877536">
        <w:trPr>
          <w:trHeight w:val="40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36" w:rsidRPr="008957CF" w:rsidRDefault="00877536" w:rsidP="00877536">
            <w:pPr>
              <w:jc w:val="left"/>
              <w:rPr>
                <w:szCs w:val="24"/>
              </w:rPr>
            </w:pPr>
            <w:proofErr w:type="spellStart"/>
            <w:r w:rsidRPr="008957CF">
              <w:rPr>
                <w:szCs w:val="24"/>
              </w:rPr>
              <w:t>Cytisus</w:t>
            </w:r>
            <w:proofErr w:type="spellEnd"/>
            <w:r w:rsidRPr="008957CF">
              <w:rPr>
                <w:szCs w:val="24"/>
              </w:rPr>
              <w:t xml:space="preserve"> </w:t>
            </w:r>
            <w:proofErr w:type="spellStart"/>
            <w:r w:rsidRPr="008957CF">
              <w:rPr>
                <w:szCs w:val="24"/>
              </w:rPr>
              <w:t>decumbens</w:t>
            </w:r>
            <w:proofErr w:type="spellEnd"/>
          </w:p>
        </w:tc>
        <w:tc>
          <w:tcPr>
            <w:tcW w:w="1701" w:type="dxa"/>
            <w:vAlign w:val="center"/>
          </w:tcPr>
          <w:p w:rsidR="00877536" w:rsidRDefault="00877536" w:rsidP="00877536">
            <w:r w:rsidRPr="00A6044C">
              <w:t>85,00</w:t>
            </w:r>
          </w:p>
        </w:tc>
        <w:tc>
          <w:tcPr>
            <w:tcW w:w="1134" w:type="dxa"/>
            <w:vAlign w:val="center"/>
          </w:tcPr>
          <w:p w:rsidR="00877536" w:rsidRDefault="00877536" w:rsidP="00877536">
            <w:r w:rsidRPr="00E21E1C">
              <w:t>100</w:t>
            </w:r>
          </w:p>
        </w:tc>
        <w:tc>
          <w:tcPr>
            <w:tcW w:w="1701" w:type="dxa"/>
            <w:vAlign w:val="center"/>
          </w:tcPr>
          <w:p w:rsidR="00877536" w:rsidRDefault="00877536" w:rsidP="00877536">
            <w:pPr>
              <w:jc w:val="right"/>
            </w:pPr>
            <w:r w:rsidRPr="002D7026">
              <w:t xml:space="preserve">         8 500,00    </w:t>
            </w:r>
          </w:p>
        </w:tc>
      </w:tr>
      <w:tr w:rsidR="008957CF" w:rsidRPr="00554552" w:rsidTr="00793098">
        <w:trPr>
          <w:trHeight w:val="510"/>
        </w:trPr>
        <w:tc>
          <w:tcPr>
            <w:tcW w:w="4673" w:type="dxa"/>
            <w:noWrap/>
            <w:vAlign w:val="center"/>
          </w:tcPr>
          <w:p w:rsidR="008957CF" w:rsidRPr="00554552" w:rsidRDefault="008957CF" w:rsidP="00793098">
            <w:pPr>
              <w:jc w:val="lef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Celkem</w:t>
            </w:r>
          </w:p>
        </w:tc>
        <w:tc>
          <w:tcPr>
            <w:tcW w:w="1701" w:type="dxa"/>
            <w:vAlign w:val="center"/>
          </w:tcPr>
          <w:p w:rsidR="008957CF" w:rsidRPr="00554552" w:rsidRDefault="008957CF" w:rsidP="008957CF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57CF" w:rsidRPr="00554552" w:rsidRDefault="008957CF" w:rsidP="00793098">
            <w:pPr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8957CF" w:rsidRPr="00542630" w:rsidRDefault="00877536" w:rsidP="008957CF">
            <w:pPr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98 315,00</w:t>
            </w:r>
          </w:p>
        </w:tc>
      </w:tr>
    </w:tbl>
    <w:p w:rsidR="008D6FCF" w:rsidRDefault="008D6FCF" w:rsidP="008D6FCF">
      <w:pPr>
        <w:widowControl w:val="0"/>
        <w:suppressAutoHyphens/>
        <w:spacing w:after="120"/>
        <w:jc w:val="both"/>
      </w:pPr>
    </w:p>
    <w:p w:rsidR="00877794" w:rsidRDefault="00877794" w:rsidP="0091276D">
      <w:pPr>
        <w:widowControl w:val="0"/>
        <w:numPr>
          <w:ilvl w:val="0"/>
          <w:numId w:val="15"/>
        </w:numPr>
        <w:suppressAutoHyphens/>
        <w:spacing w:after="120"/>
        <w:jc w:val="both"/>
      </w:pPr>
      <w:r w:rsidRPr="00877794">
        <w:t>Přesná specifikace zboží je uvedena v Příloze č. 1 této smlouvy</w:t>
      </w:r>
      <w:r w:rsidR="0091276D">
        <w:t>.</w:t>
      </w:r>
    </w:p>
    <w:p w:rsidR="00FA3CEF" w:rsidRDefault="00FA3CEF" w:rsidP="0091276D">
      <w:pPr>
        <w:widowControl w:val="0"/>
        <w:numPr>
          <w:ilvl w:val="0"/>
          <w:numId w:val="15"/>
        </w:numPr>
        <w:suppressAutoHyphens/>
        <w:spacing w:after="120"/>
        <w:ind w:left="284" w:hanging="284"/>
        <w:jc w:val="both"/>
      </w:pPr>
      <w:r>
        <w:t>Zboží musí při převzetí splňovat normu ČSN 464902-1.</w:t>
      </w:r>
    </w:p>
    <w:p w:rsidR="0091276D" w:rsidRDefault="0091276D" w:rsidP="0091276D">
      <w:pPr>
        <w:widowControl w:val="0"/>
        <w:numPr>
          <w:ilvl w:val="0"/>
          <w:numId w:val="15"/>
        </w:numPr>
        <w:suppressAutoHyphens/>
        <w:spacing w:after="120"/>
        <w:ind w:left="284" w:hanging="284"/>
        <w:jc w:val="both"/>
      </w:pPr>
      <w:r>
        <w:t>Zboží bude</w:t>
      </w:r>
      <w:r w:rsidRPr="0091276D">
        <w:t xml:space="preserve"> při převzetí druhově rozlišen</w:t>
      </w:r>
      <w:r>
        <w:t>é</w:t>
      </w:r>
      <w:r w:rsidRPr="0091276D">
        <w:t>, zdrav</w:t>
      </w:r>
      <w:r>
        <w:t>é</w:t>
      </w:r>
      <w:r w:rsidRPr="0091276D">
        <w:t>, připraven</w:t>
      </w:r>
      <w:r>
        <w:t>é</w:t>
      </w:r>
      <w:r w:rsidRPr="0091276D">
        <w:t xml:space="preserve"> na expedici</w:t>
      </w:r>
      <w:r>
        <w:t>.</w:t>
      </w:r>
    </w:p>
    <w:bookmarkEnd w:id="0"/>
    <w:p w:rsidR="0001669C" w:rsidRDefault="0001669C" w:rsidP="0091276D">
      <w:pPr>
        <w:widowControl w:val="0"/>
        <w:numPr>
          <w:ilvl w:val="0"/>
          <w:numId w:val="15"/>
        </w:numPr>
        <w:suppressAutoHyphens/>
        <w:spacing w:after="120"/>
        <w:ind w:left="284" w:hanging="284"/>
        <w:jc w:val="both"/>
      </w:pPr>
      <w:r w:rsidRPr="00A949CF">
        <w:t>Kupující se zavazuje zboží převzít a prodávajícímu za poskytnuté plnění zaplatit za podmínek uvedených v této smlouvě kupní cenu dle čl</w:t>
      </w:r>
      <w:r w:rsidRPr="00B44859">
        <w:rPr>
          <w:color w:val="003366"/>
        </w:rPr>
        <w:t xml:space="preserve">. </w:t>
      </w:r>
      <w:r w:rsidRPr="00A949CF">
        <w:t>IV této smlouvy.</w:t>
      </w:r>
      <w:r>
        <w:t xml:space="preserve"> Dále se prodávající zavazuje </w:t>
      </w:r>
      <w:r w:rsidR="008D6FCF">
        <w:t xml:space="preserve">k </w:t>
      </w:r>
      <w:r w:rsidRPr="00A07EDB">
        <w:t>dodání veškerých návodů k použití a údržbě zboží</w:t>
      </w:r>
      <w:r w:rsidRPr="00B44859">
        <w:t xml:space="preserve"> v českém jazyce, veškeré technické a uživatelské dokumentace zboží v českém jazyce</w:t>
      </w:r>
      <w:r>
        <w:t>.</w:t>
      </w:r>
    </w:p>
    <w:p w:rsidR="0001669C" w:rsidRPr="00FA3803" w:rsidRDefault="0001669C" w:rsidP="0091276D">
      <w:pPr>
        <w:widowControl w:val="0"/>
        <w:numPr>
          <w:ilvl w:val="0"/>
          <w:numId w:val="15"/>
        </w:numPr>
        <w:suppressAutoHyphens/>
        <w:spacing w:after="120"/>
        <w:ind w:left="284" w:hanging="284"/>
        <w:jc w:val="both"/>
        <w:rPr>
          <w:b/>
          <w:bCs/>
        </w:rPr>
      </w:pPr>
      <w:r w:rsidRPr="00A949CF">
        <w:t>Prodávající prohlašuje, že na zboží neváznou žádné právní vady ve smyslu ustanovení § 1920 zákona č. 89/2012 Sb., občanského zákoníku.</w:t>
      </w:r>
    </w:p>
    <w:p w:rsidR="0001669C" w:rsidRPr="00A949CF" w:rsidRDefault="0001669C" w:rsidP="0001669C">
      <w:pPr>
        <w:keepNext/>
        <w:widowControl w:val="0"/>
        <w:tabs>
          <w:tab w:val="left" w:pos="-2410"/>
        </w:tabs>
        <w:spacing w:before="232" w:after="232" w:line="200" w:lineRule="atLeast"/>
      </w:pPr>
      <w:r w:rsidRPr="00A949CF">
        <w:rPr>
          <w:b/>
          <w:bCs/>
        </w:rPr>
        <w:t>IV.</w:t>
      </w:r>
      <w:r w:rsidRPr="00A949CF">
        <w:rPr>
          <w:b/>
          <w:bCs/>
        </w:rPr>
        <w:br/>
      </w:r>
      <w:r w:rsidRPr="00A949CF">
        <w:rPr>
          <w:b/>
          <w:bCs/>
          <w:caps/>
          <w:color w:val="000000"/>
        </w:rPr>
        <w:t>Kupní cena</w:t>
      </w:r>
    </w:p>
    <w:p w:rsidR="0001669C" w:rsidRDefault="0001669C" w:rsidP="0001669C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</w:pPr>
      <w:r>
        <w:t xml:space="preserve">Cena předmětu této smlouvy specifikovaného v čl. III. odst. 1 je stanovena dohodou smluvních stran na základě cenové nabídky prodávajícího a činí </w:t>
      </w:r>
      <w:r w:rsidR="00151D10">
        <w:t>celkem:</w:t>
      </w:r>
    </w:p>
    <w:p w:rsidR="0001669C" w:rsidRPr="009C5665" w:rsidRDefault="009C5665" w:rsidP="0001669C">
      <w:pPr>
        <w:widowControl w:val="0"/>
        <w:spacing w:line="240" w:lineRule="atLeast"/>
        <w:ind w:left="426"/>
        <w:jc w:val="left"/>
      </w:pPr>
      <w:r w:rsidRPr="009C5665">
        <w:t>Cena bez DPH:</w:t>
      </w:r>
      <w:r w:rsidR="000E05A4">
        <w:tab/>
      </w:r>
      <w:proofErr w:type="gramStart"/>
      <w:r w:rsidR="000E05A4">
        <w:tab/>
      </w:r>
      <w:r w:rsidR="00877536">
        <w:t xml:space="preserve">  98</w:t>
      </w:r>
      <w:r w:rsidR="00D82565">
        <w:t>.</w:t>
      </w:r>
      <w:r w:rsidR="00877536">
        <w:t>315</w:t>
      </w:r>
      <w:proofErr w:type="gramEnd"/>
      <w:r w:rsidR="000E05A4">
        <w:t>,00</w:t>
      </w:r>
    </w:p>
    <w:p w:rsidR="009C5665" w:rsidRDefault="000E05A4" w:rsidP="0001669C">
      <w:pPr>
        <w:widowControl w:val="0"/>
        <w:spacing w:line="240" w:lineRule="atLeast"/>
        <w:ind w:left="426"/>
        <w:jc w:val="left"/>
      </w:pPr>
      <w:r>
        <w:t>DPH – 15 %:</w:t>
      </w:r>
      <w:r>
        <w:tab/>
      </w:r>
      <w:proofErr w:type="gramStart"/>
      <w:r>
        <w:tab/>
        <w:t xml:space="preserve">  </w:t>
      </w:r>
      <w:r w:rsidR="00D82565" w:rsidRPr="00D82565">
        <w:t>14</w:t>
      </w:r>
      <w:r w:rsidR="00D82565">
        <w:t>.</w:t>
      </w:r>
      <w:r w:rsidR="00D82565" w:rsidRPr="00D82565">
        <w:t>747</w:t>
      </w:r>
      <w:proofErr w:type="gramEnd"/>
      <w:r w:rsidR="00D82565" w:rsidRPr="00D82565">
        <w:t>,25</w:t>
      </w:r>
      <w:r>
        <w:tab/>
      </w:r>
    </w:p>
    <w:p w:rsidR="000E05A4" w:rsidRPr="00D8590A" w:rsidRDefault="000E05A4" w:rsidP="0001669C">
      <w:pPr>
        <w:widowControl w:val="0"/>
        <w:spacing w:line="240" w:lineRule="atLeast"/>
        <w:ind w:left="426"/>
        <w:jc w:val="left"/>
        <w:rPr>
          <w:b/>
        </w:rPr>
      </w:pPr>
      <w:r w:rsidRPr="00D8590A">
        <w:rPr>
          <w:b/>
        </w:rPr>
        <w:t xml:space="preserve">Cena včetně DPH: </w:t>
      </w:r>
      <w:r w:rsidRPr="00D8590A">
        <w:rPr>
          <w:b/>
        </w:rPr>
        <w:tab/>
      </w:r>
      <w:r w:rsidR="00FC23F0">
        <w:rPr>
          <w:b/>
        </w:rPr>
        <w:t>113</w:t>
      </w:r>
      <w:r w:rsidR="00D8590A" w:rsidRPr="00D8590A">
        <w:rPr>
          <w:b/>
        </w:rPr>
        <w:t>.</w:t>
      </w:r>
      <w:r w:rsidR="00FC23F0">
        <w:rPr>
          <w:b/>
        </w:rPr>
        <w:t>062</w:t>
      </w:r>
      <w:r w:rsidR="00D8590A" w:rsidRPr="00D8590A">
        <w:rPr>
          <w:b/>
        </w:rPr>
        <w:t>,</w:t>
      </w:r>
      <w:r w:rsidR="00FC23F0">
        <w:rPr>
          <w:b/>
        </w:rPr>
        <w:t>2</w:t>
      </w:r>
      <w:r w:rsidR="00D8590A" w:rsidRPr="00D8590A">
        <w:rPr>
          <w:b/>
        </w:rPr>
        <w:t>5</w:t>
      </w:r>
    </w:p>
    <w:p w:rsidR="0001669C" w:rsidRDefault="00E46061" w:rsidP="00E46061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</w:pPr>
      <w:r>
        <w:t xml:space="preserve">Cena za jednotlivé druhy zboží je uvedena </w:t>
      </w:r>
      <w:r w:rsidR="005B0782">
        <w:t xml:space="preserve">v čl. III této smlouvy a </w:t>
      </w:r>
      <w:r>
        <w:t>v příloze č. 1 této smlouvy.</w:t>
      </w:r>
    </w:p>
    <w:p w:rsidR="0001669C" w:rsidRPr="00A949CF" w:rsidRDefault="0001669C" w:rsidP="0001669C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</w:pPr>
      <w:r w:rsidRPr="00A949CF">
        <w:t>Kupní cena je stanovena jako nejvýše přípustná a jsou v ní zahrnuty veškeré náklady prodávajícího spojené s plněním předmětu této smlouvy dle čl. III této smlouvy</w:t>
      </w:r>
      <w:proofErr w:type="gramStart"/>
      <w:r w:rsidRPr="00A949CF">
        <w:t>, ,</w:t>
      </w:r>
      <w:proofErr w:type="gramEnd"/>
      <w:r w:rsidRPr="00A949CF">
        <w:t xml:space="preserve"> jakož i veškeré </w:t>
      </w:r>
      <w:r>
        <w:t>náklady spojené s předmětem plnění, o kterých prodávající v době uzavření smlouvy s ohledem na předmět svého podnikání věděl, nebo vědět měl či mohl</w:t>
      </w:r>
      <w:r w:rsidRPr="00A949CF">
        <w:t>.</w:t>
      </w:r>
    </w:p>
    <w:p w:rsidR="0001669C" w:rsidRPr="00E46061" w:rsidRDefault="0001669C" w:rsidP="0001669C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  <w:rPr>
          <w:b/>
          <w:bCs/>
        </w:rPr>
      </w:pPr>
      <w:r w:rsidRPr="00A949CF">
        <w:t xml:space="preserve"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</w:t>
      </w:r>
      <w:r w:rsidRPr="00A949CF">
        <w:lastRenderedPageBreak/>
        <w:t>dohodly, že v případě změny kupní ceny v důsledku změny sazby DPH není nutno ke smlouvě uzavírat dodatek.</w:t>
      </w:r>
    </w:p>
    <w:p w:rsidR="0001669C" w:rsidRPr="00A949CF" w:rsidRDefault="0001669C" w:rsidP="0001669C">
      <w:pPr>
        <w:spacing w:before="227" w:after="232"/>
      </w:pPr>
      <w:r w:rsidRPr="00A949CF">
        <w:rPr>
          <w:b/>
          <w:bCs/>
        </w:rPr>
        <w:t>V.</w:t>
      </w:r>
      <w:r w:rsidRPr="00A949CF">
        <w:rPr>
          <w:b/>
          <w:bCs/>
        </w:rPr>
        <w:br/>
      </w:r>
      <w:r w:rsidRPr="00A949CF">
        <w:rPr>
          <w:b/>
          <w:bCs/>
          <w:caps/>
          <w:color w:val="000000"/>
        </w:rPr>
        <w:t>Místo a doba plnění</w:t>
      </w:r>
    </w:p>
    <w:p w:rsidR="00E83874" w:rsidRPr="00E50D79" w:rsidRDefault="00E83874" w:rsidP="00E50D79">
      <w:pPr>
        <w:numPr>
          <w:ilvl w:val="0"/>
          <w:numId w:val="6"/>
        </w:numPr>
        <w:tabs>
          <w:tab w:val="clear" w:pos="1440"/>
          <w:tab w:val="left" w:pos="360"/>
        </w:tabs>
        <w:suppressAutoHyphens/>
        <w:spacing w:before="120"/>
        <w:ind w:left="360"/>
        <w:jc w:val="both"/>
      </w:pPr>
      <w:r w:rsidRPr="00E50D79">
        <w:t xml:space="preserve">Dodání předmětu smlouvy bude probíhat </w:t>
      </w:r>
      <w:r w:rsidR="00FC23F0">
        <w:t>ihned po podpisu smlouvy</w:t>
      </w:r>
      <w:r w:rsidR="00D8590A">
        <w:t xml:space="preserve"> do</w:t>
      </w:r>
      <w:r w:rsidRPr="00E50D79">
        <w:t xml:space="preserve"> </w:t>
      </w:r>
      <w:r w:rsidR="00FC23F0">
        <w:t>30</w:t>
      </w:r>
      <w:r w:rsidRPr="00E50D79">
        <w:t xml:space="preserve">. </w:t>
      </w:r>
      <w:r w:rsidR="00FC23F0">
        <w:t>09</w:t>
      </w:r>
      <w:r w:rsidRPr="00E50D79">
        <w:t>. 201</w:t>
      </w:r>
      <w:r w:rsidR="00D8590A">
        <w:t>9</w:t>
      </w:r>
      <w:r w:rsidRPr="00E50D79">
        <w:t>.</w:t>
      </w:r>
    </w:p>
    <w:p w:rsidR="0001669C" w:rsidRDefault="0001669C" w:rsidP="0001669C">
      <w:pPr>
        <w:numPr>
          <w:ilvl w:val="0"/>
          <w:numId w:val="6"/>
        </w:numPr>
        <w:tabs>
          <w:tab w:val="left" w:pos="360"/>
        </w:tabs>
        <w:suppressAutoHyphens/>
        <w:spacing w:before="120"/>
        <w:ind w:left="360"/>
        <w:jc w:val="both"/>
      </w:pPr>
      <w:r w:rsidRPr="00A34644">
        <w:t>Termíny pro dodání zboží</w:t>
      </w:r>
      <w:r w:rsidR="00E46061">
        <w:t xml:space="preserve"> a</w:t>
      </w:r>
      <w:r w:rsidRPr="00A34644">
        <w:t xml:space="preserve"> jeho předání budou stanoveny na základě dohody kupujícího s prodávajícím dle potřeby kupujícího. </w:t>
      </w:r>
    </w:p>
    <w:p w:rsidR="00FA3CEF" w:rsidRDefault="00FA3CEF" w:rsidP="0001669C">
      <w:pPr>
        <w:numPr>
          <w:ilvl w:val="0"/>
          <w:numId w:val="6"/>
        </w:numPr>
        <w:tabs>
          <w:tab w:val="left" w:pos="360"/>
        </w:tabs>
        <w:suppressAutoHyphens/>
        <w:spacing w:before="120"/>
        <w:ind w:left="360"/>
        <w:jc w:val="both"/>
      </w:pPr>
      <w:r>
        <w:t xml:space="preserve">Dopravu </w:t>
      </w:r>
      <w:r w:rsidR="003641FA">
        <w:t xml:space="preserve">ze </w:t>
      </w:r>
      <w:r w:rsidR="00973AD5">
        <w:t>sídla</w:t>
      </w:r>
      <w:r w:rsidR="003641FA">
        <w:t xml:space="preserve"> prodávajícího</w:t>
      </w:r>
      <w:r w:rsidR="002E4F12">
        <w:t xml:space="preserve"> do sídla kupujícího na adrese Palackého 2281/29, Nový Jičín</w:t>
      </w:r>
      <w:r w:rsidR="003641FA">
        <w:t xml:space="preserve"> </w:t>
      </w:r>
      <w:r w:rsidR="00D8590A">
        <w:t xml:space="preserve">zajišťuje </w:t>
      </w:r>
      <w:r w:rsidR="00FC23F0">
        <w:t>kupující</w:t>
      </w:r>
      <w:r w:rsidR="00D8590A">
        <w:t>.</w:t>
      </w:r>
    </w:p>
    <w:p w:rsidR="0001669C" w:rsidRPr="00A949CF" w:rsidRDefault="0001669C" w:rsidP="0001669C">
      <w:pPr>
        <w:tabs>
          <w:tab w:val="left" w:pos="360"/>
        </w:tabs>
        <w:spacing w:before="120"/>
        <w:rPr>
          <w:b/>
          <w:bCs/>
          <w:caps/>
        </w:rPr>
      </w:pPr>
      <w:r w:rsidRPr="00A949CF">
        <w:rPr>
          <w:b/>
          <w:bCs/>
          <w:caps/>
        </w:rPr>
        <w:t>vI.</w:t>
      </w:r>
      <w:r w:rsidRPr="00A949CF">
        <w:rPr>
          <w:b/>
          <w:bCs/>
          <w:caps/>
        </w:rPr>
        <w:br/>
        <w:t>Dodání předmětu smlouvy a převod vlastnického práva</w:t>
      </w:r>
    </w:p>
    <w:p w:rsidR="0001669C" w:rsidRPr="00E83874" w:rsidRDefault="0001669C" w:rsidP="0001669C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before="120" w:line="240" w:lineRule="atLeast"/>
        <w:ind w:left="360"/>
        <w:jc w:val="both"/>
      </w:pPr>
      <w:r w:rsidRPr="00A949CF">
        <w:t>Předmět smlouvy je dodán jeho protokolárním předáním v</w:t>
      </w:r>
      <w:r>
        <w:t xml:space="preserve"> </w:t>
      </w:r>
      <w:r w:rsidRPr="00A949CF">
        <w:t>místě plnění ze strany prodávajícího a převzetím osobami pověřenými jeho převzetím ze strany kupujícího. Protokolární převzetí předmětu plnění bude provedeno až po dodání zboží.</w:t>
      </w:r>
      <w:r>
        <w:t xml:space="preserve"> </w:t>
      </w:r>
      <w:r w:rsidRPr="00D40A0D">
        <w:t>Nejpozději při předání předmětu této smlouvy je prodávající povinen předat kupujícímu veškeré návody k použití a údržbě zboží v českém jazyce, záruční listy a uživatelskou dokumentaci v českém jazyce. Prodávající při protokolárním předání předmětu této smlouvy kupujícímu ručí za to, že zboží je kompletní a plně funkční.</w:t>
      </w:r>
      <w:r w:rsidRPr="00D40A0D">
        <w:rPr>
          <w:sz w:val="22"/>
          <w:szCs w:val="22"/>
        </w:rPr>
        <w:t xml:space="preserve"> </w:t>
      </w:r>
    </w:p>
    <w:p w:rsidR="0001669C" w:rsidRPr="00A7054F" w:rsidRDefault="0001669C" w:rsidP="0001669C">
      <w:pPr>
        <w:pStyle w:val="Import14"/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Převzetím </w:t>
      </w:r>
      <w:r>
        <w:rPr>
          <w:rFonts w:ascii="Times New Roman" w:hAnsi="Times New Roman" w:cs="Times New Roman"/>
        </w:rPr>
        <w:t xml:space="preserve">předmětu smlouvy </w:t>
      </w:r>
      <w:r w:rsidRPr="00A949CF">
        <w:rPr>
          <w:rFonts w:ascii="Times New Roman" w:hAnsi="Times New Roman" w:cs="Times New Roman"/>
        </w:rPr>
        <w:t xml:space="preserve">je za kupujícího </w:t>
      </w:r>
      <w:r>
        <w:rPr>
          <w:rFonts w:ascii="Times New Roman" w:hAnsi="Times New Roman" w:cs="Times New Roman"/>
        </w:rPr>
        <w:t>pověřen určený zaměstnanec.</w:t>
      </w:r>
    </w:p>
    <w:p w:rsidR="0001669C" w:rsidRPr="00A949CF" w:rsidRDefault="0001669C" w:rsidP="0001669C">
      <w:pPr>
        <w:pStyle w:val="Import14"/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Vlastnické právo ke zboží a nebezpečí škody na něm přechází na kupujícího okamžikem jeho převzetí dle </w:t>
      </w:r>
      <w:r>
        <w:rPr>
          <w:rFonts w:ascii="Times New Roman" w:hAnsi="Times New Roman" w:cs="Times New Roman"/>
        </w:rPr>
        <w:t xml:space="preserve">čl. VI </w:t>
      </w:r>
      <w:r w:rsidRPr="00A949CF">
        <w:rPr>
          <w:rFonts w:ascii="Times New Roman" w:hAnsi="Times New Roman" w:cs="Times New Roman"/>
        </w:rPr>
        <w:t xml:space="preserve">odst. 1 </w:t>
      </w:r>
      <w:r>
        <w:rPr>
          <w:rFonts w:ascii="Times New Roman" w:hAnsi="Times New Roman" w:cs="Times New Roman"/>
        </w:rPr>
        <w:t xml:space="preserve">této </w:t>
      </w:r>
      <w:r w:rsidRPr="00A949CF">
        <w:rPr>
          <w:rFonts w:ascii="Times New Roman" w:hAnsi="Times New Roman" w:cs="Times New Roman"/>
        </w:rPr>
        <w:t xml:space="preserve">smlouvy. </w:t>
      </w:r>
    </w:p>
    <w:p w:rsidR="0001669C" w:rsidRPr="00A949CF" w:rsidRDefault="0001669C" w:rsidP="0001669C">
      <w:pPr>
        <w:pStyle w:val="Zkladntext"/>
        <w:spacing w:before="227" w:after="232"/>
        <w:ind w:firstLine="15"/>
        <w:jc w:val="center"/>
      </w:pPr>
      <w:r w:rsidRPr="00A949CF">
        <w:rPr>
          <w:b/>
          <w:bCs/>
        </w:rPr>
        <w:t>VII.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Platební podmínky</w:t>
      </w:r>
    </w:p>
    <w:p w:rsidR="0001669C" w:rsidRPr="00D40A0D" w:rsidRDefault="0001669C" w:rsidP="0001669C">
      <w:pPr>
        <w:widowControl w:val="0"/>
        <w:numPr>
          <w:ilvl w:val="0"/>
          <w:numId w:val="2"/>
        </w:numPr>
        <w:spacing w:after="120"/>
        <w:jc w:val="both"/>
        <w:rPr>
          <w:caps/>
        </w:rPr>
      </w:pPr>
      <w:r>
        <w:t xml:space="preserve">Kupní cena bude kupujícím uhrazena </w:t>
      </w:r>
      <w:r w:rsidRPr="00D40A0D">
        <w:t>prodávajícímu na základě faktury vystavené prodávajícím po řádném a včasném protokolárním předání předmětu této smlouvy kupujícímu, tj. po jeho dodání včetně veškeré dokumentace, seznámení zaměstnanců kupujícího s obsluhou zboží a jeho uvedení do trvalého</w:t>
      </w:r>
      <w:r>
        <w:t xml:space="preserve"> provozu.</w:t>
      </w:r>
    </w:p>
    <w:p w:rsidR="0001669C" w:rsidRDefault="0001669C" w:rsidP="0001669C">
      <w:pPr>
        <w:widowControl w:val="0"/>
        <w:numPr>
          <w:ilvl w:val="0"/>
          <w:numId w:val="2"/>
        </w:numPr>
        <w:spacing w:after="120"/>
        <w:jc w:val="both"/>
      </w:pPr>
      <w:r w:rsidRPr="00D40A0D">
        <w:t xml:space="preserve">Prodávající </w:t>
      </w:r>
      <w:r>
        <w:t xml:space="preserve">je </w:t>
      </w:r>
      <w:r w:rsidRPr="00D40A0D">
        <w:t xml:space="preserve">oprávněn fakturovat dohodnutou </w:t>
      </w:r>
      <w:r>
        <w:t>kupní cenu</w:t>
      </w:r>
      <w:r w:rsidRPr="00D40A0D">
        <w:t xml:space="preserve"> dle </w:t>
      </w:r>
      <w:bookmarkStart w:id="1" w:name="OLE_LINK26"/>
      <w:bookmarkStart w:id="2" w:name="OLE_LINK27"/>
      <w:bookmarkStart w:id="3" w:name="OLE_LINK28"/>
      <w:bookmarkStart w:id="4" w:name="OLE_LINK29"/>
      <w:bookmarkStart w:id="5" w:name="OLE_LINK30"/>
      <w:bookmarkStart w:id="6" w:name="OLE_LINK31"/>
      <w:bookmarkStart w:id="7" w:name="OLE_LINK32"/>
      <w:r w:rsidRPr="00D40A0D">
        <w:t>čl. I</w:t>
      </w:r>
      <w:r>
        <w:t>V</w:t>
      </w:r>
      <w:r w:rsidRPr="00D40A0D">
        <w:t xml:space="preserve"> odst. </w:t>
      </w:r>
      <w:r>
        <w:t>1</w:t>
      </w:r>
      <w:r w:rsidRPr="00D40A0D">
        <w:t xml:space="preserve"> této smlouvy</w:t>
      </w:r>
      <w:bookmarkEnd w:id="1"/>
      <w:bookmarkEnd w:id="2"/>
      <w:bookmarkEnd w:id="3"/>
      <w:bookmarkEnd w:id="4"/>
      <w:bookmarkEnd w:id="5"/>
      <w:bookmarkEnd w:id="6"/>
      <w:bookmarkEnd w:id="7"/>
      <w:r w:rsidRPr="00D40A0D">
        <w:t xml:space="preserve"> pouze za předpokladu, že skutečnosti uvedené</w:t>
      </w:r>
      <w:r>
        <w:t xml:space="preserve"> v odst. 1 tohoto článku</w:t>
      </w:r>
      <w:r w:rsidRPr="00D40A0D">
        <w:t xml:space="preserve"> byly písemně potvrzeny v  předávacím protokolu podepsaném prodávajícím a kupujícím. </w:t>
      </w:r>
    </w:p>
    <w:p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rPr>
          <w:caps/>
        </w:rPr>
        <w:t>P</w:t>
      </w:r>
      <w:r w:rsidRPr="00A949CF">
        <w:t>odkladem pro úhradu kupní ceny dodaného zboží bude faktura, která bude mít náležitosti daňového dokladu dle zákona č. 235/2004 Sb., o dani z přidané hodnoty, v platném znění (dále jen „faktura“). Faktura musí dále obsahovat:</w:t>
      </w:r>
    </w:p>
    <w:p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údaj o firmě, sídle a identifikačním čísle podávajícího; údaj o zápisu prodávajícího do obchodního rejstříku včetně spisové značky</w:t>
      </w:r>
    </w:p>
    <w:p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číslo a datum vystavení faktury,</w:t>
      </w:r>
    </w:p>
    <w:p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>předmět plnění a jeho přesnou specifikaci ve slovním vyjádření (nestačí pouze odkaz na číslo uzavřené smlouvy),</w:t>
      </w:r>
    </w:p>
    <w:p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>
        <w:t>celkovou fakturovanou částku</w:t>
      </w:r>
      <w:r w:rsidR="00973AD5">
        <w:t>,</w:t>
      </w:r>
      <w:r>
        <w:t xml:space="preserve"> </w:t>
      </w:r>
    </w:p>
    <w:p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>označení banky a čísla účtu, na který musí být zaplaceno</w:t>
      </w:r>
      <w:r w:rsidR="002E4F12">
        <w:t>,</w:t>
      </w:r>
      <w:r w:rsidRPr="00A949CF">
        <w:t xml:space="preserve"> </w:t>
      </w:r>
    </w:p>
    <w:p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left"/>
      </w:pPr>
      <w:r w:rsidRPr="00A949CF">
        <w:t>přílohou faktury bude dodací list</w:t>
      </w:r>
      <w:r w:rsidR="002E4F12">
        <w:t>,</w:t>
      </w:r>
    </w:p>
    <w:p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lhůtu splatnosti faktury,</w:t>
      </w:r>
    </w:p>
    <w:p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jméno osoby, která fakturu vystavila, včetně kontaktního telefonu.</w:t>
      </w:r>
    </w:p>
    <w:p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lastRenderedPageBreak/>
        <w:t xml:space="preserve">Lhůta splatnosti faktury je dohodou smluvních stran sjednána na </w:t>
      </w:r>
      <w:r w:rsidR="00E46061">
        <w:t>14</w:t>
      </w:r>
      <w:r w:rsidRPr="00A949CF">
        <w:t xml:space="preserve"> dnů ode dne jejího doručení kupujícímu. Stejná lhůta splatnosti platí i při placení jiných plateb (smluvních pokut, úroků z prodlení, náhrady škody apod.). Doručení faktury se provede </w:t>
      </w:r>
      <w:r>
        <w:t xml:space="preserve">elektronicky na e-mailovou adresu </w:t>
      </w:r>
      <w:hyperlink r:id="rId8" w:history="1">
        <w:r w:rsidR="002F369C" w:rsidRPr="007740DE">
          <w:rPr>
            <w:rStyle w:val="Hypertextovodkaz"/>
            <w:szCs w:val="20"/>
            <w:lang w:eastAsia="cs-CZ"/>
          </w:rPr>
          <w:t>XXXXXX</w:t>
        </w:r>
      </w:hyperlink>
      <w:r w:rsidR="00CF5697" w:rsidRPr="000A77CD">
        <w:rPr>
          <w:szCs w:val="20"/>
          <w:lang w:eastAsia="cs-CZ"/>
        </w:rPr>
        <w:t xml:space="preserve"> a </w:t>
      </w:r>
      <w:r w:rsidR="002F369C">
        <w:rPr>
          <w:rStyle w:val="Hypertextovodkaz"/>
          <w:szCs w:val="20"/>
          <w:lang w:eastAsia="cs-CZ"/>
        </w:rPr>
        <w:t>XXXXXX</w:t>
      </w:r>
      <w:r w:rsidRPr="00A949CF">
        <w:t xml:space="preserve"> nebo doručenkou prostřednictvím provozovatele poštovních služeb.</w:t>
      </w:r>
    </w:p>
    <w:p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>Povinnost zaplatit kupní cenu je splněna dnem odepsání příslušné částky z účtu kupujícího.</w:t>
      </w:r>
    </w:p>
    <w:p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  <w:rPr>
          <w:b/>
          <w:bCs/>
        </w:rPr>
      </w:pPr>
      <w:r w:rsidRPr="00A949CF"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:rsidR="0001669C" w:rsidRPr="00A949CF" w:rsidRDefault="009D2E93" w:rsidP="0001669C">
      <w:pPr>
        <w:pStyle w:val="Zkladntext"/>
        <w:widowControl w:val="0"/>
        <w:tabs>
          <w:tab w:val="left" w:pos="0"/>
          <w:tab w:val="left" w:pos="360"/>
        </w:tabs>
        <w:autoSpaceDE w:val="0"/>
        <w:spacing w:before="232" w:after="227"/>
        <w:jc w:val="center"/>
      </w:pPr>
      <w:r>
        <w:rPr>
          <w:b/>
          <w:bCs/>
        </w:rPr>
        <w:t>VIII</w:t>
      </w:r>
      <w:r w:rsidR="0001669C" w:rsidRPr="00A949CF">
        <w:rPr>
          <w:b/>
          <w:bCs/>
        </w:rPr>
        <w:t>.</w:t>
      </w:r>
      <w:r w:rsidR="0001669C" w:rsidRPr="00A949CF">
        <w:rPr>
          <w:b/>
          <w:bCs/>
        </w:rPr>
        <w:br/>
      </w:r>
      <w:r w:rsidR="0001669C" w:rsidRPr="00A949CF">
        <w:rPr>
          <w:b/>
          <w:bCs/>
          <w:caps/>
        </w:rPr>
        <w:t>Záruční podmínky</w:t>
      </w:r>
    </w:p>
    <w:p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 xml:space="preserve">Práva kupujícího z odpovědnosti za vady </w:t>
      </w:r>
      <w:r>
        <w:t xml:space="preserve">zboží </w:t>
      </w:r>
      <w:r w:rsidRPr="00A949CF">
        <w:t xml:space="preserve">se řídí </w:t>
      </w:r>
      <w:proofErr w:type="spellStart"/>
      <w:r w:rsidRPr="00A949CF">
        <w:t>ust</w:t>
      </w:r>
      <w:proofErr w:type="spellEnd"/>
      <w:r w:rsidRPr="00A949CF">
        <w:t>. § 2099 a násl. zákona č. 89/2012 Sb., občanského zákoníku, ve znění pozdějších předpisů</w:t>
      </w:r>
      <w:r>
        <w:t>, není-li níže stanoveno jinak.</w:t>
      </w:r>
      <w:r w:rsidRPr="00A949CF">
        <w:t xml:space="preserve"> </w:t>
      </w:r>
    </w:p>
    <w:p w:rsidR="00CF5697" w:rsidRDefault="00CF5697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>
        <w:t xml:space="preserve">Záruční lhůta je stavena na </w:t>
      </w:r>
      <w:r w:rsidR="002E4F12">
        <w:t>12</w:t>
      </w:r>
      <w:r>
        <w:rPr>
          <w:i/>
        </w:rPr>
        <w:t xml:space="preserve"> </w:t>
      </w:r>
      <w:r w:rsidRPr="00CF5697">
        <w:t>měsíců</w:t>
      </w:r>
      <w:r w:rsidR="002E4F12">
        <w:t>.</w:t>
      </w:r>
    </w:p>
    <w:p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Prodávající neodpovídá za vady, které byly způsobeny nesprávným užíváním uživatele nebo třetí osobou.</w:t>
      </w:r>
    </w:p>
    <w:p w:rsidR="00132308" w:rsidRPr="00A57B6E" w:rsidRDefault="00132308" w:rsidP="00DA4C1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Kupující je povinen uplatnit případnou reklamaci bezodkladně po zjištění vad. Reklamace vad musí být uplatněna telefonicky a neprodleně doplněna písemnou formou (rozumí se i e-mail). Pro nahlášení závady jsou k dispozici následující kontakty prodávajícího tel.: </w:t>
      </w:r>
      <w:r w:rsidR="002F369C">
        <w:t>XXXXXX</w:t>
      </w:r>
      <w:r w:rsidRPr="00A57B6E">
        <w:t xml:space="preserve">, e-mail: </w:t>
      </w:r>
      <w:r w:rsidR="002F369C">
        <w:rPr>
          <w:rStyle w:val="Hypertextovodkaz"/>
        </w:rPr>
        <w:t>XXXXXX.</w:t>
      </w:r>
      <w:r>
        <w:t xml:space="preserve"> </w:t>
      </w:r>
      <w:r w:rsidRPr="00A57B6E">
        <w:t>Jakmile kupující oznámí prodávajícímu vadu, bude se mít za to, že požaduje její bezplatné odstranění, neuvede-li v oznámení jinak.</w:t>
      </w:r>
    </w:p>
    <w:p w:rsidR="0001669C" w:rsidRPr="00A949CF" w:rsidRDefault="0001669C" w:rsidP="00DA4C1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>
        <w:t>Prodávající je povinen nejpozději do 24 hodin po obdržení reklamace písemně oznámit kupujícímu, zda reklamaci uznává či neuznává. Pokud tak neučiní, má se za to, že reklamaci uznává.</w:t>
      </w:r>
    </w:p>
    <w:p w:rsidR="0001669C" w:rsidRPr="00A57B6E" w:rsidRDefault="0001669C" w:rsidP="00DA4C1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Prodávající vždy musí kupujícímu písemně sdělit, v jakém termínu nastoupí k odstranění vad(y) s tím, že tento termín nástupu </w:t>
      </w:r>
      <w:r>
        <w:t xml:space="preserve">nesmí být delší než 72 hodin </w:t>
      </w:r>
      <w:r w:rsidRPr="00A57B6E">
        <w:t>od</w:t>
      </w:r>
      <w:r>
        <w:t xml:space="preserve"> písemného (</w:t>
      </w:r>
      <w:r w:rsidRPr="00A57B6E">
        <w:t>rozumí se i e-mail</w:t>
      </w:r>
      <w:r>
        <w:t>)</w:t>
      </w:r>
      <w:r w:rsidRPr="00A57B6E">
        <w:t xml:space="preserve"> </w:t>
      </w:r>
      <w:r>
        <w:t>nahlášení r</w:t>
      </w:r>
      <w:r w:rsidRPr="00A57B6E">
        <w:t xml:space="preserve">eklamace. Nestanoví-li prodávající termín nástupu k opravě, platí termín </w:t>
      </w:r>
      <w:r>
        <w:t xml:space="preserve">72 hodin </w:t>
      </w:r>
      <w:r w:rsidRPr="00A57B6E">
        <w:t>od</w:t>
      </w:r>
      <w:r>
        <w:t xml:space="preserve"> písemného (</w:t>
      </w:r>
      <w:r w:rsidRPr="00A57B6E">
        <w:t>rozumí se i e-mail</w:t>
      </w:r>
      <w:r>
        <w:t>)</w:t>
      </w:r>
      <w:r w:rsidRPr="00A57B6E">
        <w:t xml:space="preserve"> </w:t>
      </w:r>
      <w:r>
        <w:t>nahlášení r</w:t>
      </w:r>
      <w:r w:rsidRPr="00A57B6E">
        <w:t>eklamace</w:t>
      </w:r>
      <w:r>
        <w:t>.</w:t>
      </w:r>
      <w:r w:rsidRPr="00A57B6E">
        <w:t xml:space="preserve"> Nastoupit k odstranění vady v těchto termínech je prodávající povinen bez ohledu na to, zda reklamaci uznává či neuznává.</w:t>
      </w:r>
    </w:p>
    <w:p w:rsidR="0001669C" w:rsidRPr="00924048" w:rsidRDefault="0001669C" w:rsidP="00DA4C1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924048">
        <w:t xml:space="preserve">Pokud </w:t>
      </w:r>
      <w:r>
        <w:t xml:space="preserve">zboží </w:t>
      </w:r>
      <w:r w:rsidRPr="00924048">
        <w:t xml:space="preserve">není možno opravit, má kupující právo na výměnu takového vadného </w:t>
      </w:r>
      <w:r>
        <w:t>zboží</w:t>
      </w:r>
      <w:r w:rsidRPr="00924048">
        <w:t xml:space="preserve"> za nové případně právo od této smlouvy odstoupit. Nebude-li vada odstraněna do 30 kalendářních dnů od jejího oznámení, považuje se za neodstranitelnou a v téže lhůtě je prodávající povinen vadné </w:t>
      </w:r>
      <w:r>
        <w:t>zboží</w:t>
      </w:r>
      <w:r w:rsidRPr="00924048">
        <w:t xml:space="preserve"> vyměnit</w:t>
      </w:r>
      <w:r>
        <w:t xml:space="preserve"> za nové</w:t>
      </w:r>
      <w:r w:rsidRPr="00924048">
        <w:t xml:space="preserve">. Pokud dojde k výměně </w:t>
      </w:r>
      <w:r>
        <w:t>zboží</w:t>
      </w:r>
      <w:r w:rsidRPr="00924048">
        <w:t>, počíná na toto běžet dnem výměny záruční doba v délce dle odst</w:t>
      </w:r>
      <w:r>
        <w:t>. 2</w:t>
      </w:r>
      <w:r w:rsidRPr="00924048">
        <w:t xml:space="preserve"> tohoto článku.</w:t>
      </w:r>
    </w:p>
    <w:p w:rsidR="0001669C" w:rsidRPr="00A949CF" w:rsidRDefault="0001669C" w:rsidP="00DA4C1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O odstranění reklamované vady bude mezi smluvními stranami sepsán předávací protokol, ve kterém kupující buď potvrdí odstranění vady, nebo uvede důvody, pro které odmítá zboží převzít.</w:t>
      </w:r>
    </w:p>
    <w:p w:rsidR="0001669C" w:rsidRPr="00A949CF" w:rsidRDefault="0001669C" w:rsidP="00DA4C1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 xml:space="preserve">Neshodnou-li se smluvní strany v otázce uznatelnosti reklamace, nese náklady na odstranění reklamované vady v těchto sporných případech prodávající až do případného rozhodnutí soudu. Prokáže-li se, že kupující reklamoval neoprávněně, je kupující povinen </w:t>
      </w:r>
      <w:r w:rsidRPr="00A949CF">
        <w:lastRenderedPageBreak/>
        <w:t>uhradit prodávajícímu veškeré jemu v souvislosti s odstraněním vady vzniklé náklady.</w:t>
      </w:r>
    </w:p>
    <w:p w:rsidR="0001669C" w:rsidRPr="00DA4C1C" w:rsidRDefault="0001669C" w:rsidP="00DA4C1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Prodávající je povinen uhradit kupujícímu škodu, která mu vznikla vadným plněním, a to v plné výši. Prodávající rovněž kupujícímu uhradí náklady vzniklé při uplatňování práv z odpovědnosti za vady.</w:t>
      </w:r>
    </w:p>
    <w:p w:rsidR="0001669C" w:rsidRPr="00A949CF" w:rsidRDefault="009D2E93" w:rsidP="0001669C">
      <w:pPr>
        <w:spacing w:before="227" w:after="232"/>
        <w:ind w:left="-15"/>
      </w:pPr>
      <w:r>
        <w:rPr>
          <w:b/>
          <w:bCs/>
        </w:rPr>
        <w:t>I</w:t>
      </w:r>
      <w:r w:rsidR="0001669C">
        <w:rPr>
          <w:b/>
          <w:bCs/>
        </w:rPr>
        <w:t>X</w:t>
      </w:r>
      <w:r w:rsidR="0001669C" w:rsidRPr="00A949CF">
        <w:rPr>
          <w:b/>
          <w:bCs/>
        </w:rPr>
        <w:t>.</w:t>
      </w:r>
      <w:r w:rsidR="0001669C" w:rsidRPr="00A949CF">
        <w:rPr>
          <w:b/>
          <w:bCs/>
        </w:rPr>
        <w:br/>
      </w:r>
      <w:r w:rsidR="0001669C" w:rsidRPr="00A949CF">
        <w:rPr>
          <w:b/>
          <w:bCs/>
          <w:caps/>
        </w:rPr>
        <w:t>Sankce</w:t>
      </w:r>
    </w:p>
    <w:p w:rsidR="0001669C" w:rsidRPr="00A724BE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724BE">
        <w:rPr>
          <w:rFonts w:ascii="Times New Roman" w:hAnsi="Times New Roman" w:cs="Times New Roman"/>
        </w:rPr>
        <w:t xml:space="preserve">Pokud předmět této smlouvy nebo jeho část nebudou předány kupujícímu řádně a včas (čl. III odst. 1, čl. V. odst. 2 této smlouvy), má kupující právo účtovat prodávajícímu smluvní pokutu ve výši </w:t>
      </w:r>
      <w:r w:rsidR="00FF4B20">
        <w:rPr>
          <w:rFonts w:ascii="Times New Roman" w:hAnsi="Times New Roman" w:cs="Times New Roman"/>
        </w:rPr>
        <w:t>0,05 % z celkové hodnoty nedodaného zboží včetně DPH</w:t>
      </w:r>
      <w:r w:rsidRPr="00A724BE">
        <w:rPr>
          <w:rFonts w:ascii="Times New Roman" w:hAnsi="Times New Roman" w:cs="Times New Roman"/>
        </w:rPr>
        <w:t xml:space="preserve">, za každý i jen započatý den prodlení. Uplatněním smluvní pokuty není dotčeno právo kupujícího na případnou náhradu škody, která by mu vznikla v souvislosti s prodlením prodávajícího s plněním předmětu této smlouvy. </w:t>
      </w:r>
    </w:p>
    <w:p w:rsidR="0001669C" w:rsidRPr="00A949CF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V případě prodlení kupujícího s úhradou kupní ceny je prodávající oprávněn požadovat na kupujícím úrok z prodlení z dlužné částky ve výši stanovené občanskoprávními předpisy.</w:t>
      </w:r>
    </w:p>
    <w:p w:rsidR="0001669C" w:rsidRPr="00A12606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Smluvní pokuty se nezapočítávají na náhradu případně vzniklé škody, kterou lze vymáhat samostatně vedle smluvní pokuty, a to v plné výši.</w:t>
      </w:r>
    </w:p>
    <w:p w:rsidR="0001669C" w:rsidRPr="006764AA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Zaplacením kterékoli smluvní pokuty prodávajícím není nijak dotčeno právo kupujícího na náhradu škody.</w:t>
      </w:r>
    </w:p>
    <w:p w:rsidR="0001669C" w:rsidRPr="00A949CF" w:rsidRDefault="0001669C" w:rsidP="0001669C">
      <w:pPr>
        <w:spacing w:before="227" w:after="232"/>
        <w:ind w:left="-15"/>
      </w:pPr>
      <w:r w:rsidRPr="00A949CF">
        <w:rPr>
          <w:b/>
          <w:bCs/>
        </w:rPr>
        <w:t>X.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zánik smlouvy</w:t>
      </w:r>
    </w:p>
    <w:p w:rsidR="0001669C" w:rsidRPr="004A6864" w:rsidRDefault="0001669C" w:rsidP="0001669C">
      <w:pPr>
        <w:pStyle w:val="Import16"/>
        <w:tabs>
          <w:tab w:val="clear" w:pos="864"/>
        </w:tabs>
        <w:spacing w:after="12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Pr="004A6864">
        <w:rPr>
          <w:rFonts w:ascii="Times New Roman" w:hAnsi="Times New Roman" w:cs="Times New Roman"/>
        </w:rPr>
        <w:t>Tato smlouva zaniká:</w:t>
      </w:r>
    </w:p>
    <w:p w:rsidR="0001669C" w:rsidRPr="00A949CF" w:rsidRDefault="0001669C" w:rsidP="007B673D">
      <w:pPr>
        <w:pStyle w:val="Import3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960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písemnou dohodou smluvních stran,</w:t>
      </w:r>
    </w:p>
    <w:p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134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jednostranným odstoupením od smlouvy pro její podstatné porušení druhou smluvní stranou, s tím, že podstatným porušením smlouvy se rozumí zejména:</w:t>
      </w:r>
    </w:p>
    <w:p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opakované (nejméně 2x) nedodání zboží ve stanovené době plnění, </w:t>
      </w:r>
    </w:p>
    <w:p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pokud má dodané zboží opakovaně (nejméně ve dvou dodávkách) vady, které jej činí neupotřebitelným nebo nemá vlastnosti, které si kupující vymínil nebo o kterých ho prodávající ujistil, </w:t>
      </w:r>
    </w:p>
    <w:p w:rsidR="0001669C" w:rsidRPr="00A949CF" w:rsidRDefault="0001669C" w:rsidP="007B673D">
      <w:pPr>
        <w:pStyle w:val="Import3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nedodržení smluvních ujednání o záruce za jakost,</w:t>
      </w:r>
    </w:p>
    <w:p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320"/>
          <w:tab w:val="left" w:pos="1985"/>
        </w:tabs>
        <w:ind w:left="1276" w:hanging="425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neuhrazení kupní ceny kupujícím po druhé výzvě prodávajícího k uhrazení dlužné částky, přičemž druhá výzva nesmí následovat dříve než 30 dnů po doručení první výzvy.</w:t>
      </w:r>
    </w:p>
    <w:p w:rsidR="0001669C" w:rsidRPr="008B75E9" w:rsidRDefault="0001669C" w:rsidP="0001669C">
      <w:pPr>
        <w:pStyle w:val="Import5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Pro účely této smlouvy se pod pojmem „bez zbytečného odkladu“ rozumí nejpozději do </w:t>
      </w:r>
      <w:proofErr w:type="gramStart"/>
      <w:r>
        <w:rPr>
          <w:rFonts w:ascii="Times New Roman" w:hAnsi="Times New Roman" w:cs="Times New Roman"/>
          <w:bCs/>
        </w:rPr>
        <w:t>14-ti</w:t>
      </w:r>
      <w:proofErr w:type="gramEnd"/>
      <w:r>
        <w:rPr>
          <w:rFonts w:ascii="Times New Roman" w:hAnsi="Times New Roman" w:cs="Times New Roman"/>
          <w:bCs/>
        </w:rPr>
        <w:t xml:space="preserve"> dnů.</w:t>
      </w:r>
    </w:p>
    <w:p w:rsidR="008B75E9" w:rsidRDefault="008B75E9" w:rsidP="008B75E9">
      <w:pPr>
        <w:rPr>
          <w:b/>
          <w:bCs/>
        </w:rPr>
      </w:pPr>
      <w:r>
        <w:rPr>
          <w:b/>
          <w:bCs/>
        </w:rPr>
        <w:t>XI.</w:t>
      </w:r>
    </w:p>
    <w:p w:rsidR="008B75E9" w:rsidRDefault="005C4D58" w:rsidP="008B75E9">
      <w:pPr>
        <w:rPr>
          <w:b/>
          <w:bCs/>
        </w:rPr>
      </w:pPr>
      <w:r>
        <w:rPr>
          <w:b/>
          <w:bCs/>
        </w:rPr>
        <w:t>OCHRANA OSOBNÍCH ÚDAJ</w:t>
      </w:r>
      <w:r w:rsidR="00E23C54" w:rsidRPr="00E23C54">
        <w:rPr>
          <w:b/>
          <w:bCs/>
          <w:caps/>
        </w:rPr>
        <w:t>ů</w:t>
      </w:r>
    </w:p>
    <w:p w:rsidR="008B75E9" w:rsidRPr="00652B5A" w:rsidRDefault="008B75E9" w:rsidP="008B75E9">
      <w:pPr>
        <w:rPr>
          <w:b/>
          <w:bCs/>
        </w:rPr>
      </w:pPr>
    </w:p>
    <w:p w:rsidR="008B75E9" w:rsidRPr="00797CFD" w:rsidRDefault="008B75E9" w:rsidP="008B75E9">
      <w:pPr>
        <w:pStyle w:val="Import5"/>
        <w:numPr>
          <w:ilvl w:val="0"/>
          <w:numId w:val="1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97CFD">
        <w:rPr>
          <w:rFonts w:ascii="Times New Roman" w:hAnsi="Times New Roman" w:cs="Times New Roman"/>
          <w:bCs/>
          <w:sz w:val="23"/>
          <w:szCs w:val="23"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</w:t>
      </w:r>
    </w:p>
    <w:p w:rsidR="008B75E9" w:rsidRPr="00797CFD" w:rsidRDefault="008B75E9" w:rsidP="008B75E9">
      <w:pPr>
        <w:pStyle w:val="Import5"/>
        <w:numPr>
          <w:ilvl w:val="0"/>
          <w:numId w:val="1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97CFD">
        <w:rPr>
          <w:rFonts w:ascii="Times New Roman" w:hAnsi="Times New Roman" w:cs="Times New Roman"/>
          <w:bCs/>
          <w:sz w:val="23"/>
          <w:szCs w:val="23"/>
        </w:rPr>
        <w:t xml:space="preserve">Dále se smluvní strany zavazují, že v případě potřeby druhé strany vyvinou odpovídající </w:t>
      </w:r>
      <w:r w:rsidRPr="00797CFD">
        <w:rPr>
          <w:rFonts w:ascii="Times New Roman" w:hAnsi="Times New Roman" w:cs="Times New Roman"/>
          <w:bCs/>
          <w:sz w:val="23"/>
          <w:szCs w:val="23"/>
        </w:rPr>
        <w:lastRenderedPageBreak/>
        <w:t xml:space="preserve">součinnost při řešení problematiky OÚ dané smluvní strany. </w:t>
      </w:r>
    </w:p>
    <w:p w:rsidR="0001669C" w:rsidRPr="00A949CF" w:rsidRDefault="0001669C" w:rsidP="0001669C">
      <w:pPr>
        <w:spacing w:before="227" w:after="232"/>
      </w:pPr>
      <w:r w:rsidRPr="00A949CF">
        <w:rPr>
          <w:b/>
          <w:bCs/>
        </w:rPr>
        <w:t>X</w:t>
      </w:r>
      <w:r>
        <w:rPr>
          <w:b/>
          <w:bCs/>
        </w:rPr>
        <w:t>I</w:t>
      </w:r>
      <w:r w:rsidR="009D2E93">
        <w:rPr>
          <w:b/>
          <w:bCs/>
        </w:rPr>
        <w:t>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Závěrečná ustanovení</w:t>
      </w:r>
    </w:p>
    <w:p w:rsidR="0001669C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>Právní vztahy touto smlouvou neupravené se řídí zákonem č. 89/2012 Sb., občanským zákoníkem</w:t>
      </w:r>
      <w:r>
        <w:t>, ve znění pozdějších předpisů.</w:t>
      </w:r>
    </w:p>
    <w:p w:rsidR="0001669C" w:rsidRPr="00A949CF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Prodávající není oprávněn postoupit anebo převést jakákoliv svá práva anebo pohledávky vyplývající z této smlouvy anebo se smlouvou související na třetí osobu bez předchozího písemného souhlasu kupujícího, a to ani částečně. </w:t>
      </w:r>
    </w:p>
    <w:p w:rsidR="0001669C" w:rsidRPr="00A949CF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Smluvní strany tímto prohlašují, že skutečnosti uvedené v této smlouvě nepovažují za obchodní tajemství ve smyslu </w:t>
      </w:r>
      <w:proofErr w:type="spellStart"/>
      <w:r w:rsidRPr="00A949CF">
        <w:t>ust</w:t>
      </w:r>
      <w:proofErr w:type="spellEnd"/>
      <w:r w:rsidRPr="00A949CF">
        <w:t>. § 504 zákona č. 89/2012 Sb., občanského zákoníku a udělují svolení k jejich využití a zveřejnění bez stanovení jakýchkoliv dalších podmínek.</w:t>
      </w:r>
    </w:p>
    <w:p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Tato smlouva nabývá platnosti dnem podpisu oběma smluvními stranami.</w:t>
      </w:r>
    </w:p>
    <w:p w:rsidR="008B75E9" w:rsidRDefault="008B75E9" w:rsidP="008B75E9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360"/>
        <w:jc w:val="both"/>
      </w:pPr>
      <w:r>
        <w:t>Tato smlouva bude uveřejněna v registru smluv dle zákona číslo 340/2015 Sb., o zvláštních podmínkách účinnosti některých smluv, uveřejňování těchto smluv a o registru smluv (zákon o registru smluv), ve znění pozdějších předpisů.</w:t>
      </w:r>
    </w:p>
    <w:p w:rsidR="008B75E9" w:rsidRDefault="008B75E9" w:rsidP="008B75E9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360"/>
        <w:jc w:val="both"/>
      </w:pPr>
      <w:r>
        <w:t xml:space="preserve">Smlouvu bez zbytečného odkladu uveřejní </w:t>
      </w:r>
      <w:r w:rsidR="005C4D58">
        <w:t>kupující</w:t>
      </w:r>
      <w:r>
        <w:t xml:space="preserve">. </w:t>
      </w:r>
    </w:p>
    <w:p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Doplňování nebo změnu této smlouvy lze provádět jen se souhlasem obou smluvních stran, a to pouze formou písemných, datovaných, vzestupně číslovaných a takto označených dodatků.</w:t>
      </w:r>
    </w:p>
    <w:p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Stane-li se kterékoli ustanovení této smlouvy neplatným, neúčinným nebo nevykonatelným, zůstává platnost, účinnost a vykonatelnost ostatních ustanovení této smlouvy neovlivněna a nedotčena, nevyplývá-li z povahy daného ustanovení, obsahu smlouvy nebo okolností, za nichž bylo toto ustanovení vytvořeno, že toto ustanovení nelze oddělit od ostatního obsahu smlouvy</w:t>
      </w:r>
    </w:p>
    <w:p w:rsidR="007B673D" w:rsidRDefault="0001669C" w:rsidP="007B673D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Smluvní strany prohlašují, že osoby podepisující tuto smlouvu jsou k tomuto úkonu oprávněny.</w:t>
      </w:r>
    </w:p>
    <w:p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 xml:space="preserve">Smlouva je vyhotovena ve </w:t>
      </w:r>
      <w:r w:rsidR="008B75E9">
        <w:t>2</w:t>
      </w:r>
      <w:r w:rsidRPr="00A949CF">
        <w:t xml:space="preserve"> stejnopisech s platností originálu, podepsaných oprávněnými zástupci smluvních stran, přičemž kupující obdrží </w:t>
      </w:r>
      <w:r w:rsidR="008B75E9">
        <w:t>1</w:t>
      </w:r>
      <w:r w:rsidRPr="00A949CF">
        <w:t xml:space="preserve"> a prodávající 1 její vyhotovení.</w:t>
      </w:r>
    </w:p>
    <w:p w:rsidR="005C4D58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>
        <w:t>Přílohy této smlouvy:</w:t>
      </w:r>
      <w:r w:rsidR="000A77CD">
        <w:t xml:space="preserve"> </w:t>
      </w:r>
      <w:r>
        <w:t xml:space="preserve">Příloha č. 1 – Tabulka dodávaného zboží </w:t>
      </w:r>
      <w:r w:rsidR="000A77CD">
        <w:t>ze zadávacího řízení</w:t>
      </w:r>
    </w:p>
    <w:p w:rsidR="0001669C" w:rsidRDefault="0001669C" w:rsidP="0001669C">
      <w:pPr>
        <w:pStyle w:val="Zkladntext"/>
        <w:tabs>
          <w:tab w:val="left" w:pos="426"/>
          <w:tab w:val="left" w:pos="4820"/>
        </w:tabs>
        <w:ind w:left="426" w:hanging="426"/>
        <w:jc w:val="left"/>
      </w:pPr>
    </w:p>
    <w:p w:rsidR="0001669C" w:rsidRDefault="0001669C" w:rsidP="0001669C">
      <w:pPr>
        <w:pStyle w:val="Zkladntext"/>
        <w:tabs>
          <w:tab w:val="left" w:pos="4820"/>
        </w:tabs>
        <w:jc w:val="left"/>
      </w:pPr>
      <w:r w:rsidRPr="00A949CF">
        <w:t>V</w:t>
      </w:r>
      <w:r>
        <w:t> Novém Jičíně</w:t>
      </w:r>
      <w:r w:rsidRPr="00A949CF">
        <w:t xml:space="preserve"> dne</w:t>
      </w:r>
      <w:r w:rsidR="000A77CD">
        <w:t xml:space="preserve"> </w:t>
      </w:r>
      <w:r w:rsidR="00254E63">
        <w:t>20</w:t>
      </w:r>
      <w:r w:rsidR="000A77CD">
        <w:t>. 09. 2019</w:t>
      </w:r>
      <w:r w:rsidRPr="00A949CF">
        <w:tab/>
      </w:r>
      <w:r w:rsidRPr="00A949CF">
        <w:tab/>
      </w:r>
      <w:r w:rsidRPr="00A949CF">
        <w:tab/>
        <w:t>V</w:t>
      </w:r>
      <w:r w:rsidR="00FF4B20">
        <w:t xml:space="preserve"> Kuníně</w:t>
      </w:r>
      <w:r w:rsidRPr="00A949CF">
        <w:t xml:space="preserve"> dne</w:t>
      </w:r>
      <w:r w:rsidR="002F369C">
        <w:t xml:space="preserve"> 24. 09. 2019</w:t>
      </w:r>
      <w:bookmarkStart w:id="8" w:name="_GoBack"/>
      <w:bookmarkEnd w:id="8"/>
    </w:p>
    <w:p w:rsidR="0001669C" w:rsidRDefault="0001669C" w:rsidP="0001669C">
      <w:pPr>
        <w:pStyle w:val="Zkladntext"/>
        <w:tabs>
          <w:tab w:val="left" w:pos="4820"/>
        </w:tabs>
        <w:jc w:val="left"/>
      </w:pPr>
    </w:p>
    <w:p w:rsidR="0001669C" w:rsidRDefault="0001669C" w:rsidP="0001669C">
      <w:pPr>
        <w:pStyle w:val="Zkladntext"/>
        <w:tabs>
          <w:tab w:val="left" w:pos="4820"/>
        </w:tabs>
        <w:jc w:val="left"/>
      </w:pPr>
    </w:p>
    <w:p w:rsidR="0001669C" w:rsidRDefault="0001669C" w:rsidP="0001669C">
      <w:pPr>
        <w:pStyle w:val="Zkladntext"/>
        <w:tabs>
          <w:tab w:val="left" w:pos="4820"/>
        </w:tabs>
        <w:jc w:val="left"/>
      </w:pPr>
    </w:p>
    <w:p w:rsidR="0001669C" w:rsidRPr="00A949CF" w:rsidRDefault="0001669C" w:rsidP="0001669C">
      <w:pPr>
        <w:pStyle w:val="Zkladntext"/>
        <w:tabs>
          <w:tab w:val="left" w:pos="4820"/>
        </w:tabs>
        <w:jc w:val="left"/>
      </w:pPr>
    </w:p>
    <w:p w:rsidR="0001669C" w:rsidRPr="00A949CF" w:rsidRDefault="0001669C" w:rsidP="0001669C">
      <w:pPr>
        <w:tabs>
          <w:tab w:val="left" w:pos="5655"/>
        </w:tabs>
        <w:rPr>
          <w:i/>
          <w:iCs/>
        </w:rPr>
      </w:pPr>
      <w:r w:rsidRPr="00A949CF">
        <w:t>________________________</w:t>
      </w:r>
      <w:r w:rsidRPr="00A949CF">
        <w:tab/>
        <w:t>___________________________</w:t>
      </w:r>
      <w:r w:rsidRPr="00A949CF">
        <w:rPr>
          <w:i/>
          <w:iCs/>
        </w:rPr>
        <w:t xml:space="preserve">                 </w:t>
      </w:r>
    </w:p>
    <w:p w:rsidR="0001669C" w:rsidRDefault="0001669C" w:rsidP="0001669C">
      <w:pPr>
        <w:tabs>
          <w:tab w:val="left" w:pos="855"/>
          <w:tab w:val="left" w:pos="6510"/>
        </w:tabs>
        <w:jc w:val="left"/>
      </w:pPr>
      <w:r w:rsidRPr="00A949CF">
        <w:rPr>
          <w:i/>
          <w:iCs/>
        </w:rPr>
        <w:tab/>
      </w:r>
      <w:r w:rsidRPr="00A949CF">
        <w:t>za kupujícího</w:t>
      </w:r>
      <w:r w:rsidRPr="00A949CF">
        <w:tab/>
        <w:t>za prodávajícího</w:t>
      </w:r>
    </w:p>
    <w:p w:rsidR="000A77CD" w:rsidRDefault="000A77CD" w:rsidP="000A77CD">
      <w:pPr>
        <w:jc w:val="left"/>
      </w:pPr>
      <w:r>
        <w:t xml:space="preserve">    Ing. </w:t>
      </w:r>
      <w:r w:rsidR="002D1C27">
        <w:t>Pavel Tichý</w:t>
      </w:r>
      <w:r>
        <w:t xml:space="preserve">, ředitel                                   </w:t>
      </w:r>
      <w:r w:rsidR="002D1C27">
        <w:tab/>
      </w:r>
      <w:r w:rsidR="002D1C27">
        <w:tab/>
      </w:r>
      <w:r w:rsidR="00254E63">
        <w:t xml:space="preserve"> </w:t>
      </w:r>
      <w:r w:rsidR="00FF4B20">
        <w:t xml:space="preserve">   Ing. Jaroslav Kubálek</w:t>
      </w:r>
      <w:r w:rsidR="00254E63">
        <w:t>, jednatel</w:t>
      </w:r>
    </w:p>
    <w:p w:rsidR="00B44073" w:rsidRDefault="000A77CD" w:rsidP="000A77CD">
      <w:pPr>
        <w:jc w:val="left"/>
      </w:pPr>
      <w:r>
        <w:t xml:space="preserve">                                                                                                   </w:t>
      </w:r>
    </w:p>
    <w:sectPr w:rsidR="00B44073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240" w:rsidRDefault="00051240" w:rsidP="0001669C">
      <w:r>
        <w:separator/>
      </w:r>
    </w:p>
  </w:endnote>
  <w:endnote w:type="continuationSeparator" w:id="0">
    <w:p w:rsidR="00051240" w:rsidRDefault="00051240" w:rsidP="0001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C33" w:rsidRDefault="005A3C33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4295" cy="172720"/>
              <wp:effectExtent l="1270" t="635" r="635" b="762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3C33" w:rsidRDefault="005A3C3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</w:rPr>
                            <w:t>8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35pt;margin-top:.05pt;width:5.8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" stroked="f">
              <v:fill opacity="0"/>
              <v:textbox inset="0,0,0,0">
                <w:txbxContent>
                  <w:p w:rsidR="005A3C33" w:rsidRDefault="005A3C33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</w:rPr>
                      <w:t>8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240" w:rsidRDefault="00051240" w:rsidP="0001669C">
      <w:r>
        <w:separator/>
      </w:r>
    </w:p>
  </w:footnote>
  <w:footnote w:type="continuationSeparator" w:id="0">
    <w:p w:rsidR="00051240" w:rsidRDefault="00051240" w:rsidP="00016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548E374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04"/>
    <w:multiLevelType w:val="singleLevel"/>
    <w:tmpl w:val="6E38C2A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4EF0DA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</w:abstractNum>
  <w:abstractNum w:abstractNumId="4" w15:restartNumberingAfterBreak="0">
    <w:nsid w:val="00000007"/>
    <w:multiLevelType w:val="singleLevel"/>
    <w:tmpl w:val="A61298EE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8"/>
    <w:multiLevelType w:val="singleLevel"/>
    <w:tmpl w:val="8A207B2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b w:val="0"/>
        <w:color w:val="auto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B"/>
    <w:multiLevelType w:val="multilevel"/>
    <w:tmpl w:val="3BCECD54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12"/>
    <w:multiLevelType w:val="singleLevel"/>
    <w:tmpl w:val="0344CA3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2" w15:restartNumberingAfterBreak="0">
    <w:nsid w:val="20243F8E"/>
    <w:multiLevelType w:val="singleLevel"/>
    <w:tmpl w:val="0344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13" w15:restartNumberingAfterBreak="0">
    <w:nsid w:val="2DB94561"/>
    <w:multiLevelType w:val="singleLevel"/>
    <w:tmpl w:val="D5E664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4" w15:restartNumberingAfterBreak="0">
    <w:nsid w:val="3EE64709"/>
    <w:multiLevelType w:val="hybridMultilevel"/>
    <w:tmpl w:val="7FB258E6"/>
    <w:name w:val="WW8Num82"/>
    <w:lvl w:ilvl="0" w:tplc="817AAB5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77E43"/>
    <w:multiLevelType w:val="hybridMultilevel"/>
    <w:tmpl w:val="2F2C107A"/>
    <w:name w:val="WW8Num822"/>
    <w:lvl w:ilvl="0" w:tplc="C62868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B7B59"/>
    <w:multiLevelType w:val="multilevel"/>
    <w:tmpl w:val="3BCECD5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4"/>
  </w:num>
  <w:num w:numId="15">
    <w:abstractNumId w:val="16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FC"/>
    <w:rsid w:val="00004AFA"/>
    <w:rsid w:val="00013194"/>
    <w:rsid w:val="00016119"/>
    <w:rsid w:val="0001669C"/>
    <w:rsid w:val="00051240"/>
    <w:rsid w:val="000A51FE"/>
    <w:rsid w:val="000A77CD"/>
    <w:rsid w:val="000E034B"/>
    <w:rsid w:val="000E05A4"/>
    <w:rsid w:val="000E1164"/>
    <w:rsid w:val="0010264B"/>
    <w:rsid w:val="00105A12"/>
    <w:rsid w:val="00132308"/>
    <w:rsid w:val="00151D10"/>
    <w:rsid w:val="00155715"/>
    <w:rsid w:val="00162B0C"/>
    <w:rsid w:val="001B601D"/>
    <w:rsid w:val="0020428D"/>
    <w:rsid w:val="00254E63"/>
    <w:rsid w:val="002D151D"/>
    <w:rsid w:val="002D1C27"/>
    <w:rsid w:val="002E4F12"/>
    <w:rsid w:val="002E7BB1"/>
    <w:rsid w:val="002F369C"/>
    <w:rsid w:val="00333FBA"/>
    <w:rsid w:val="00353EFC"/>
    <w:rsid w:val="003641FA"/>
    <w:rsid w:val="003878ED"/>
    <w:rsid w:val="003B2D4C"/>
    <w:rsid w:val="00442D98"/>
    <w:rsid w:val="00471EA9"/>
    <w:rsid w:val="004A4DE5"/>
    <w:rsid w:val="004A4F59"/>
    <w:rsid w:val="004E4EAE"/>
    <w:rsid w:val="00535FB6"/>
    <w:rsid w:val="00542630"/>
    <w:rsid w:val="00554552"/>
    <w:rsid w:val="005A3C33"/>
    <w:rsid w:val="005B0782"/>
    <w:rsid w:val="005C1553"/>
    <w:rsid w:val="005C4D58"/>
    <w:rsid w:val="005C592F"/>
    <w:rsid w:val="005D5D32"/>
    <w:rsid w:val="00601F1E"/>
    <w:rsid w:val="00617B0E"/>
    <w:rsid w:val="0064763E"/>
    <w:rsid w:val="006D4360"/>
    <w:rsid w:val="00790744"/>
    <w:rsid w:val="00793098"/>
    <w:rsid w:val="007B673D"/>
    <w:rsid w:val="007C65EF"/>
    <w:rsid w:val="008450B9"/>
    <w:rsid w:val="008637CC"/>
    <w:rsid w:val="00877536"/>
    <w:rsid w:val="00877794"/>
    <w:rsid w:val="008957CF"/>
    <w:rsid w:val="008B75E9"/>
    <w:rsid w:val="008D6FCF"/>
    <w:rsid w:val="008E497E"/>
    <w:rsid w:val="00912070"/>
    <w:rsid w:val="0091276D"/>
    <w:rsid w:val="0092508E"/>
    <w:rsid w:val="00952E3A"/>
    <w:rsid w:val="00972FFB"/>
    <w:rsid w:val="00973AD5"/>
    <w:rsid w:val="00980EA0"/>
    <w:rsid w:val="00985DCA"/>
    <w:rsid w:val="009B2A52"/>
    <w:rsid w:val="009C5665"/>
    <w:rsid w:val="009D1703"/>
    <w:rsid w:val="009D2E93"/>
    <w:rsid w:val="009E3CD1"/>
    <w:rsid w:val="009E41CB"/>
    <w:rsid w:val="009E7CB2"/>
    <w:rsid w:val="00A07EDB"/>
    <w:rsid w:val="00A138FE"/>
    <w:rsid w:val="00A22363"/>
    <w:rsid w:val="00A36671"/>
    <w:rsid w:val="00A6426B"/>
    <w:rsid w:val="00A64358"/>
    <w:rsid w:val="00AA62EA"/>
    <w:rsid w:val="00AC4BBF"/>
    <w:rsid w:val="00AD3EC0"/>
    <w:rsid w:val="00AE03B3"/>
    <w:rsid w:val="00AE04A9"/>
    <w:rsid w:val="00AE6EA0"/>
    <w:rsid w:val="00B44073"/>
    <w:rsid w:val="00B95BEC"/>
    <w:rsid w:val="00BF4084"/>
    <w:rsid w:val="00C14072"/>
    <w:rsid w:val="00C63DE4"/>
    <w:rsid w:val="00C84BDD"/>
    <w:rsid w:val="00CF5697"/>
    <w:rsid w:val="00D26CB6"/>
    <w:rsid w:val="00D82565"/>
    <w:rsid w:val="00D8590A"/>
    <w:rsid w:val="00DA4C1C"/>
    <w:rsid w:val="00DB1F9D"/>
    <w:rsid w:val="00DB4188"/>
    <w:rsid w:val="00DD4D6D"/>
    <w:rsid w:val="00DF6BEA"/>
    <w:rsid w:val="00E02B11"/>
    <w:rsid w:val="00E23C54"/>
    <w:rsid w:val="00E46061"/>
    <w:rsid w:val="00E50D79"/>
    <w:rsid w:val="00E527E9"/>
    <w:rsid w:val="00E53C88"/>
    <w:rsid w:val="00E74A9D"/>
    <w:rsid w:val="00E83874"/>
    <w:rsid w:val="00EC51AF"/>
    <w:rsid w:val="00ED36E1"/>
    <w:rsid w:val="00EE01E2"/>
    <w:rsid w:val="00F11E59"/>
    <w:rsid w:val="00F2426E"/>
    <w:rsid w:val="00F253D2"/>
    <w:rsid w:val="00F74FAF"/>
    <w:rsid w:val="00F95FAF"/>
    <w:rsid w:val="00FA3CEF"/>
    <w:rsid w:val="00FC23F0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40477DE"/>
  <w15:docId w15:val="{00EBEF60-B44C-435E-835D-81D19F56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3EFC"/>
    <w:pPr>
      <w:jc w:val="center"/>
    </w:pPr>
    <w:rPr>
      <w:rFonts w:eastAsia="Times New Roman"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353EFC"/>
    <w:pPr>
      <w:keepNext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0166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353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353EFC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353EFC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53EFC"/>
    <w:rPr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353EFC"/>
    <w:rPr>
      <w:rFonts w:eastAsia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53E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character" w:customStyle="1" w:styleId="CharChar2">
    <w:name w:val="Char Char2"/>
    <w:uiPriority w:val="99"/>
    <w:rsid w:val="008637CC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0166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lostrnky">
    <w:name w:val="page number"/>
    <w:rsid w:val="0001669C"/>
    <w:rPr>
      <w:rFonts w:ascii="Times New Roman" w:hAnsi="Times New Roman" w:cs="Times New Roman"/>
    </w:rPr>
  </w:style>
  <w:style w:type="paragraph" w:customStyle="1" w:styleId="Smlouva-slo">
    <w:name w:val="Smlouva-číslo"/>
    <w:basedOn w:val="Normln"/>
    <w:rsid w:val="0001669C"/>
    <w:pPr>
      <w:suppressAutoHyphens/>
      <w:overflowPunct w:val="0"/>
      <w:autoSpaceDE w:val="0"/>
      <w:spacing w:before="120" w:line="240" w:lineRule="atLeast"/>
      <w:jc w:val="both"/>
      <w:textAlignment w:val="baseline"/>
    </w:pPr>
    <w:rPr>
      <w:szCs w:val="24"/>
      <w:lang w:eastAsia="zh-CN"/>
    </w:rPr>
  </w:style>
  <w:style w:type="paragraph" w:customStyle="1" w:styleId="slovanodstavectextu">
    <w:name w:val="Číslovaný odstavec textu"/>
    <w:basedOn w:val="Normln"/>
    <w:rsid w:val="0001669C"/>
    <w:pPr>
      <w:tabs>
        <w:tab w:val="left" w:pos="454"/>
        <w:tab w:val="left" w:pos="907"/>
        <w:tab w:val="left" w:pos="1361"/>
        <w:tab w:val="left" w:pos="1814"/>
      </w:tabs>
      <w:suppressAutoHyphens/>
      <w:spacing w:after="4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Import5">
    <w:name w:val="Import 5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3">
    <w:name w:val="Import 3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4">
    <w:name w:val="Import 14"/>
    <w:basedOn w:val="Normln"/>
    <w:rsid w:val="0001669C"/>
    <w:pPr>
      <w:widowControl w:val="0"/>
      <w:tabs>
        <w:tab w:val="left" w:pos="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6">
    <w:name w:val="Import 16"/>
    <w:basedOn w:val="Normln"/>
    <w:rsid w:val="0001669C"/>
    <w:pPr>
      <w:widowControl w:val="0"/>
      <w:tabs>
        <w:tab w:val="left" w:pos="864"/>
      </w:tabs>
      <w:suppressAutoHyphens/>
      <w:autoSpaceDE w:val="0"/>
      <w:ind w:hanging="144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slolnkuSmlouvy">
    <w:name w:val="ČísloČlánkuSmlouvy"/>
    <w:basedOn w:val="Normln"/>
    <w:next w:val="Normln"/>
    <w:rsid w:val="0001669C"/>
    <w:pPr>
      <w:keepNext/>
      <w:suppressAutoHyphens/>
      <w:spacing w:before="240"/>
    </w:pPr>
    <w:rPr>
      <w:b/>
      <w:bCs/>
      <w:szCs w:val="24"/>
      <w:lang w:eastAsia="zh-CN"/>
    </w:rPr>
  </w:style>
  <w:style w:type="paragraph" w:customStyle="1" w:styleId="OdstavecSmlouvy">
    <w:name w:val="OdstavecSmlouvy"/>
    <w:basedOn w:val="Normln"/>
    <w:rsid w:val="0001669C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016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669C"/>
    <w:rPr>
      <w:rFonts w:eastAsia="Times New Roman"/>
      <w:sz w:val="24"/>
      <w:szCs w:val="20"/>
    </w:rPr>
  </w:style>
  <w:style w:type="table" w:styleId="Mkatabulky">
    <w:name w:val="Table Grid"/>
    <w:basedOn w:val="Normlntabulka"/>
    <w:locked/>
    <w:rsid w:val="005B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F569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1276D"/>
    <w:pPr>
      <w:ind w:left="720"/>
      <w:contextualSpacing/>
      <w:jc w:val="left"/>
    </w:pPr>
    <w:rPr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C65EF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DD4D6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D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D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tsn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2498</Words>
  <Characters>15482</Characters>
  <Application>Microsoft Office Word</Application>
  <DocSecurity>0</DocSecurity>
  <Lines>129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 Bambuchova</cp:lastModifiedBy>
  <cp:revision>3</cp:revision>
  <cp:lastPrinted>2019-09-18T09:32:00Z</cp:lastPrinted>
  <dcterms:created xsi:type="dcterms:W3CDTF">2019-09-25T04:37:00Z</dcterms:created>
  <dcterms:modified xsi:type="dcterms:W3CDTF">2019-09-25T04:40:00Z</dcterms:modified>
</cp:coreProperties>
</file>