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pStyle w:val="Nadpis10"/>
        <w:shd w:val="clear" w:color="auto" w:fill="auto"/>
        <w:spacing w:before="0" w:after="0" w:line="260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CES:  34/2019                                                     </w:t>
      </w:r>
    </w:p>
    <w:p>
      <w:pPr>
        <w:pStyle w:val="Nadpis10"/>
        <w:shd w:val="clear" w:color="auto" w:fill="auto"/>
        <w:spacing w:before="0" w:after="0" w:line="260" w:lineRule="exact"/>
        <w:ind w:right="20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: 4285/SFDI/332138/12131/2019 </w:t>
      </w:r>
    </w:p>
    <w:p>
      <w:pPr>
        <w:pStyle w:val="Nadpis10"/>
        <w:shd w:val="clear" w:color="auto" w:fill="auto"/>
        <w:spacing w:before="0" w:after="0" w:line="260" w:lineRule="exact"/>
        <w:ind w:right="20"/>
        <w:jc w:val="right"/>
        <w:rPr>
          <w:b w:val="0"/>
          <w:sz w:val="24"/>
          <w:szCs w:val="24"/>
        </w:rPr>
      </w:pPr>
    </w:p>
    <w:p>
      <w:pPr>
        <w:pStyle w:val="Nadpis10"/>
        <w:shd w:val="clear" w:color="auto" w:fill="auto"/>
        <w:spacing w:before="0" w:after="0" w:line="260" w:lineRule="exact"/>
        <w:ind w:right="20"/>
        <w:jc w:val="right"/>
        <w:rPr>
          <w:b w:val="0"/>
          <w:sz w:val="24"/>
          <w:szCs w:val="24"/>
        </w:rPr>
      </w:pPr>
    </w:p>
    <w:p>
      <w:pPr>
        <w:pStyle w:val="Nadpis10"/>
        <w:shd w:val="clear" w:color="auto" w:fill="auto"/>
        <w:spacing w:before="0" w:after="0" w:line="260" w:lineRule="exact"/>
        <w:ind w:right="20"/>
        <w:jc w:val="right"/>
        <w:rPr>
          <w:b w:val="0"/>
          <w:sz w:val="24"/>
          <w:szCs w:val="24"/>
        </w:rPr>
      </w:pPr>
    </w:p>
    <w:p>
      <w:pPr>
        <w:pStyle w:val="Nadpis10"/>
        <w:shd w:val="clear" w:color="auto" w:fill="auto"/>
        <w:spacing w:before="0" w:after="0" w:line="260" w:lineRule="exact"/>
        <w:ind w:right="20"/>
        <w:rPr>
          <w:sz w:val="28"/>
        </w:rPr>
      </w:pPr>
      <w:r>
        <w:rPr>
          <w:sz w:val="28"/>
        </w:rPr>
        <w:t>Dohoda o započtení pohledávek a o vypořádání finančních závazků</w:t>
      </w:r>
    </w:p>
    <w:p/>
    <w:p>
      <w:pPr>
        <w:pStyle w:val="Nadpis20"/>
        <w:shd w:val="clear" w:color="auto" w:fill="auto"/>
        <w:spacing w:before="0" w:after="246" w:line="220" w:lineRule="exact"/>
      </w:pPr>
      <w:r>
        <w:t>Smluvní strany:</w:t>
      </w:r>
    </w:p>
    <w:p>
      <w:pPr>
        <w:pStyle w:val="Nadpis20"/>
        <w:shd w:val="clear" w:color="auto" w:fill="auto"/>
        <w:spacing w:before="0" w:after="0" w:line="220" w:lineRule="exact"/>
      </w:pPr>
      <w:r>
        <w:t>Státní fond dopravní infrastruktury</w:t>
      </w:r>
    </w:p>
    <w:p>
      <w:pPr>
        <w:pStyle w:val="Nadpis20"/>
        <w:shd w:val="clear" w:color="auto" w:fill="auto"/>
        <w:spacing w:before="0" w:after="0" w:line="220" w:lineRule="exact"/>
      </w:pPr>
    </w:p>
    <w:p>
      <w:pPr>
        <w:pStyle w:val="Zkladntext20"/>
        <w:shd w:val="clear" w:color="auto" w:fill="auto"/>
        <w:spacing w:after="0" w:line="270" w:lineRule="exact"/>
        <w:jc w:val="left"/>
      </w:pPr>
      <w:r>
        <w:t xml:space="preserve">se sídlem: </w:t>
      </w:r>
      <w:r>
        <w:tab/>
        <w:t>Sokolovská 1955/278, 190 00 Praha 9</w:t>
      </w:r>
    </w:p>
    <w:p>
      <w:pPr>
        <w:pStyle w:val="Zkladntext20"/>
        <w:shd w:val="clear" w:color="auto" w:fill="auto"/>
        <w:spacing w:after="0" w:line="270" w:lineRule="exact"/>
        <w:jc w:val="left"/>
      </w:pPr>
      <w:r>
        <w:t xml:space="preserve">IČO: </w:t>
      </w:r>
      <w:r>
        <w:tab/>
      </w:r>
      <w:r>
        <w:tab/>
        <w:t>70856508</w:t>
      </w:r>
    </w:p>
    <w:p>
      <w:pPr>
        <w:pStyle w:val="Zkladntext20"/>
        <w:shd w:val="clear" w:color="auto" w:fill="auto"/>
        <w:spacing w:after="0" w:line="270" w:lineRule="exact"/>
        <w:ind w:right="4220"/>
        <w:jc w:val="left"/>
      </w:pPr>
      <w:r>
        <w:t xml:space="preserve">zastoupený </w:t>
      </w:r>
      <w:r>
        <w:tab/>
        <w:t xml:space="preserve">Ing. Zbyňkem Hořelicou, ředitelem  </w:t>
      </w:r>
    </w:p>
    <w:p>
      <w:pPr>
        <w:pStyle w:val="Zkladntext20"/>
        <w:shd w:val="clear" w:color="auto" w:fill="auto"/>
        <w:spacing w:after="0" w:line="270" w:lineRule="exact"/>
        <w:ind w:right="4220"/>
        <w:jc w:val="left"/>
      </w:pPr>
      <w:r>
        <w:t xml:space="preserve"> číslo účtu: </w:t>
      </w:r>
      <w:r>
        <w:tab/>
      </w:r>
      <w:proofErr w:type="spellStart"/>
      <w:r>
        <w:t>xxx</w:t>
      </w:r>
      <w:proofErr w:type="spellEnd"/>
    </w:p>
    <w:p>
      <w:pPr>
        <w:pStyle w:val="Zkladntext20"/>
        <w:shd w:val="clear" w:color="auto" w:fill="auto"/>
        <w:spacing w:after="0" w:line="270" w:lineRule="exact"/>
        <w:ind w:right="4220"/>
        <w:jc w:val="left"/>
      </w:pPr>
    </w:p>
    <w:p>
      <w:pPr>
        <w:pStyle w:val="Zkladntext20"/>
        <w:shd w:val="clear" w:color="auto" w:fill="auto"/>
        <w:spacing w:after="0" w:line="274" w:lineRule="exact"/>
        <w:ind w:right="4220"/>
        <w:jc w:val="left"/>
      </w:pPr>
      <w:r>
        <w:t>na straně jedné (dále jen „SFDI“)</w:t>
      </w:r>
    </w:p>
    <w:p>
      <w:pPr>
        <w:pStyle w:val="Zkladntext20"/>
        <w:shd w:val="clear" w:color="auto" w:fill="auto"/>
        <w:spacing w:after="0" w:line="274" w:lineRule="exact"/>
        <w:ind w:right="4220"/>
        <w:jc w:val="left"/>
      </w:pPr>
    </w:p>
    <w:p>
      <w:r>
        <w:t>a</w:t>
      </w:r>
    </w:p>
    <w:p>
      <w:pPr>
        <w:pStyle w:val="Nadpis20"/>
        <w:shd w:val="clear" w:color="auto" w:fill="auto"/>
        <w:spacing w:before="0" w:after="254" w:line="240" w:lineRule="exact"/>
      </w:pPr>
      <w:proofErr w:type="spellStart"/>
      <w:r>
        <w:rPr>
          <w:color w:val="000000"/>
          <w:sz w:val="24"/>
          <w:szCs w:val="24"/>
          <w:lang w:bidi="cs-CZ"/>
        </w:rPr>
        <w:t>Ramala</w:t>
      </w:r>
      <w:proofErr w:type="spellEnd"/>
      <w:r>
        <w:rPr>
          <w:color w:val="000000"/>
          <w:sz w:val="24"/>
          <w:szCs w:val="24"/>
          <w:lang w:bidi="cs-CZ"/>
        </w:rPr>
        <w:t xml:space="preserve"> s.r.o.</w:t>
      </w:r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cs-CZ"/>
        </w:rPr>
        <w:t>se sídlem:</w:t>
      </w:r>
      <w:r>
        <w:rPr>
          <w:color w:val="000000"/>
          <w:sz w:val="24"/>
          <w:szCs w:val="24"/>
          <w:lang w:bidi="cs-CZ"/>
        </w:rPr>
        <w:tab/>
        <w:t>Budilovo nám. 356/7, 321 00 Plzeň-Litice</w:t>
      </w:r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cs-CZ"/>
        </w:rPr>
        <w:t>IČO:</w:t>
      </w:r>
      <w:r>
        <w:rPr>
          <w:color w:val="000000"/>
          <w:sz w:val="24"/>
          <w:szCs w:val="24"/>
          <w:lang w:bidi="cs-CZ"/>
        </w:rPr>
        <w:tab/>
        <w:t>27993388</w:t>
      </w:r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jc w:val="both"/>
      </w:pPr>
      <w:r>
        <w:rPr>
          <w:color w:val="000000"/>
          <w:sz w:val="24"/>
          <w:szCs w:val="24"/>
          <w:lang w:bidi="cs-CZ"/>
        </w:rPr>
        <w:t>DIČ:</w:t>
      </w:r>
      <w:r>
        <w:rPr>
          <w:color w:val="000000"/>
          <w:sz w:val="24"/>
          <w:szCs w:val="24"/>
          <w:lang w:bidi="cs-CZ"/>
        </w:rPr>
        <w:tab/>
        <w:t>CZ27993388</w:t>
      </w:r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ind w:right="4600"/>
        <w:jc w:val="left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zastoupený:    Radkem Muškou, jednatelem </w:t>
      </w:r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ind w:right="4600"/>
        <w:jc w:val="left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číslo účtu:</w:t>
      </w:r>
      <w:r>
        <w:rPr>
          <w:color w:val="000000"/>
          <w:sz w:val="24"/>
          <w:szCs w:val="24"/>
          <w:lang w:bidi="cs-CZ"/>
        </w:rPr>
        <w:tab/>
      </w:r>
      <w:proofErr w:type="spellStart"/>
      <w:r>
        <w:rPr>
          <w:color w:val="000000"/>
          <w:sz w:val="24"/>
          <w:szCs w:val="24"/>
          <w:lang w:bidi="cs-CZ"/>
        </w:rPr>
        <w:t>xxx</w:t>
      </w:r>
      <w:bookmarkStart w:id="0" w:name="_GoBack"/>
      <w:bookmarkEnd w:id="0"/>
      <w:proofErr w:type="spellEnd"/>
    </w:p>
    <w:p>
      <w:pPr>
        <w:pStyle w:val="Zkladntext20"/>
        <w:shd w:val="clear" w:color="auto" w:fill="auto"/>
        <w:tabs>
          <w:tab w:val="left" w:pos="1379"/>
        </w:tabs>
        <w:spacing w:after="0" w:line="274" w:lineRule="exact"/>
        <w:ind w:right="4600"/>
        <w:jc w:val="left"/>
      </w:pPr>
    </w:p>
    <w:p>
      <w:pPr>
        <w:pStyle w:val="Zkladntext20"/>
        <w:shd w:val="clear" w:color="auto" w:fill="auto"/>
        <w:spacing w:after="451" w:line="270" w:lineRule="exact"/>
        <w:ind w:right="4220"/>
        <w:jc w:val="left"/>
      </w:pPr>
      <w:r>
        <w:t>na straně druhá (dále jen „nájemce“)</w:t>
      </w:r>
    </w:p>
    <w:p>
      <w:pPr>
        <w:pStyle w:val="Zkladntext20"/>
        <w:shd w:val="clear" w:color="auto" w:fill="auto"/>
        <w:spacing w:after="0" w:line="306" w:lineRule="exact"/>
        <w:jc w:val="both"/>
      </w:pPr>
      <w:r>
        <w:t xml:space="preserve">uzavírají níže uvedeného dne, měsíce a roku dle </w:t>
      </w:r>
      <w:proofErr w:type="spellStart"/>
      <w:r>
        <w:t>ust</w:t>
      </w:r>
      <w:proofErr w:type="spellEnd"/>
      <w:r>
        <w:t xml:space="preserve">. § 1982 zákona č. 89/2012 Sb.,občanský zákoník, tuto </w:t>
      </w:r>
      <w:r>
        <w:rPr>
          <w:rStyle w:val="Zkladntext2Tun"/>
        </w:rPr>
        <w:t xml:space="preserve">dohodu o započtení pohledávek a o vypořádání finančních závazků </w:t>
      </w:r>
      <w:r>
        <w:t xml:space="preserve">(dále jen „dohoda </w:t>
      </w:r>
      <w:r>
        <w:br/>
        <w:t xml:space="preserve">o započtení“) vyplývajících z nájemní smlouvy CES SFDI č. 22/2011, </w:t>
      </w:r>
      <w:proofErr w:type="gramStart"/>
      <w:r>
        <w:t>Č.j.</w:t>
      </w:r>
      <w:proofErr w:type="gramEnd"/>
      <w:r>
        <w:t>: 1002/SFDI/3116/5440/2011 uzavřené dne 15. září 2011 ve znění Dodatku č. 1 ze dne 5. prosince 2011 a Dodatku č. 2 ze dne 29. července 2016 (dále jen „nájemní smlouva“):</w:t>
      </w:r>
    </w:p>
    <w:p>
      <w:pPr>
        <w:pStyle w:val="Zkladntext20"/>
        <w:shd w:val="clear" w:color="auto" w:fill="auto"/>
        <w:spacing w:after="0" w:line="306" w:lineRule="exact"/>
        <w:jc w:val="both"/>
      </w:pPr>
    </w:p>
    <w:p>
      <w:pPr>
        <w:pStyle w:val="Zkladntext20"/>
        <w:shd w:val="clear" w:color="auto" w:fill="auto"/>
        <w:spacing w:after="0" w:line="306" w:lineRule="exact"/>
        <w:jc w:val="both"/>
      </w:pPr>
    </w:p>
    <w:p>
      <w:pPr>
        <w:pStyle w:val="Zkladntext20"/>
        <w:shd w:val="clear" w:color="auto" w:fill="auto"/>
        <w:spacing w:after="0" w:line="306" w:lineRule="exact"/>
        <w:jc w:val="center"/>
        <w:rPr>
          <w:b/>
        </w:rPr>
      </w:pPr>
      <w:r>
        <w:rPr>
          <w:b/>
        </w:rPr>
        <w:t>I.</w:t>
      </w:r>
    </w:p>
    <w:p>
      <w:pPr>
        <w:pStyle w:val="Nadpis20"/>
        <w:shd w:val="clear" w:color="auto" w:fill="auto"/>
        <w:spacing w:before="0" w:after="193" w:line="220" w:lineRule="exact"/>
        <w:jc w:val="center"/>
      </w:pPr>
      <w:r>
        <w:t>Specifikace pohledávek</w:t>
      </w:r>
    </w:p>
    <w:p>
      <w:pPr>
        <w:pStyle w:val="Nadpis20"/>
        <w:shd w:val="clear" w:color="auto" w:fill="auto"/>
        <w:spacing w:before="0" w:after="193" w:line="220" w:lineRule="exact"/>
        <w:jc w:val="center"/>
      </w:pPr>
    </w:p>
    <w:p>
      <w:pPr>
        <w:pStyle w:val="Zkladntext20"/>
        <w:shd w:val="clear" w:color="auto" w:fill="auto"/>
        <w:spacing w:after="117" w:line="220" w:lineRule="exact"/>
        <w:jc w:val="both"/>
      </w:pPr>
      <w:r>
        <w:t>1. SFDI a nájemce shodně prohlašují, že</w:t>
      </w:r>
    </w:p>
    <w:p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114" w:line="310" w:lineRule="exact"/>
        <w:jc w:val="both"/>
      </w:pPr>
      <w:r>
        <w:t xml:space="preserve">nájemce v souladu s odst. </w:t>
      </w:r>
      <w:proofErr w:type="gramStart"/>
      <w:r>
        <w:t>3.4. nájemní</w:t>
      </w:r>
      <w:proofErr w:type="gramEnd"/>
      <w:r>
        <w:t xml:space="preserve"> smlouvy složil po uzavření nájemní smlouvy na účet SFDI jistotu ve výši 110 000,-Kč, která byla zachována po dobu platnosti nájemní smlouvy, aby byla použita pro úhradu nájemného v případě výpovědi nájemní smlouvy nebo k úhradě dlužného nájemného. </w:t>
      </w:r>
    </w:p>
    <w:p>
      <w:pPr>
        <w:pStyle w:val="Zkladntext20"/>
        <w:shd w:val="clear" w:color="auto" w:fill="auto"/>
        <w:tabs>
          <w:tab w:val="left" w:pos="505"/>
        </w:tabs>
        <w:spacing w:after="114" w:line="310" w:lineRule="exact"/>
        <w:jc w:val="both"/>
      </w:pPr>
    </w:p>
    <w:p>
      <w:pPr>
        <w:pStyle w:val="Zkladntext20"/>
        <w:shd w:val="clear" w:color="auto" w:fill="auto"/>
        <w:tabs>
          <w:tab w:val="left" w:pos="505"/>
        </w:tabs>
        <w:spacing w:after="114" w:line="310" w:lineRule="exact"/>
        <w:jc w:val="both"/>
      </w:pPr>
    </w:p>
    <w:p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114" w:line="310" w:lineRule="exact"/>
        <w:jc w:val="both"/>
      </w:pPr>
      <w:r>
        <w:t xml:space="preserve">Tato částka je ke dni podpisu této dohody o započtení splatnou pohledávkou nájemce za SFDI </w:t>
      </w:r>
      <w:r>
        <w:br/>
        <w:t>a je předmětem započtení dle této dohody o započtení.</w:t>
      </w:r>
    </w:p>
    <w:p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317" w:lineRule="exact"/>
        <w:jc w:val="both"/>
      </w:pPr>
      <w:r>
        <w:t xml:space="preserve">SFDI vede ke dni podpisu této dohody o započtení ve svém účetnictví níže uvedené pohledávky za nájemcem v celkové výši 98 097,13 Kč, a které jsou předmětem započtení dle této dohody </w:t>
      </w:r>
      <w:r>
        <w:br/>
        <w:t>o započtení:</w:t>
      </w:r>
    </w:p>
    <w:p>
      <w:pPr>
        <w:pStyle w:val="Zkladntext20"/>
        <w:numPr>
          <w:ilvl w:val="0"/>
          <w:numId w:val="2"/>
        </w:numPr>
        <w:shd w:val="clear" w:color="auto" w:fill="auto"/>
        <w:tabs>
          <w:tab w:val="left" w:pos="235"/>
        </w:tabs>
        <w:spacing w:after="0" w:line="313" w:lineRule="exact"/>
        <w:jc w:val="both"/>
      </w:pPr>
      <w:r>
        <w:t>pohledávku na částku 8 263,80 Kč z titulu úroků z prodlení dle přílohy č. 1 dohody o započtení - Výpočet úroků z prodlení,</w:t>
      </w:r>
    </w:p>
    <w:p>
      <w:pPr>
        <w:pStyle w:val="Zkladntext20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317" w:lineRule="exact"/>
        <w:jc w:val="both"/>
      </w:pPr>
      <w:r>
        <w:t xml:space="preserve">pohledávku na </w:t>
      </w:r>
      <w:proofErr w:type="gramStart"/>
      <w:r>
        <w:t>55 000 ,- Kč</w:t>
      </w:r>
      <w:proofErr w:type="gramEnd"/>
      <w:r>
        <w:t xml:space="preserve"> z titulu neuhrazené faktury č. FAV 20190049 za nájemné se splatností 15. 08. 2019,</w:t>
      </w:r>
    </w:p>
    <w:p>
      <w:pPr>
        <w:pStyle w:val="Zkladntext20"/>
        <w:numPr>
          <w:ilvl w:val="0"/>
          <w:numId w:val="2"/>
        </w:numPr>
        <w:shd w:val="clear" w:color="auto" w:fill="auto"/>
        <w:tabs>
          <w:tab w:val="left" w:pos="231"/>
        </w:tabs>
        <w:spacing w:after="246" w:line="313" w:lineRule="exact"/>
        <w:jc w:val="both"/>
      </w:pPr>
      <w:r>
        <w:t>pohledávku na částku 34 833,33 Kč z titulu neuhrazené faktury č. FAV 20190053 za nájemné se splatností 16. 09. 2019.</w:t>
      </w:r>
    </w:p>
    <w:p>
      <w:pPr>
        <w:pStyle w:val="Zkladntext20"/>
        <w:shd w:val="clear" w:color="auto" w:fill="auto"/>
        <w:spacing w:after="0" w:line="306" w:lineRule="exact"/>
        <w:jc w:val="both"/>
      </w:pPr>
    </w:p>
    <w:p>
      <w:pPr>
        <w:pStyle w:val="Zkladntext20"/>
        <w:shd w:val="clear" w:color="auto" w:fill="auto"/>
        <w:spacing w:after="0" w:line="306" w:lineRule="exact"/>
        <w:jc w:val="center"/>
        <w:rPr>
          <w:b/>
        </w:rPr>
      </w:pPr>
      <w:r>
        <w:rPr>
          <w:b/>
        </w:rPr>
        <w:t>II.</w:t>
      </w:r>
    </w:p>
    <w:p>
      <w:pPr>
        <w:pStyle w:val="Nadpis20"/>
        <w:shd w:val="clear" w:color="auto" w:fill="auto"/>
        <w:spacing w:before="0" w:after="124" w:line="220" w:lineRule="exact"/>
        <w:jc w:val="center"/>
      </w:pPr>
      <w:r>
        <w:t>Započtení pohledávek</w:t>
      </w:r>
    </w:p>
    <w:p>
      <w:pPr>
        <w:pStyle w:val="Zkladntext20"/>
        <w:numPr>
          <w:ilvl w:val="0"/>
          <w:numId w:val="3"/>
        </w:numPr>
        <w:shd w:val="clear" w:color="auto" w:fill="auto"/>
        <w:tabs>
          <w:tab w:val="left" w:pos="505"/>
        </w:tabs>
        <w:spacing w:after="120" w:line="306" w:lineRule="exact"/>
        <w:jc w:val="both"/>
      </w:pPr>
      <w:r>
        <w:t xml:space="preserve">Smluvní strany se dohodly, že na základě této dohody o započtení bude ke dni nabytí účinnosti dohody o započtení provedeno vzájemné započtení pohledávek specifikovaných v čl. I této dohody </w:t>
      </w:r>
      <w:r>
        <w:br/>
        <w:t xml:space="preserve">o započtení v rozsahu 98 097,13 Kč (slovy: </w:t>
      </w:r>
      <w:proofErr w:type="spellStart"/>
      <w:r>
        <w:t>Devadesátosmtisícdevadesátsedmkoruntřinácthaléřů</w:t>
      </w:r>
      <w:proofErr w:type="spellEnd"/>
      <w:r>
        <w:t xml:space="preserve"> českých).</w:t>
      </w:r>
    </w:p>
    <w:p>
      <w:pPr>
        <w:pStyle w:val="Zkladntext20"/>
        <w:numPr>
          <w:ilvl w:val="0"/>
          <w:numId w:val="3"/>
        </w:numPr>
        <w:shd w:val="clear" w:color="auto" w:fill="auto"/>
        <w:tabs>
          <w:tab w:val="left" w:pos="505"/>
        </w:tabs>
        <w:spacing w:after="0" w:line="306" w:lineRule="exact"/>
        <w:jc w:val="both"/>
      </w:pPr>
      <w:r>
        <w:t xml:space="preserve">V rozsahu provedeného započtení dle odst. </w:t>
      </w:r>
      <w:proofErr w:type="gramStart"/>
      <w:r>
        <w:t>2.1. dojde</w:t>
      </w:r>
      <w:proofErr w:type="gramEnd"/>
      <w:r>
        <w:t xml:space="preserve"> k částečnému zániku pohledávky nájemce za SFDI specifikované v odst. 1.1. a k zániku pohledávek SFDI za nájemcem specifikovaných </w:t>
      </w:r>
      <w:r>
        <w:br/>
        <w:t xml:space="preserve">v odst. 1.3. ve výši 98 097,13 Kč. Nevypořádaná zůstává po započtení pohledávka nájemce za SFDI ve výši 11 902,87 Kč (slovy: </w:t>
      </w:r>
      <w:proofErr w:type="spellStart"/>
      <w:r>
        <w:t>Jedenácttisícdevětsetdvěkorunyosmdesátsedmhaléřů</w:t>
      </w:r>
      <w:proofErr w:type="spellEnd"/>
      <w:r>
        <w:t xml:space="preserve"> českých), tj. rozdíl mezi jistotou a započtenou pohledávkou SFDI.</w:t>
      </w:r>
    </w:p>
    <w:p>
      <w:pPr>
        <w:pStyle w:val="Zkladntext20"/>
        <w:shd w:val="clear" w:color="auto" w:fill="auto"/>
        <w:tabs>
          <w:tab w:val="left" w:pos="505"/>
        </w:tabs>
        <w:spacing w:after="0" w:line="306" w:lineRule="exact"/>
        <w:jc w:val="both"/>
        <w:rPr>
          <w:highlight w:val="yellow"/>
        </w:rPr>
      </w:pPr>
    </w:p>
    <w:p>
      <w:pPr>
        <w:pStyle w:val="Zkladntext20"/>
        <w:shd w:val="clear" w:color="auto" w:fill="auto"/>
        <w:tabs>
          <w:tab w:val="left" w:pos="505"/>
        </w:tabs>
        <w:spacing w:after="0" w:line="306" w:lineRule="exact"/>
        <w:jc w:val="both"/>
        <w:rPr>
          <w:highlight w:val="yellow"/>
        </w:rPr>
      </w:pPr>
    </w:p>
    <w:p>
      <w:pPr>
        <w:pStyle w:val="Zkladntext20"/>
        <w:shd w:val="clear" w:color="auto" w:fill="auto"/>
        <w:tabs>
          <w:tab w:val="left" w:pos="505"/>
        </w:tabs>
        <w:spacing w:after="0" w:line="306" w:lineRule="exact"/>
        <w:jc w:val="center"/>
        <w:rPr>
          <w:b/>
        </w:rPr>
      </w:pPr>
      <w:r>
        <w:rPr>
          <w:b/>
        </w:rPr>
        <w:t>III.</w:t>
      </w:r>
    </w:p>
    <w:p>
      <w:pPr>
        <w:pStyle w:val="Nadpis20"/>
        <w:shd w:val="clear" w:color="auto" w:fill="auto"/>
        <w:spacing w:before="0" w:after="180" w:line="220" w:lineRule="exact"/>
        <w:jc w:val="center"/>
      </w:pPr>
      <w:r>
        <w:t>Uznání závazku a jeho vypořádání</w:t>
      </w:r>
    </w:p>
    <w:p>
      <w:pPr>
        <w:pStyle w:val="Zkladntext20"/>
        <w:numPr>
          <w:ilvl w:val="0"/>
          <w:numId w:val="4"/>
        </w:numPr>
        <w:shd w:val="clear" w:color="auto" w:fill="auto"/>
        <w:tabs>
          <w:tab w:val="left" w:pos="471"/>
        </w:tabs>
        <w:spacing w:after="114" w:line="306" w:lineRule="exact"/>
        <w:jc w:val="both"/>
      </w:pPr>
      <w:r>
        <w:t xml:space="preserve">Nevypořádanou pohledávku nájemce za SFDI uvedenou v odst. </w:t>
      </w:r>
      <w:proofErr w:type="gramStart"/>
      <w:r>
        <w:t>2.2. ve</w:t>
      </w:r>
      <w:proofErr w:type="gramEnd"/>
      <w:r>
        <w:t xml:space="preserve"> výši 11 902,87  Kč (slovy: </w:t>
      </w:r>
      <w:proofErr w:type="spellStart"/>
      <w:r>
        <w:t>Jedenácttisícdevětsetdvěkorunyosmdesátsedmhaléřů</w:t>
      </w:r>
      <w:proofErr w:type="spellEnd"/>
      <w:r>
        <w:t xml:space="preserve"> </w:t>
      </w:r>
      <w:proofErr w:type="gramStart"/>
      <w:r>
        <w:t>českých ) uznává</w:t>
      </w:r>
      <w:proofErr w:type="gramEnd"/>
      <w:r>
        <w:t xml:space="preserve"> SFDI  za svůj pravý a splatný dluh a zavazuje se jej uhradit jednorázově bankovním převodem dlužné částky  11 902,87 Kč na účet nájemce uvedený v záhlaví této dohody o započtení ve lhůtě do 14 (čtrnáct) kalendářních dnů od nabytí účinnosti této dohody o započtení. Lhůta ke splatnosti dlužné částky je považována za dodrženou, pokud v poslední den splatnosti bude dlužná částka připsána na účet nájemce uvedený </w:t>
      </w:r>
      <w:r>
        <w:br/>
        <w:t>v záhlaví této dohody o započtení.</w:t>
      </w:r>
    </w:p>
    <w:p>
      <w:pPr>
        <w:pStyle w:val="Zkladntext20"/>
        <w:shd w:val="clear" w:color="auto" w:fill="auto"/>
        <w:spacing w:after="0" w:line="313" w:lineRule="exact"/>
        <w:jc w:val="both"/>
      </w:pPr>
      <w:r>
        <w:t xml:space="preserve">3.2 Pro případ prodlení s úhradou dlužné částky uvedené v odst. </w:t>
      </w:r>
      <w:proofErr w:type="gramStart"/>
      <w:r>
        <w:t>3.1. se</w:t>
      </w:r>
      <w:proofErr w:type="gramEnd"/>
      <w:r>
        <w:t xml:space="preserve"> sjednává úrok z prodlení ve výši dle nařízení vlády č. 351/2013 Sb.</w:t>
      </w:r>
    </w:p>
    <w:p>
      <w:pPr>
        <w:pStyle w:val="Zkladntext20"/>
        <w:shd w:val="clear" w:color="auto" w:fill="auto"/>
        <w:spacing w:after="0" w:line="313" w:lineRule="exact"/>
        <w:jc w:val="both"/>
      </w:pPr>
    </w:p>
    <w:p>
      <w:pPr>
        <w:pStyle w:val="Zkladntext20"/>
        <w:shd w:val="clear" w:color="auto" w:fill="auto"/>
        <w:spacing w:after="0" w:line="313" w:lineRule="exact"/>
        <w:jc w:val="both"/>
      </w:pPr>
    </w:p>
    <w:p>
      <w:pPr>
        <w:pStyle w:val="Zkladntext20"/>
        <w:shd w:val="clear" w:color="auto" w:fill="auto"/>
        <w:spacing w:after="0" w:line="313" w:lineRule="exact"/>
        <w:jc w:val="both"/>
      </w:pPr>
    </w:p>
    <w:p>
      <w:pPr>
        <w:pStyle w:val="Zkladntext20"/>
        <w:shd w:val="clear" w:color="auto" w:fill="auto"/>
        <w:spacing w:after="0" w:line="313" w:lineRule="exact"/>
        <w:jc w:val="center"/>
        <w:rPr>
          <w:b/>
        </w:rPr>
      </w:pPr>
      <w:r>
        <w:rPr>
          <w:b/>
        </w:rPr>
        <w:t>IV.</w:t>
      </w:r>
    </w:p>
    <w:p>
      <w:pPr>
        <w:pStyle w:val="Nadpis20"/>
        <w:shd w:val="clear" w:color="auto" w:fill="auto"/>
        <w:spacing w:before="0" w:after="0" w:line="220" w:lineRule="exact"/>
        <w:jc w:val="center"/>
      </w:pPr>
      <w:r>
        <w:t>Závěrečná ujednání</w:t>
      </w:r>
    </w:p>
    <w:p>
      <w:pPr>
        <w:pStyle w:val="Zkladntext20"/>
        <w:shd w:val="clear" w:color="auto" w:fill="auto"/>
        <w:tabs>
          <w:tab w:val="left" w:pos="505"/>
        </w:tabs>
        <w:spacing w:after="0" w:line="306" w:lineRule="exact"/>
        <w:jc w:val="center"/>
        <w:rPr>
          <w:b/>
        </w:rPr>
      </w:pPr>
    </w:p>
    <w:p>
      <w:pPr>
        <w:pStyle w:val="Zkladntext20"/>
        <w:numPr>
          <w:ilvl w:val="0"/>
          <w:numId w:val="5"/>
        </w:numPr>
        <w:shd w:val="clear" w:color="auto" w:fill="auto"/>
        <w:tabs>
          <w:tab w:val="left" w:pos="471"/>
        </w:tabs>
        <w:spacing w:after="0" w:line="310" w:lineRule="exact"/>
        <w:jc w:val="both"/>
        <w:rPr>
          <w:rFonts w:cstheme="minorHAnsi"/>
        </w:rPr>
      </w:pPr>
      <w:r>
        <w:rPr>
          <w:rFonts w:cstheme="minorHAnsi"/>
        </w:rPr>
        <w:t>Dohoda o započtení je sepsána ve třech vyhotoveních, z nichž po podpisu SFDI obdrží dvě její vyhotovení a nájemce jedno vyhotovení dohody o započtení.</w:t>
      </w:r>
    </w:p>
    <w:p>
      <w:pPr>
        <w:pStyle w:val="Zkladntext20"/>
        <w:shd w:val="clear" w:color="auto" w:fill="auto"/>
        <w:tabs>
          <w:tab w:val="left" w:pos="471"/>
        </w:tabs>
        <w:spacing w:after="0" w:line="310" w:lineRule="exact"/>
        <w:jc w:val="both"/>
        <w:rPr>
          <w:rFonts w:cstheme="minorHAnsi"/>
        </w:rPr>
      </w:pPr>
    </w:p>
    <w:p>
      <w:pPr>
        <w:pStyle w:val="Zkladntext20"/>
        <w:numPr>
          <w:ilvl w:val="0"/>
          <w:numId w:val="5"/>
        </w:numPr>
        <w:shd w:val="clear" w:color="auto" w:fill="auto"/>
        <w:tabs>
          <w:tab w:val="left" w:pos="471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Dohoda o započtení nabývá platnosti dnem jejího podpisu poslední smluvní stranou a účinnosti dnem jejího uveřejnění prostřednictvím registru smluv. Dohoda o započtení řeší vypořádání vzájemných pohledávek smluvních stran existujících ke dni jejího uzavření. Případné další závazky </w:t>
      </w:r>
      <w:r>
        <w:rPr>
          <w:rFonts w:cstheme="minorHAnsi"/>
        </w:rPr>
        <w:br/>
        <w:t>z nájemní smlouvy vzniklé po podpisu dohody o započtení, budou řešeny samostatnou dohodou.</w:t>
      </w:r>
    </w:p>
    <w:p>
      <w:pPr>
        <w:pStyle w:val="Zkladntext20"/>
        <w:shd w:val="clear" w:color="auto" w:fill="auto"/>
        <w:tabs>
          <w:tab w:val="left" w:pos="471"/>
        </w:tabs>
        <w:spacing w:after="0" w:line="276" w:lineRule="auto"/>
        <w:jc w:val="both"/>
        <w:rPr>
          <w:rFonts w:cstheme="minorHAnsi"/>
        </w:rPr>
      </w:pPr>
    </w:p>
    <w:p>
      <w:pPr>
        <w:pStyle w:val="Styl1"/>
        <w:numPr>
          <w:ilvl w:val="0"/>
          <w:numId w:val="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výslovně prohlašují, že obsah dohody o započtení není předmětem utajení </w:t>
      </w:r>
      <w:r>
        <w:rPr>
          <w:rFonts w:asciiTheme="minorHAnsi" w:hAnsiTheme="minorHAnsi" w:cstheme="minorHAnsi"/>
          <w:sz w:val="22"/>
          <w:szCs w:val="22"/>
        </w:rPr>
        <w:br/>
        <w:t>a že souhlasí se zveřejněním dohody o započtení na www.sfdi.cz bez dalších podmínek. SFDI v souladu se zákonem č. 340/2015 Sb., o zvláštních podmínkách účinnosti některých smluv, uveřejňování těchto smluv a o registru smluv (zákon o registru smluv), ve znění pozdějších předpisů, uveřejní dohodu o započtení po jejím podpisu smluvními stranami prostřednictvím registru smluv. SFDI bude nájemce o datu uveřejnění dohody o započtení prostřednictvím registru smluv písemně informovat.</w:t>
      </w:r>
    </w:p>
    <w:p>
      <w:pPr>
        <w:pStyle w:val="Styl1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pStyle w:val="Zkladntext20"/>
        <w:numPr>
          <w:ilvl w:val="0"/>
          <w:numId w:val="5"/>
        </w:numPr>
        <w:shd w:val="clear" w:color="auto" w:fill="auto"/>
        <w:tabs>
          <w:tab w:val="left" w:pos="471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Smluvní strany si dohodu o započtení přečetly, prohlašují, že souhlasí s jejím obsahem jako výrazem jejich vůle a na důkaz toho připojují své podpisy. </w:t>
      </w:r>
    </w:p>
    <w:p>
      <w:pPr>
        <w:pStyle w:val="Zkladntext20"/>
        <w:shd w:val="clear" w:color="auto" w:fill="auto"/>
        <w:tabs>
          <w:tab w:val="left" w:pos="505"/>
        </w:tabs>
        <w:spacing w:after="0" w:line="306" w:lineRule="exact"/>
        <w:jc w:val="both"/>
        <w:rPr>
          <w:b/>
        </w:rPr>
      </w:pPr>
    </w:p>
    <w:p>
      <w:pPr>
        <w:pStyle w:val="Zkladntext20"/>
        <w:shd w:val="clear" w:color="auto" w:fill="auto"/>
        <w:spacing w:after="0" w:line="306" w:lineRule="exact"/>
        <w:jc w:val="center"/>
        <w:rPr>
          <w:b/>
        </w:rPr>
      </w:pPr>
    </w:p>
    <w:p>
      <w:pPr>
        <w:pStyle w:val="Zkladntext20"/>
        <w:shd w:val="clear" w:color="auto" w:fill="auto"/>
        <w:spacing w:after="0"/>
        <w:jc w:val="left"/>
      </w:pPr>
      <w:r>
        <w:t xml:space="preserve">V Praze, dne </w:t>
      </w:r>
      <w:r>
        <w:tab/>
      </w: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/>
        <w:jc w:val="left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>
      <w:pPr>
        <w:pStyle w:val="Zkladntext20"/>
        <w:shd w:val="clear" w:color="auto" w:fill="auto"/>
        <w:spacing w:after="0"/>
        <w:jc w:val="left"/>
      </w:pPr>
      <w:r>
        <w:tab/>
        <w:t>za SFDI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/>
        <w:jc w:val="left"/>
      </w:pPr>
    </w:p>
    <w:p>
      <w:pPr>
        <w:pStyle w:val="Zkladntext20"/>
        <w:shd w:val="clear" w:color="auto" w:fill="auto"/>
        <w:spacing w:after="0" w:line="274" w:lineRule="exact"/>
        <w:ind w:left="280"/>
        <w:jc w:val="left"/>
        <w:rPr>
          <w:color w:val="000000"/>
          <w:sz w:val="24"/>
          <w:szCs w:val="24"/>
          <w:lang w:eastAsia="cs-CZ" w:bidi="cs-CZ"/>
        </w:rPr>
      </w:pPr>
      <w:r>
        <w:t>Přílohy:</w:t>
      </w:r>
      <w:r>
        <w:rPr>
          <w:color w:val="000000"/>
          <w:sz w:val="24"/>
          <w:szCs w:val="24"/>
          <w:lang w:eastAsia="cs-CZ" w:bidi="cs-CZ"/>
        </w:rPr>
        <w:t xml:space="preserve">  - </w:t>
      </w:r>
      <w:r>
        <w:t>Výpočet úroků z prodlení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790700" cy="809625"/>
          <wp:effectExtent l="19050" t="0" r="0" b="0"/>
          <wp:docPr id="4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9D"/>
    <w:multiLevelType w:val="multilevel"/>
    <w:tmpl w:val="D1961312"/>
    <w:lvl w:ilvl="0">
      <w:start w:val="1"/>
      <w:numFmt w:val="decimal"/>
      <w:lvlText w:val="4.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F39D1"/>
    <w:multiLevelType w:val="multilevel"/>
    <w:tmpl w:val="8DBCF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824EC"/>
    <w:multiLevelType w:val="multilevel"/>
    <w:tmpl w:val="F27041EE"/>
    <w:lvl w:ilvl="0">
      <w:start w:val="1"/>
      <w:numFmt w:val="decimal"/>
      <w:lvlText w:val="3.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23010"/>
    <w:multiLevelType w:val="multilevel"/>
    <w:tmpl w:val="B50403D6"/>
    <w:lvl w:ilvl="0">
      <w:start w:val="1"/>
      <w:numFmt w:val="decimal"/>
      <w:lvlText w:val="2.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4547E"/>
    <w:multiLevelType w:val="multilevel"/>
    <w:tmpl w:val="4E5203C8"/>
    <w:lvl w:ilvl="0">
      <w:start w:val="1"/>
      <w:numFmt w:val="decimal"/>
      <w:lvlText w:val="1.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Pr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after="180" w:line="320" w:lineRule="exact"/>
      <w:jc w:val="right"/>
    </w:p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660" w:after="300" w:line="0" w:lineRule="atLeast"/>
      <w:jc w:val="both"/>
      <w:outlineLvl w:val="1"/>
    </w:pPr>
    <w:rPr>
      <w:b/>
      <w:bCs/>
    </w:rPr>
  </w:style>
  <w:style w:type="character" w:customStyle="1" w:styleId="Zkladntext2Tun">
    <w:name w:val="Základní text (2) + Tučné"/>
    <w:basedOn w:val="Zkladntext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1">
    <w:name w:val="Styl1"/>
    <w:basedOn w:val="Normln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2019-09-24T14:03:00Z</dcterms:created>
  <dcterms:modified xsi:type="dcterms:W3CDTF">2019-09-24T14:03:00Z</dcterms:modified>
</cp:coreProperties>
</file>