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143"/>
        <w:gridCol w:w="1453"/>
        <w:gridCol w:w="3596"/>
      </w:tblGrid>
      <w:tr w:rsidR="00165D17" w:rsidRPr="006F1346" w:rsidTr="00E20A22">
        <w:trPr>
          <w:trHeight w:val="539"/>
        </w:trPr>
        <w:tc>
          <w:tcPr>
            <w:tcW w:w="10098" w:type="dxa"/>
            <w:gridSpan w:val="4"/>
            <w:shd w:val="clear" w:color="auto" w:fill="D9D9D9"/>
            <w:vAlign w:val="center"/>
          </w:tcPr>
          <w:p w:rsidR="00EA215A" w:rsidRDefault="00EA215A" w:rsidP="00EA215A">
            <w:pPr>
              <w:pStyle w:val="QSDTextStandard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E622DC">
              <w:rPr>
                <w:b/>
                <w:caps/>
                <w:color w:val="000000"/>
                <w:sz w:val="18"/>
                <w:szCs w:val="18"/>
              </w:rPr>
              <w:t xml:space="preserve">Attachment </w:t>
            </w:r>
            <w:r>
              <w:rPr>
                <w:b/>
                <w:caps/>
                <w:color w:val="000000"/>
                <w:sz w:val="18"/>
                <w:szCs w:val="18"/>
              </w:rPr>
              <w:t>“3”</w:t>
            </w:r>
            <w:r w:rsidRPr="00E622DC">
              <w:rPr>
                <w:b/>
                <w:caps/>
                <w:color w:val="000000"/>
                <w:sz w:val="18"/>
                <w:szCs w:val="18"/>
              </w:rPr>
              <w:t xml:space="preserve"> to the Agreement</w:t>
            </w:r>
            <w:r>
              <w:rPr>
                <w:b/>
                <w:caps/>
                <w:color w:val="000000"/>
                <w:sz w:val="18"/>
                <w:szCs w:val="18"/>
              </w:rPr>
              <w:t xml:space="preserve"> on the Support of Investigator-Initiated Research (IIR)  /  PŘÍLOHA “3” SMLOUVY O PODPOŘE STUDIE ZAŠTÍTĚNÉ ZKOUŠEJÍCÍM (iir)</w:t>
            </w:r>
          </w:p>
          <w:p w:rsidR="00EA215A" w:rsidRPr="00007595" w:rsidRDefault="00EA215A" w:rsidP="00EA215A">
            <w:pPr>
              <w:pStyle w:val="QSDTextStandard"/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  <w:p w:rsidR="00EA215A" w:rsidRDefault="00EA215A" w:rsidP="00EA215A">
            <w:pPr>
              <w:pStyle w:val="QSDTextStandard"/>
              <w:jc w:val="center"/>
              <w:rPr>
                <w:b/>
                <w:caps/>
                <w:sz w:val="28"/>
              </w:rPr>
            </w:pPr>
            <w:r w:rsidRPr="003967E0">
              <w:rPr>
                <w:b/>
                <w:caps/>
                <w:color w:val="000000"/>
                <w:sz w:val="28"/>
              </w:rPr>
              <w:t>Clinical Supplies</w:t>
            </w:r>
            <w:r w:rsidRPr="003967E0">
              <w:rPr>
                <w:b/>
                <w:caps/>
                <w:sz w:val="28"/>
              </w:rPr>
              <w:t xml:space="preserve"> Agreement</w:t>
            </w:r>
          </w:p>
          <w:p w:rsidR="00EA215A" w:rsidRDefault="00EA215A" w:rsidP="00EA215A">
            <w:pPr>
              <w:pStyle w:val="QSDTextStandard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dohoda o klinických dodávkách</w:t>
            </w:r>
          </w:p>
          <w:p w:rsidR="00165D17" w:rsidRPr="006F1346" w:rsidRDefault="00165D17" w:rsidP="00E20A22">
            <w:pPr>
              <w:pStyle w:val="QSDTextStandard"/>
              <w:jc w:val="center"/>
              <w:rPr>
                <w:b/>
                <w:caps/>
                <w:sz w:val="28"/>
              </w:rPr>
            </w:pPr>
          </w:p>
        </w:tc>
      </w:tr>
      <w:tr w:rsidR="007F5F31" w:rsidRPr="003967E0" w:rsidTr="00EF46CA">
        <w:trPr>
          <w:trHeight w:val="539"/>
        </w:trPr>
        <w:tc>
          <w:tcPr>
            <w:tcW w:w="5049" w:type="dxa"/>
            <w:gridSpan w:val="2"/>
            <w:shd w:val="clear" w:color="auto" w:fill="auto"/>
            <w:vAlign w:val="center"/>
          </w:tcPr>
          <w:p w:rsidR="007F5F31" w:rsidRPr="003967E0" w:rsidRDefault="007F5F31" w:rsidP="00B410B2">
            <w:pPr>
              <w:pStyle w:val="QSDTextStandard"/>
              <w:spacing w:after="120"/>
            </w:pPr>
            <w:r>
              <w:t xml:space="preserve">WHEREAS </w:t>
            </w:r>
            <w:r>
              <w:rPr>
                <w:i/>
              </w:rPr>
              <w:t>BAYER</w:t>
            </w:r>
            <w:r>
              <w:t xml:space="preserve"> and </w:t>
            </w:r>
            <w:r w:rsidRPr="00C9070E">
              <w:t xml:space="preserve">the </w:t>
            </w:r>
            <w:r w:rsidR="00C9070E">
              <w:t>SPONSOR</w:t>
            </w:r>
            <w:r w:rsidRPr="00C9070E">
              <w:t xml:space="preserve"> have entered into an Agreement for the Support of Investigator Initiated </w:t>
            </w:r>
            <w:r>
              <w:t>Research</w:t>
            </w:r>
            <w:r w:rsidRPr="009010F5">
              <w:t xml:space="preserve"> (IIR)</w:t>
            </w:r>
            <w:r>
              <w:t xml:space="preserve"> regarding the below mentioned STUD</w:t>
            </w:r>
            <w:r w:rsidR="00CB44B0">
              <w:t>Y,</w:t>
            </w:r>
            <w:r>
              <w:t xml:space="preserve"> </w:t>
            </w:r>
            <w:r w:rsidR="00CB44B0">
              <w:t>t</w:t>
            </w:r>
            <w:r>
              <w:t>he parties wish to agree on the details of clinical drug supply under the Agreement as follows: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7F5F31" w:rsidRPr="003967E0" w:rsidRDefault="007F5F31" w:rsidP="00B410B2">
            <w:pPr>
              <w:pStyle w:val="QSDTextStandard"/>
              <w:spacing w:after="120"/>
            </w:pPr>
            <w:r w:rsidRPr="00D45EC0">
              <w:t xml:space="preserve">Vzhledem k tomu, že BAYER a </w:t>
            </w:r>
            <w:r w:rsidR="00B410B2">
              <w:t>ZADAVATEL</w:t>
            </w:r>
            <w:r>
              <w:t xml:space="preserve"> mezi sebou uzavřeli S</w:t>
            </w:r>
            <w:r w:rsidRPr="00D45EC0">
              <w:t>mlouvu</w:t>
            </w:r>
            <w:r>
              <w:t xml:space="preserve"> o podpoře studie zaštítěné zkoušejícím (IIR) ohledně níže uvedené STUDIE, mají zájem mezi sebou </w:t>
            </w:r>
            <w:r>
              <w:rPr>
                <w:lang w:val="cs-CZ"/>
              </w:rPr>
              <w:t>sjednat konkrétní podmínky dodávek hodnoceného léku podle Smlouvy následujícím způsobem.</w:t>
            </w:r>
          </w:p>
        </w:tc>
      </w:tr>
      <w:tr w:rsidR="007F5F31" w:rsidRPr="003967E0" w:rsidTr="00350DE2">
        <w:trPr>
          <w:trHeight w:val="344"/>
        </w:trPr>
        <w:tc>
          <w:tcPr>
            <w:tcW w:w="2906" w:type="dxa"/>
            <w:shd w:val="clear" w:color="auto" w:fill="E0E0E0"/>
            <w:vAlign w:val="center"/>
          </w:tcPr>
          <w:p w:rsidR="007F5F31" w:rsidRPr="003967E0" w:rsidRDefault="00EA215A" w:rsidP="00E20A22">
            <w:pPr>
              <w:pStyle w:val="QSDTextStandard"/>
              <w:rPr>
                <w:b/>
              </w:rPr>
            </w:pPr>
            <w:r w:rsidRPr="003967E0">
              <w:rPr>
                <w:b/>
              </w:rPr>
              <w:t>Study Phase and Title</w:t>
            </w:r>
            <w:r>
              <w:rPr>
                <w:b/>
              </w:rPr>
              <w:t>/ Fáze a název Studie</w:t>
            </w:r>
            <w:r w:rsidRPr="003967E0">
              <w:rPr>
                <w:b/>
              </w:rPr>
              <w:t>: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7F5F31" w:rsidRPr="003967E0" w:rsidRDefault="007F5F31" w:rsidP="00E20A22">
            <w:pPr>
              <w:pStyle w:val="QSDTextStandard"/>
            </w:pPr>
            <w:r>
              <w:t>A randomized, 12 months, active controlled study of the efficacy of repeated doses of intravitreal aflibercept in subjects with prolipherative diabetic retinopathy.</w:t>
            </w:r>
          </w:p>
        </w:tc>
        <w:tc>
          <w:tcPr>
            <w:tcW w:w="3596" w:type="dxa"/>
            <w:shd w:val="clear" w:color="auto" w:fill="auto"/>
          </w:tcPr>
          <w:p w:rsidR="007F5F31" w:rsidRPr="003967E0" w:rsidRDefault="007F5F31" w:rsidP="00E20A22">
            <w:pPr>
              <w:pStyle w:val="QSDTextStandard"/>
            </w:pPr>
            <w:r>
              <w:t>Randomizovaná, dvanáctiměsíční, aktivní kontrolovaná studie efektivity opakovaných dávek intravitreálního afliberceptu u pacientů s proliferativní diabetickou retinopatií.</w:t>
            </w:r>
          </w:p>
        </w:tc>
      </w:tr>
      <w:tr w:rsidR="007F5F31" w:rsidRPr="00C66230" w:rsidTr="00FA7210">
        <w:trPr>
          <w:trHeight w:val="354"/>
        </w:trPr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7F5F31" w:rsidRPr="003967E0" w:rsidRDefault="007F5F31" w:rsidP="00DA761D">
            <w:pPr>
              <w:pStyle w:val="QSDTextStandard"/>
              <w:jc w:val="left"/>
            </w:pPr>
            <w:r w:rsidRPr="003967E0">
              <w:t>Investigational Medicinal Product (</w:t>
            </w:r>
            <w:r w:rsidR="00431F44">
              <w:t>STUDY DRUG -</w:t>
            </w:r>
            <w:r w:rsidRPr="003967E0">
              <w:t xml:space="preserve">IMP) will be supplied as bulk product to the </w:t>
            </w:r>
            <w:r>
              <w:t xml:space="preserve">address provided by the </w:t>
            </w:r>
            <w:r w:rsidR="00C9070E">
              <w:t>SPONSOR</w:t>
            </w:r>
            <w:r w:rsidR="00C9070E" w:rsidDel="00C9070E">
              <w:t xml:space="preserve"> </w:t>
            </w:r>
            <w:r w:rsidRPr="003967E0">
              <w:t>of the</w:t>
            </w:r>
            <w:r w:rsidR="00431F44">
              <w:t xml:space="preserve"> STUDY</w:t>
            </w:r>
            <w:r w:rsidRPr="003967E0">
              <w:t xml:space="preserve"> </w:t>
            </w:r>
            <w:r w:rsidR="00431F44">
              <w:t>(</w:t>
            </w:r>
            <w:r>
              <w:t>IIR</w:t>
            </w:r>
            <w:r w:rsidR="00431F44">
              <w:t>)</w:t>
            </w:r>
            <w:r w:rsidRPr="003967E0">
              <w:t>.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7F5F31" w:rsidRPr="003967E0" w:rsidRDefault="007F5F31" w:rsidP="00B410B2">
            <w:pPr>
              <w:pStyle w:val="QSDTextStandard"/>
              <w:jc w:val="left"/>
            </w:pPr>
            <w:r w:rsidRPr="00951969">
              <w:rPr>
                <w:lang w:val="cs-CZ"/>
              </w:rPr>
              <w:t xml:space="preserve">HODNOCENÝ LÉK bude dodán </w:t>
            </w:r>
            <w:r>
              <w:rPr>
                <w:lang w:val="cs-CZ"/>
              </w:rPr>
              <w:t>jako hromadný, maloobchodně nebalený produkt na adresu poskytnutou</w:t>
            </w:r>
            <w:r w:rsidR="00B410B2">
              <w:t xml:space="preserve"> ZADAVATELEM</w:t>
            </w:r>
            <w:r w:rsidRPr="00951969">
              <w:rPr>
                <w:lang w:val="cs-CZ"/>
              </w:rPr>
              <w:t xml:space="preserve"> </w:t>
            </w:r>
            <w:r>
              <w:rPr>
                <w:lang w:val="cs-CZ"/>
              </w:rPr>
              <w:t>STUDIE (IIR)</w:t>
            </w:r>
            <w:r w:rsidRPr="00951969">
              <w:rPr>
                <w:lang w:val="cs-CZ"/>
              </w:rPr>
              <w:t>.</w:t>
            </w:r>
          </w:p>
        </w:tc>
      </w:tr>
      <w:tr w:rsidR="007F5F31" w:rsidRPr="003967E0" w:rsidTr="008F0913">
        <w:trPr>
          <w:trHeight w:val="348"/>
        </w:trPr>
        <w:tc>
          <w:tcPr>
            <w:tcW w:w="2906" w:type="dxa"/>
            <w:shd w:val="clear" w:color="auto" w:fill="E0E0E0"/>
            <w:vAlign w:val="center"/>
          </w:tcPr>
          <w:p w:rsidR="007F5F31" w:rsidRPr="0004433E" w:rsidRDefault="00EA215A" w:rsidP="00E20A22">
            <w:pPr>
              <w:pStyle w:val="QSDTextStandard"/>
              <w:rPr>
                <w:b/>
              </w:rPr>
            </w:pPr>
            <w:r w:rsidRPr="0004433E">
              <w:rPr>
                <w:b/>
              </w:rPr>
              <w:t>Name of IMP</w:t>
            </w:r>
            <w:r>
              <w:rPr>
                <w:b/>
              </w:rPr>
              <w:t>/ Název HODNOCENÉHO LÉKU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</w:tcPr>
          <w:p w:rsidR="007F5F31" w:rsidRPr="00866B44" w:rsidRDefault="007F5F31" w:rsidP="00E20A22">
            <w:pPr>
              <w:pStyle w:val="QSDTextStandard"/>
            </w:pPr>
            <w:r w:rsidRPr="00866B44">
              <w:rPr>
                <w:iCs/>
              </w:rPr>
              <w:t xml:space="preserve">0.278  mL </w:t>
            </w:r>
            <w:r w:rsidRPr="00866B44">
              <w:t>of 40mg/ml Aflibercept in a vial</w:t>
            </w:r>
          </w:p>
        </w:tc>
        <w:tc>
          <w:tcPr>
            <w:tcW w:w="3596" w:type="dxa"/>
          </w:tcPr>
          <w:p w:rsidR="007F5F31" w:rsidRPr="00866B44" w:rsidRDefault="007F5F31" w:rsidP="00E20A22">
            <w:pPr>
              <w:pStyle w:val="QSDTextStandard"/>
            </w:pPr>
            <w:r>
              <w:t>0,278 mL, 40mg/ml Afliberceptu v injekční lahvičce,</w:t>
            </w:r>
          </w:p>
        </w:tc>
      </w:tr>
      <w:tr w:rsidR="00C22CA2" w:rsidRPr="0004433E" w:rsidTr="006E05C7">
        <w:trPr>
          <w:trHeight w:val="360"/>
        </w:trPr>
        <w:tc>
          <w:tcPr>
            <w:tcW w:w="2906" w:type="dxa"/>
            <w:shd w:val="clear" w:color="auto" w:fill="E0E0E0"/>
            <w:vAlign w:val="center"/>
          </w:tcPr>
          <w:p w:rsidR="00C22CA2" w:rsidRPr="0004433E" w:rsidRDefault="00C22CA2" w:rsidP="00E20A22">
            <w:pPr>
              <w:pStyle w:val="QSDTextStandard"/>
              <w:rPr>
                <w:b/>
                <w:sz w:val="16"/>
              </w:rPr>
            </w:pPr>
            <w:r w:rsidRPr="0004433E">
              <w:rPr>
                <w:b/>
              </w:rPr>
              <w:t>Material Number</w:t>
            </w:r>
            <w:r>
              <w:rPr>
                <w:b/>
              </w:rPr>
              <w:t>/ Číslo materiálu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</w:tcPr>
          <w:p w:rsidR="00C22CA2" w:rsidRDefault="00C22CA2" w:rsidP="00DA761D">
            <w:pPr>
              <w:pStyle w:val="SOPOMTextStandard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Supply </w:t>
            </w:r>
          </w:p>
          <w:p w:rsidR="00C22CA2" w:rsidRDefault="00C22CA2" w:rsidP="00DA761D">
            <w:pPr>
              <w:pStyle w:val="SOPOMTextStandard"/>
              <w:numPr>
                <w:ilvl w:val="0"/>
                <w:numId w:val="47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05/ </w:t>
            </w:r>
            <w:r w:rsidRPr="00C22CA2">
              <w:rPr>
                <w:rFonts w:cs="Arial"/>
                <w:bCs/>
                <w:sz w:val="18"/>
                <w:szCs w:val="18"/>
              </w:rPr>
              <w:t>2014: 82515968 (150vials)</w:t>
            </w:r>
          </w:p>
          <w:p w:rsidR="00C22CA2" w:rsidRDefault="00C22CA2" w:rsidP="00DA761D">
            <w:pPr>
              <w:pStyle w:val="SOPOMTextStandard"/>
              <w:numPr>
                <w:ilvl w:val="0"/>
                <w:numId w:val="47"/>
              </w:numPr>
              <w:rPr>
                <w:rFonts w:cs="Arial"/>
                <w:bCs/>
                <w:sz w:val="18"/>
                <w:szCs w:val="18"/>
              </w:rPr>
            </w:pPr>
            <w:r w:rsidRPr="00C22CA2">
              <w:rPr>
                <w:rFonts w:cs="Arial"/>
                <w:bCs/>
                <w:sz w:val="18"/>
                <w:szCs w:val="18"/>
              </w:rPr>
              <w:t>09/ 2015: 82515941 (90vials)</w:t>
            </w:r>
          </w:p>
          <w:p w:rsidR="00C22CA2" w:rsidRPr="00C22CA2" w:rsidRDefault="00C22CA2" w:rsidP="00DA761D">
            <w:pPr>
              <w:pStyle w:val="SOPOMTextStandard"/>
              <w:numPr>
                <w:ilvl w:val="0"/>
                <w:numId w:val="47"/>
              </w:numPr>
              <w:rPr>
                <w:rFonts w:cs="Arial"/>
                <w:bCs/>
                <w:sz w:val="18"/>
                <w:szCs w:val="18"/>
              </w:rPr>
            </w:pPr>
            <w:r w:rsidRPr="00C22CA2">
              <w:rPr>
                <w:rFonts w:cs="Arial"/>
                <w:bCs/>
                <w:sz w:val="18"/>
                <w:szCs w:val="18"/>
              </w:rPr>
              <w:t>02/ 2016: 84542458 (150vials)</w:t>
            </w:r>
          </w:p>
          <w:p w:rsidR="00C22CA2" w:rsidRPr="00C22CA2" w:rsidRDefault="00C22CA2" w:rsidP="006A75CB">
            <w:pPr>
              <w:pStyle w:val="SOPOMTextStandard"/>
              <w:rPr>
                <w:rFonts w:cs="Arial"/>
                <w:sz w:val="18"/>
                <w:szCs w:val="18"/>
              </w:rPr>
            </w:pPr>
            <w:r w:rsidRPr="00C22CA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22CA2">
              <w:rPr>
                <w:rFonts w:cs="Arial"/>
                <w:sz w:val="18"/>
                <w:szCs w:val="18"/>
              </w:rPr>
              <w:t>In case the material number subsequently changes during the effectiveness of this Agreement, BAYER will document it and inform of such fact via the so called note-to–file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96" w:type="dxa"/>
          </w:tcPr>
          <w:p w:rsidR="00C22CA2" w:rsidRDefault="00C22CA2" w:rsidP="00C22CA2">
            <w:pPr>
              <w:pStyle w:val="SOPOMTextStandard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Dodávka:</w:t>
            </w:r>
          </w:p>
          <w:p w:rsidR="00C22CA2" w:rsidRDefault="00C22CA2" w:rsidP="00C22CA2">
            <w:pPr>
              <w:pStyle w:val="SOPOMTextStandard"/>
              <w:numPr>
                <w:ilvl w:val="0"/>
                <w:numId w:val="48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05/ </w:t>
            </w:r>
            <w:r w:rsidRPr="00C22CA2">
              <w:rPr>
                <w:rFonts w:cs="Arial"/>
                <w:bCs/>
                <w:sz w:val="18"/>
                <w:szCs w:val="18"/>
              </w:rPr>
              <w:t>2014:</w:t>
            </w:r>
            <w:r>
              <w:rPr>
                <w:rFonts w:cs="Arial"/>
                <w:bCs/>
                <w:sz w:val="18"/>
                <w:szCs w:val="18"/>
              </w:rPr>
              <w:t xml:space="preserve"> 82515968 (150 lahviček</w:t>
            </w:r>
            <w:r w:rsidRPr="00C22CA2">
              <w:rPr>
                <w:rFonts w:cs="Arial"/>
                <w:bCs/>
                <w:sz w:val="18"/>
                <w:szCs w:val="18"/>
              </w:rPr>
              <w:t>)</w:t>
            </w:r>
          </w:p>
          <w:p w:rsidR="00C22CA2" w:rsidRDefault="00C22CA2" w:rsidP="00C22CA2">
            <w:pPr>
              <w:pStyle w:val="SOPOMTextStandard"/>
              <w:numPr>
                <w:ilvl w:val="0"/>
                <w:numId w:val="48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09/ 2015: 82515941 (90 lahviček</w:t>
            </w:r>
            <w:r w:rsidRPr="00C22CA2">
              <w:rPr>
                <w:rFonts w:cs="Arial"/>
                <w:bCs/>
                <w:sz w:val="18"/>
                <w:szCs w:val="18"/>
              </w:rPr>
              <w:t>)</w:t>
            </w:r>
          </w:p>
          <w:p w:rsidR="00C22CA2" w:rsidRPr="00C22CA2" w:rsidRDefault="00C22CA2" w:rsidP="00C22CA2">
            <w:pPr>
              <w:pStyle w:val="SOPOMTextStandard"/>
              <w:numPr>
                <w:ilvl w:val="0"/>
                <w:numId w:val="48"/>
              </w:numPr>
              <w:rPr>
                <w:rFonts w:cs="Arial"/>
                <w:bCs/>
                <w:sz w:val="18"/>
                <w:szCs w:val="18"/>
              </w:rPr>
            </w:pPr>
            <w:r w:rsidRPr="00C22CA2">
              <w:rPr>
                <w:rFonts w:cs="Arial"/>
                <w:bCs/>
                <w:sz w:val="18"/>
                <w:szCs w:val="18"/>
              </w:rPr>
              <w:t xml:space="preserve">02/ </w:t>
            </w:r>
            <w:r>
              <w:rPr>
                <w:rFonts w:cs="Arial"/>
                <w:bCs/>
                <w:sz w:val="18"/>
                <w:szCs w:val="18"/>
              </w:rPr>
              <w:t>2016: 84542458 (150 lahviček</w:t>
            </w:r>
            <w:r w:rsidRPr="00C22CA2">
              <w:rPr>
                <w:rFonts w:cs="Arial"/>
                <w:bCs/>
                <w:sz w:val="18"/>
                <w:szCs w:val="18"/>
              </w:rPr>
              <w:t>)</w:t>
            </w:r>
          </w:p>
          <w:p w:rsidR="00C22CA2" w:rsidRPr="00C22CA2" w:rsidRDefault="00C22CA2" w:rsidP="00B410B2">
            <w:pPr>
              <w:pStyle w:val="SOPOMTextStandard"/>
              <w:rPr>
                <w:rFonts w:cs="Arial"/>
                <w:sz w:val="18"/>
                <w:szCs w:val="18"/>
              </w:rPr>
            </w:pPr>
            <w:r w:rsidRPr="00C22CA2">
              <w:rPr>
                <w:rFonts w:cs="Arial"/>
                <w:sz w:val="18"/>
                <w:szCs w:val="18"/>
              </w:rPr>
              <w:t>V případě, že se číslo materiálu během účinnosti této Dohody následně změní, BAYER toto zdokumentuje a informuje o této skutečnosti prostřednictvím tzv. note-to-file.</w:t>
            </w:r>
          </w:p>
        </w:tc>
      </w:tr>
      <w:tr w:rsidR="00E24BDA" w:rsidRPr="003967E0" w:rsidTr="00EC53CE">
        <w:trPr>
          <w:trHeight w:val="360"/>
        </w:trPr>
        <w:tc>
          <w:tcPr>
            <w:tcW w:w="2906" w:type="dxa"/>
            <w:shd w:val="clear" w:color="auto" w:fill="E0E0E0"/>
            <w:vAlign w:val="center"/>
          </w:tcPr>
          <w:p w:rsidR="00E24BDA" w:rsidRPr="0004433E" w:rsidRDefault="00EA215A" w:rsidP="00E20A22">
            <w:pPr>
              <w:pStyle w:val="QSDTextStandard"/>
              <w:rPr>
                <w:b/>
              </w:rPr>
            </w:pPr>
            <w:r w:rsidRPr="0004433E">
              <w:rPr>
                <w:b/>
              </w:rPr>
              <w:t>Storage Instruction</w:t>
            </w:r>
            <w:r>
              <w:rPr>
                <w:b/>
              </w:rPr>
              <w:t>/ Pokyny ke skladování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</w:tcPr>
          <w:p w:rsidR="00E24BDA" w:rsidRPr="003967E0" w:rsidRDefault="00E24BDA" w:rsidP="00E20A22">
            <w:pPr>
              <w:pStyle w:val="QSDTextStandard"/>
            </w:pPr>
            <w:r w:rsidRPr="00B16355">
              <w:t>Store between 2 °C and 8 °C (36 °F and 46 °F).</w:t>
            </w:r>
            <w:r>
              <w:t xml:space="preserve">  </w:t>
            </w:r>
            <w:r w:rsidRPr="00B16355">
              <w:rPr>
                <w:lang w:val="en-GB"/>
              </w:rPr>
              <w:t>Do not freeze.  Protect from light</w:t>
            </w:r>
          </w:p>
        </w:tc>
        <w:tc>
          <w:tcPr>
            <w:tcW w:w="3596" w:type="dxa"/>
          </w:tcPr>
          <w:p w:rsidR="00E24BDA" w:rsidRPr="003967E0" w:rsidRDefault="00E24BDA" w:rsidP="00E20A22">
            <w:pPr>
              <w:pStyle w:val="QSDTextStandard"/>
            </w:pPr>
            <w:r>
              <w:t>Skladovat při teplotách 2 °C až 8 °C (36 °F až 46 °F). Chránit před světlem a mrazem.</w:t>
            </w:r>
          </w:p>
        </w:tc>
      </w:tr>
      <w:tr w:rsidR="00E24BDA" w:rsidRPr="003967E0" w:rsidTr="00F27FBE">
        <w:trPr>
          <w:trHeight w:val="360"/>
        </w:trPr>
        <w:tc>
          <w:tcPr>
            <w:tcW w:w="2906" w:type="dxa"/>
            <w:shd w:val="clear" w:color="auto" w:fill="E0E0E0"/>
            <w:vAlign w:val="center"/>
          </w:tcPr>
          <w:p w:rsidR="00E24BDA" w:rsidRPr="0004433E" w:rsidRDefault="00EA215A" w:rsidP="00E20A22">
            <w:pPr>
              <w:pStyle w:val="QSDTextStandard"/>
              <w:rPr>
                <w:b/>
              </w:rPr>
            </w:pPr>
            <w:r w:rsidRPr="0004433E">
              <w:rPr>
                <w:b/>
              </w:rPr>
              <w:t>Additional information</w:t>
            </w:r>
            <w:r>
              <w:rPr>
                <w:b/>
              </w:rPr>
              <w:t>/ Doplňující informace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</w:tcPr>
          <w:p w:rsidR="00E24BDA" w:rsidRPr="003967E0" w:rsidRDefault="00E24BDA" w:rsidP="00E20A22">
            <w:pPr>
              <w:pStyle w:val="QSDTextStandar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3596" w:type="dxa"/>
          </w:tcPr>
          <w:p w:rsidR="00E24BDA" w:rsidRPr="003967E0" w:rsidRDefault="00E24BDA" w:rsidP="00E20A22">
            <w:pPr>
              <w:pStyle w:val="QSDTextStandard"/>
            </w:pPr>
          </w:p>
        </w:tc>
      </w:tr>
      <w:tr w:rsidR="00E24BDA" w:rsidRPr="003967E0" w:rsidTr="00296EDB">
        <w:trPr>
          <w:trHeight w:val="652"/>
        </w:trPr>
        <w:tc>
          <w:tcPr>
            <w:tcW w:w="5049" w:type="dxa"/>
            <w:gridSpan w:val="2"/>
            <w:tcBorders>
              <w:bottom w:val="nil"/>
            </w:tcBorders>
            <w:vAlign w:val="center"/>
          </w:tcPr>
          <w:p w:rsidR="00E24BDA" w:rsidRPr="003967E0" w:rsidRDefault="00E24BDA" w:rsidP="00DA761D">
            <w:pPr>
              <w:pStyle w:val="QSDTextStandard"/>
              <w:jc w:val="left"/>
            </w:pPr>
            <w:r>
              <w:t>A Batch Release Certificate</w:t>
            </w:r>
            <w:r w:rsidRPr="003967E0">
              <w:t xml:space="preserve"> will be delivered on every delivery.</w:t>
            </w:r>
          </w:p>
        </w:tc>
        <w:tc>
          <w:tcPr>
            <w:tcW w:w="5049" w:type="dxa"/>
            <w:gridSpan w:val="2"/>
            <w:tcBorders>
              <w:bottom w:val="nil"/>
            </w:tcBorders>
            <w:vAlign w:val="center"/>
          </w:tcPr>
          <w:p w:rsidR="00E24BDA" w:rsidRPr="003967E0" w:rsidRDefault="00EA215A" w:rsidP="00DA761D">
            <w:pPr>
              <w:pStyle w:val="QSDTextStandard"/>
              <w:jc w:val="left"/>
            </w:pPr>
            <w:r>
              <w:t>Certifikát o propuštěné šarži hodnoceného léku bude doručen spolu s každou dodávkou.</w:t>
            </w:r>
          </w:p>
        </w:tc>
      </w:tr>
      <w:tr w:rsidR="00EA215A" w:rsidRPr="003967E0" w:rsidTr="0010166C">
        <w:trPr>
          <w:trHeight w:val="600"/>
        </w:trPr>
        <w:tc>
          <w:tcPr>
            <w:tcW w:w="2906" w:type="dxa"/>
            <w:shd w:val="clear" w:color="auto" w:fill="E0E0E0"/>
            <w:vAlign w:val="center"/>
          </w:tcPr>
          <w:p w:rsidR="00EA215A" w:rsidRPr="0004433E" w:rsidRDefault="00EA215A" w:rsidP="00E20A22">
            <w:pPr>
              <w:pStyle w:val="QSDTextStandard"/>
              <w:jc w:val="left"/>
              <w:rPr>
                <w:b/>
              </w:rPr>
            </w:pPr>
            <w:r w:rsidRPr="0004433E">
              <w:rPr>
                <w:b/>
              </w:rPr>
              <w:t>Primary packaging material</w:t>
            </w:r>
            <w:r>
              <w:rPr>
                <w:b/>
              </w:rPr>
              <w:t>/ Primární obalový materiál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</w:tcPr>
          <w:p w:rsidR="00EA215A" w:rsidRPr="003967E0" w:rsidRDefault="00EA215A" w:rsidP="00E20A22">
            <w:pPr>
              <w:pStyle w:val="QSDTextStandard"/>
            </w:pPr>
            <w:r>
              <w:t>Glass vial</w:t>
            </w:r>
          </w:p>
        </w:tc>
        <w:tc>
          <w:tcPr>
            <w:tcW w:w="3596" w:type="dxa"/>
          </w:tcPr>
          <w:p w:rsidR="00EA215A" w:rsidRPr="003967E0" w:rsidRDefault="00EA215A" w:rsidP="00E20A22">
            <w:pPr>
              <w:pStyle w:val="QSDTextStandard"/>
            </w:pPr>
            <w:r>
              <w:t>Skleněná lahvička</w:t>
            </w:r>
          </w:p>
        </w:tc>
      </w:tr>
      <w:tr w:rsidR="00EA215A" w:rsidRPr="003967E0" w:rsidTr="007A5104">
        <w:trPr>
          <w:trHeight w:val="600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215A" w:rsidRPr="0004433E" w:rsidRDefault="00EA215A" w:rsidP="00E20A22">
            <w:pPr>
              <w:pStyle w:val="QSDTextStandard"/>
              <w:jc w:val="left"/>
              <w:rPr>
                <w:b/>
              </w:rPr>
            </w:pPr>
            <w:r w:rsidRPr="0004433E">
              <w:rPr>
                <w:b/>
              </w:rPr>
              <w:t>Storage instruction for primary packed produc</w:t>
            </w:r>
            <w:r>
              <w:rPr>
                <w:b/>
              </w:rPr>
              <w:t>t/ Pokyny pro skladování produktu v primárním obalu</w:t>
            </w:r>
            <w:r w:rsidRPr="0004433E">
              <w:rPr>
                <w:b/>
              </w:rPr>
              <w:t>:</w:t>
            </w:r>
          </w:p>
        </w:tc>
        <w:tc>
          <w:tcPr>
            <w:tcW w:w="3596" w:type="dxa"/>
            <w:gridSpan w:val="2"/>
            <w:tcBorders>
              <w:bottom w:val="nil"/>
            </w:tcBorders>
          </w:tcPr>
          <w:p w:rsidR="00EA215A" w:rsidRPr="003967E0" w:rsidRDefault="00EA215A" w:rsidP="00E20A22">
            <w:pPr>
              <w:pStyle w:val="QSDTextStandard"/>
            </w:pPr>
            <w:r w:rsidRPr="00B16355">
              <w:t>Store between 2 °C and 8 °C (36 °F and 46 °F).</w:t>
            </w:r>
            <w:r>
              <w:t xml:space="preserve">  </w:t>
            </w:r>
            <w:r w:rsidRPr="00B16355">
              <w:rPr>
                <w:lang w:val="en-GB"/>
              </w:rPr>
              <w:t>Do not freeze.  Protect from light</w:t>
            </w:r>
            <w:r>
              <w:rPr>
                <w:lang w:val="en-GB"/>
              </w:rPr>
              <w:t>.</w:t>
            </w:r>
          </w:p>
        </w:tc>
        <w:tc>
          <w:tcPr>
            <w:tcW w:w="3596" w:type="dxa"/>
            <w:tcBorders>
              <w:bottom w:val="nil"/>
            </w:tcBorders>
          </w:tcPr>
          <w:p w:rsidR="00EA215A" w:rsidRPr="003967E0" w:rsidRDefault="00EA215A" w:rsidP="00E20A22">
            <w:pPr>
              <w:pStyle w:val="QSDTextStandard"/>
            </w:pPr>
            <w:r>
              <w:t>Skladovat při teplotách 2 °C až 8 °C (36 °F až 46 °F). Chránit před světlem a mrazem.</w:t>
            </w:r>
          </w:p>
        </w:tc>
      </w:tr>
      <w:tr w:rsidR="00EA215A" w:rsidRPr="003967E0" w:rsidTr="00117E66">
        <w:trPr>
          <w:trHeight w:val="600"/>
        </w:trPr>
        <w:tc>
          <w:tcPr>
            <w:tcW w:w="2906" w:type="dxa"/>
            <w:tcBorders>
              <w:bottom w:val="nil"/>
            </w:tcBorders>
            <w:shd w:val="clear" w:color="auto" w:fill="E0E0E0"/>
            <w:vAlign w:val="center"/>
          </w:tcPr>
          <w:p w:rsidR="00EA215A" w:rsidRPr="0004433E" w:rsidRDefault="00EA215A" w:rsidP="00E20A22">
            <w:pPr>
              <w:pStyle w:val="QSDTextStandard"/>
              <w:jc w:val="left"/>
              <w:rPr>
                <w:b/>
              </w:rPr>
            </w:pPr>
            <w:r w:rsidRPr="0004433E">
              <w:rPr>
                <w:b/>
              </w:rPr>
              <w:lastRenderedPageBreak/>
              <w:t>Distribution instruction, if applicable</w:t>
            </w:r>
            <w:r>
              <w:rPr>
                <w:b/>
              </w:rPr>
              <w:t>/ případné pokyny k distribuci:</w:t>
            </w:r>
          </w:p>
        </w:tc>
        <w:tc>
          <w:tcPr>
            <w:tcW w:w="3596" w:type="dxa"/>
            <w:gridSpan w:val="2"/>
            <w:tcBorders>
              <w:bottom w:val="nil"/>
            </w:tcBorders>
          </w:tcPr>
          <w:p w:rsidR="00EA215A" w:rsidRPr="003967E0" w:rsidRDefault="00EA215A" w:rsidP="00E20A22">
            <w:pPr>
              <w:pStyle w:val="QSDTextStandard"/>
            </w:pPr>
            <w:r>
              <w:t xml:space="preserve">Distribution to be conducted at </w:t>
            </w:r>
            <w:r w:rsidRPr="00B16355">
              <w:t>2 °C and 8 °C (36 °F and 46 °F).</w:t>
            </w:r>
            <w:r>
              <w:t xml:space="preserve">  </w:t>
            </w:r>
          </w:p>
        </w:tc>
        <w:tc>
          <w:tcPr>
            <w:tcW w:w="3596" w:type="dxa"/>
            <w:tcBorders>
              <w:bottom w:val="nil"/>
            </w:tcBorders>
          </w:tcPr>
          <w:p w:rsidR="00EA215A" w:rsidRPr="003967E0" w:rsidRDefault="00EA215A" w:rsidP="00E20A22">
            <w:pPr>
              <w:pStyle w:val="QSDTextStandard"/>
            </w:pPr>
            <w:r>
              <w:rPr>
                <w:lang w:val="cs-CZ"/>
              </w:rPr>
              <w:t xml:space="preserve">Distribuce musí probíhat při teplotě </w:t>
            </w:r>
            <w:smartTag w:uri="urn:schemas-microsoft-com:office:smarttags" w:element="metricconverter">
              <w:smartTagPr>
                <w:attr w:name="ProductID" w:val="2ﾰC"/>
              </w:smartTagPr>
              <w:r>
                <w:rPr>
                  <w:lang w:val="cs-CZ"/>
                </w:rPr>
                <w:t>2°C</w:t>
              </w:r>
            </w:smartTag>
            <w:r>
              <w:rPr>
                <w:lang w:val="cs-CZ"/>
              </w:rPr>
              <w:t xml:space="preserve"> až</w:t>
            </w:r>
            <w:r w:rsidRPr="00690AE6">
              <w:rPr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90AE6">
                <w:rPr>
                  <w:lang w:val="cs-CZ"/>
                </w:rPr>
                <w:t>8°C</w:t>
              </w:r>
            </w:smartTag>
            <w:r>
              <w:t xml:space="preserve"> (36 °F až 46 °F).</w:t>
            </w:r>
          </w:p>
        </w:tc>
      </w:tr>
      <w:tr w:rsidR="00EA215A" w:rsidRPr="00C22CA2" w:rsidTr="00275746">
        <w:trPr>
          <w:trHeight w:val="1052"/>
        </w:trPr>
        <w:tc>
          <w:tcPr>
            <w:tcW w:w="5049" w:type="dxa"/>
            <w:gridSpan w:val="2"/>
            <w:tcBorders>
              <w:bottom w:val="nil"/>
            </w:tcBorders>
            <w:vAlign w:val="center"/>
          </w:tcPr>
          <w:p w:rsidR="00EA215A" w:rsidRPr="003967E0" w:rsidRDefault="00EA215A" w:rsidP="00B410B2">
            <w:pPr>
              <w:pStyle w:val="QSDTextStandard"/>
              <w:spacing w:before="0" w:after="0"/>
            </w:pPr>
            <w:r w:rsidRPr="003967E0">
              <w:t>The bulk product labeling is non study specific.</w:t>
            </w:r>
            <w:r>
              <w:t xml:space="preserve"> </w:t>
            </w:r>
            <w:r w:rsidRPr="003967E0">
              <w:t>Stability data for the IMP have been generated in the above mentioned primary packaging material.</w:t>
            </w:r>
            <w:r>
              <w:t xml:space="preserve"> </w:t>
            </w:r>
            <w:r w:rsidRPr="003967E0">
              <w:t>The labeling of the finished Study Drug shall include the storage instruction for the primary packed product.</w:t>
            </w:r>
          </w:p>
        </w:tc>
        <w:tc>
          <w:tcPr>
            <w:tcW w:w="5049" w:type="dxa"/>
            <w:gridSpan w:val="2"/>
            <w:tcBorders>
              <w:bottom w:val="nil"/>
            </w:tcBorders>
            <w:vAlign w:val="center"/>
          </w:tcPr>
          <w:p w:rsidR="00EA215A" w:rsidRPr="00375147" w:rsidRDefault="00EA215A" w:rsidP="00B410B2">
            <w:pPr>
              <w:pStyle w:val="QSDTextStandard"/>
              <w:spacing w:before="0" w:after="0"/>
              <w:rPr>
                <w:sz w:val="18"/>
                <w:szCs w:val="18"/>
                <w:lang w:val="cs-CZ"/>
              </w:rPr>
            </w:pPr>
            <w:r w:rsidRPr="00375147">
              <w:rPr>
                <w:sz w:val="18"/>
                <w:szCs w:val="18"/>
                <w:lang w:val="cs-CZ"/>
              </w:rPr>
              <w:t>Označování hromadného, maloobchodně nebaleného produktu není pro studii specifické.</w:t>
            </w:r>
            <w:r w:rsidRPr="00375147">
              <w:rPr>
                <w:i/>
                <w:sz w:val="18"/>
                <w:szCs w:val="18"/>
                <w:lang w:val="cs-CZ"/>
              </w:rPr>
              <w:t xml:space="preserve"> </w:t>
            </w:r>
            <w:r w:rsidRPr="00375147">
              <w:rPr>
                <w:sz w:val="18"/>
                <w:szCs w:val="18"/>
                <w:lang w:val="cs-CZ"/>
              </w:rPr>
              <w:t>Údaje o stabilitě byly pro HODNOCENÝ LÉK získány ve shora zmíněném primárním obalovém materiálu. Označení konečného HODNOCENÉHO LÉKU musí obsahovat pokyny pro skladování produktu baleného v primárním obalu.</w:t>
            </w:r>
          </w:p>
        </w:tc>
      </w:tr>
      <w:tr w:rsidR="00FB42F8" w:rsidRPr="003967E0" w:rsidTr="002001FE">
        <w:trPr>
          <w:trHeight w:val="587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B42F8" w:rsidRPr="0004433E" w:rsidRDefault="00FB42F8" w:rsidP="00E20A22">
            <w:pPr>
              <w:pStyle w:val="QSDTextStandard"/>
              <w:jc w:val="left"/>
              <w:rPr>
                <w:b/>
                <w:color w:val="000000"/>
              </w:rPr>
            </w:pPr>
            <w:r w:rsidRPr="0004433E">
              <w:rPr>
                <w:b/>
                <w:color w:val="000000"/>
              </w:rPr>
              <w:t>Amount of product to be supplied / Re-supplies, if applicable</w:t>
            </w:r>
            <w:r>
              <w:rPr>
                <w:b/>
                <w:color w:val="000000"/>
              </w:rPr>
              <w:t xml:space="preserve"> / </w:t>
            </w:r>
            <w:r w:rsidRPr="00BD57D3">
              <w:rPr>
                <w:b/>
                <w:color w:val="000000"/>
                <w:lang w:val="cs-CZ"/>
              </w:rPr>
              <w:t xml:space="preserve">Množství </w:t>
            </w:r>
            <w:r>
              <w:rPr>
                <w:b/>
                <w:color w:val="000000"/>
                <w:lang w:val="cs-CZ"/>
              </w:rPr>
              <w:t>HODNOCENÉHO LÉKU</w:t>
            </w:r>
            <w:r w:rsidRPr="00BD57D3">
              <w:rPr>
                <w:b/>
                <w:color w:val="000000"/>
                <w:lang w:val="cs-CZ"/>
              </w:rPr>
              <w:t xml:space="preserve"> k dodání / Případné opětovné dodávky</w:t>
            </w:r>
            <w:r w:rsidRPr="0004433E">
              <w:rPr>
                <w:b/>
                <w:color w:val="000000"/>
              </w:rPr>
              <w:t>:</w:t>
            </w: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</w:tcPr>
          <w:p w:rsidR="006A75CB" w:rsidRPr="006F2B07" w:rsidRDefault="00FB42F8" w:rsidP="00FF2B91">
            <w:pPr>
              <w:pStyle w:val="QSDTextStandard"/>
              <w:numPr>
                <w:ilvl w:val="0"/>
                <w:numId w:val="46"/>
              </w:numPr>
            </w:pPr>
            <w:r>
              <w:t>Total of 530 vials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A75CB" w:rsidRPr="006F2B07" w:rsidRDefault="00FB42F8" w:rsidP="00FF2B91">
            <w:pPr>
              <w:pStyle w:val="QSDTextStandard"/>
              <w:numPr>
                <w:ilvl w:val="0"/>
                <w:numId w:val="46"/>
              </w:numPr>
            </w:pPr>
            <w:r>
              <w:t>Celkem 530 lahviček</w:t>
            </w:r>
          </w:p>
        </w:tc>
      </w:tr>
      <w:tr w:rsidR="008950BF" w:rsidRPr="00C22CA2" w:rsidTr="009B37FD">
        <w:trPr>
          <w:trHeight w:val="142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BF" w:rsidRDefault="008950BF" w:rsidP="00C9070E">
            <w:pPr>
              <w:pStyle w:val="QSDTextStandard"/>
            </w:pPr>
            <w:r w:rsidRPr="003967E0">
              <w:t xml:space="preserve">The </w:t>
            </w:r>
            <w:r w:rsidR="00C9070E">
              <w:t>SPONSOR</w:t>
            </w:r>
            <w:r w:rsidR="00C9070E" w:rsidDel="00C9070E">
              <w:t xml:space="preserve"> </w:t>
            </w:r>
            <w:r w:rsidRPr="003967E0">
              <w:t>shall perform blinding, if applicable, and labeling operations</w:t>
            </w:r>
            <w:r w:rsidRPr="00D57A4A">
              <w:rPr>
                <w:color w:val="FF6600"/>
              </w:rPr>
              <w:t xml:space="preserve"> </w:t>
            </w:r>
            <w:r w:rsidRPr="003967E0">
              <w:t xml:space="preserve">of the Study Drug under his own responsibility, in strict compliance with the rules and regulations as well as Good Practice in force. The </w:t>
            </w:r>
            <w:r w:rsidR="00C9070E">
              <w:t>SPONSOR</w:t>
            </w:r>
            <w:r w:rsidRPr="003967E0">
              <w:t xml:space="preserve"> shall be responsible for the release of the finished Study Drug after blinding</w:t>
            </w:r>
            <w:r w:rsidRPr="00BA6033">
              <w:rPr>
                <w:i/>
              </w:rPr>
              <w:t xml:space="preserve"> </w:t>
            </w:r>
            <w:r w:rsidRPr="003967E0">
              <w:t xml:space="preserve">and labeling have been performed. The </w:t>
            </w:r>
            <w:r w:rsidR="00C9070E">
              <w:t>SPONSOR</w:t>
            </w:r>
            <w:r w:rsidRPr="003967E0">
              <w:t xml:space="preserve"> is responsible for fulfilling all regulatory requirements for clinical trial initiation prior to final drug release.</w:t>
            </w:r>
          </w:p>
          <w:p w:rsidR="008950BF" w:rsidRDefault="008950BF" w:rsidP="00C9070E">
            <w:pPr>
              <w:pStyle w:val="QSDTextStandard"/>
            </w:pPr>
            <w:r w:rsidRPr="00C66230">
              <w:t xml:space="preserve">The </w:t>
            </w:r>
            <w:r w:rsidR="00B410B2">
              <w:t>SPONSOR</w:t>
            </w:r>
            <w:r w:rsidR="00B410B2" w:rsidDel="00B410B2">
              <w:t xml:space="preserve"> </w:t>
            </w:r>
            <w:r w:rsidRPr="00C66230">
              <w:t xml:space="preserve">is responsible for distribution to additional sites in the </w:t>
            </w:r>
            <w:r w:rsidR="00C9070E">
              <w:t>STUDY</w:t>
            </w:r>
            <w:r w:rsidRPr="00C66230">
              <w:t xml:space="preserve">. </w:t>
            </w:r>
            <w:r w:rsidR="00C9070E">
              <w:t>BAYER</w:t>
            </w:r>
            <w:r w:rsidR="00C9070E" w:rsidRPr="00C66230">
              <w:t xml:space="preserve"> </w:t>
            </w:r>
            <w:r w:rsidRPr="00C66230">
              <w:t xml:space="preserve">will only supply product to the </w:t>
            </w:r>
            <w:r w:rsidR="00B410B2">
              <w:t>SPONSOR</w:t>
            </w:r>
            <w:r w:rsidRPr="00C66230">
              <w:t>.</w:t>
            </w:r>
          </w:p>
          <w:p w:rsidR="008950BF" w:rsidRPr="008950BF" w:rsidRDefault="008950BF" w:rsidP="00B410B2">
            <w:pPr>
              <w:pStyle w:val="QSDTextStandard"/>
            </w:pPr>
            <w:r w:rsidRPr="00C66230">
              <w:rPr>
                <w:rFonts w:cs="Arial"/>
              </w:rPr>
              <w:t xml:space="preserve">Prior to initiating first shipment of </w:t>
            </w:r>
            <w:r w:rsidR="00C9070E">
              <w:t xml:space="preserve">STUDY DRUG </w:t>
            </w:r>
            <w:r w:rsidRPr="00C66230">
              <w:rPr>
                <w:rFonts w:cs="Arial"/>
              </w:rPr>
              <w:t xml:space="preserve">to </w:t>
            </w:r>
            <w:r w:rsidR="00B410B2">
              <w:rPr>
                <w:rFonts w:cs="Arial"/>
              </w:rPr>
              <w:t>the</w:t>
            </w:r>
            <w:r w:rsidR="00B410B2" w:rsidRPr="00C66230">
              <w:rPr>
                <w:rFonts w:cs="Arial"/>
              </w:rPr>
              <w:t xml:space="preserve"> </w:t>
            </w:r>
            <w:r w:rsidR="00B410B2">
              <w:t>SPONSOR</w:t>
            </w:r>
            <w:r w:rsidRPr="00C66230">
              <w:rPr>
                <w:rFonts w:cs="Arial"/>
              </w:rPr>
              <w:t xml:space="preserve"> clinical site the IIR Responsible must ensure that local approval requirements have been met, e.g. the Regulatory Green Light can be provided.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BF" w:rsidRDefault="00B410B2" w:rsidP="008950BF">
            <w:pPr>
              <w:autoSpaceDE w:val="0"/>
              <w:autoSpaceDN w:val="0"/>
              <w:jc w:val="both"/>
              <w:rPr>
                <w:lang w:val="cs-CZ"/>
              </w:rPr>
            </w:pPr>
            <w:r>
              <w:t>ZADAVATEL</w:t>
            </w:r>
            <w:r w:rsidR="008950BF" w:rsidRPr="00BD57D3">
              <w:rPr>
                <w:lang w:val="cs-CZ"/>
              </w:rPr>
              <w:t xml:space="preserve"> je </w:t>
            </w:r>
            <w:r w:rsidR="008950BF" w:rsidRPr="00F74B11">
              <w:rPr>
                <w:lang w:val="cs-CZ"/>
              </w:rPr>
              <w:t>povinen provést balení, případné zaslepení a označení HODNOCENÉHO LÉKU na svou vlastní odpovědnost, v přísném souladu s platnými předpisy, pravidly a správnou praxí.</w:t>
            </w:r>
            <w:r w:rsidR="008950BF">
              <w:rPr>
                <w:lang w:val="cs-CZ"/>
              </w:rPr>
              <w:t xml:space="preserve"> </w:t>
            </w:r>
            <w:r w:rsidRPr="00566A1D">
              <w:rPr>
                <w:lang w:val="cs-CZ"/>
              </w:rPr>
              <w:t>ZADAVATEL</w:t>
            </w:r>
            <w:r w:rsidDel="00B410B2">
              <w:rPr>
                <w:lang w:val="cs-CZ"/>
              </w:rPr>
              <w:t xml:space="preserve"> </w:t>
            </w:r>
            <w:r w:rsidR="008950BF" w:rsidRPr="00F74B11">
              <w:rPr>
                <w:lang w:val="cs-CZ"/>
              </w:rPr>
              <w:t>je odpovědný za vydání konečného HODNOCENÉHO LÉKU poté, co bylo provedeno zaslepení HODNOCENÉHO</w:t>
            </w:r>
            <w:r w:rsidR="008950BF">
              <w:rPr>
                <w:lang w:val="cs-CZ"/>
              </w:rPr>
              <w:t xml:space="preserve"> LÉKU a jeho označení. </w:t>
            </w:r>
            <w:r w:rsidRPr="00566A1D">
              <w:rPr>
                <w:lang w:val="cs-CZ"/>
              </w:rPr>
              <w:t>ZADAVATEL</w:t>
            </w:r>
            <w:r w:rsidDel="00B410B2">
              <w:rPr>
                <w:lang w:val="cs-CZ"/>
              </w:rPr>
              <w:t xml:space="preserve"> </w:t>
            </w:r>
            <w:r w:rsidR="008950BF" w:rsidRPr="00F74B11">
              <w:rPr>
                <w:lang w:val="cs-CZ"/>
              </w:rPr>
              <w:t>je odpovědný za to, že všechny zákonné požadavky na zahájení klinického hodnocení budou před konečným vydáním HODNOCENÉHO LÉKU splněny.</w:t>
            </w:r>
          </w:p>
          <w:p w:rsidR="004B74D7" w:rsidRDefault="00B410B2" w:rsidP="008950BF">
            <w:pPr>
              <w:autoSpaceDE w:val="0"/>
              <w:autoSpaceDN w:val="0"/>
              <w:jc w:val="both"/>
              <w:rPr>
                <w:lang w:val="cs-CZ"/>
              </w:rPr>
            </w:pPr>
            <w:r w:rsidRPr="00566A1D">
              <w:rPr>
                <w:lang w:val="pl-PL"/>
              </w:rPr>
              <w:t>ZADAVATEL</w:t>
            </w:r>
            <w:r w:rsidDel="00B410B2">
              <w:rPr>
                <w:lang w:val="cs-CZ"/>
              </w:rPr>
              <w:t xml:space="preserve"> </w:t>
            </w:r>
            <w:r w:rsidR="004B74D7">
              <w:rPr>
                <w:lang w:val="cs-CZ"/>
              </w:rPr>
              <w:t xml:space="preserve">je zodpovědný za distribuci do případných dalších center STUDIE. </w:t>
            </w:r>
            <w:r w:rsidR="00C9070E">
              <w:rPr>
                <w:lang w:val="cs-CZ"/>
              </w:rPr>
              <w:t>BAYER dodá</w:t>
            </w:r>
            <w:r w:rsidR="004B74D7">
              <w:rPr>
                <w:lang w:val="cs-CZ"/>
              </w:rPr>
              <w:t xml:space="preserve"> produkt pouze</w:t>
            </w:r>
            <w:r w:rsidRPr="00566A1D">
              <w:rPr>
                <w:lang w:val="cs-CZ"/>
              </w:rPr>
              <w:t xml:space="preserve"> ZADAVATELI</w:t>
            </w:r>
            <w:r w:rsidR="004B74D7">
              <w:rPr>
                <w:lang w:val="cs-CZ"/>
              </w:rPr>
              <w:t>.</w:t>
            </w:r>
          </w:p>
          <w:p w:rsidR="008950BF" w:rsidRPr="008950BF" w:rsidRDefault="008950BF" w:rsidP="00C9070E">
            <w:pPr>
              <w:pStyle w:val="QSDTextStandard"/>
              <w:rPr>
                <w:lang w:val="cs-CZ"/>
              </w:rPr>
            </w:pPr>
            <w:r>
              <w:rPr>
                <w:lang w:val="cs-CZ"/>
              </w:rPr>
              <w:t xml:space="preserve">Před iniciací první dodávky HODNOCENÉHO LÉKU do centra </w:t>
            </w:r>
            <w:r w:rsidR="00B410B2" w:rsidRPr="00566A1D">
              <w:rPr>
                <w:lang w:val="cs-CZ"/>
              </w:rPr>
              <w:t>ZADAVATELE</w:t>
            </w:r>
            <w:r w:rsidR="00B410B2" w:rsidDel="00B410B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musí </w:t>
            </w:r>
            <w:r w:rsidR="00C9070E">
              <w:rPr>
                <w:lang w:val="cs-CZ"/>
              </w:rPr>
              <w:t>O</w:t>
            </w:r>
            <w:r>
              <w:rPr>
                <w:lang w:val="cs-CZ"/>
              </w:rPr>
              <w:t xml:space="preserve">soba odpovědná za IIR zajistit, že byly splněny </w:t>
            </w:r>
            <w:r w:rsidR="00C9070E">
              <w:rPr>
                <w:lang w:val="cs-CZ"/>
              </w:rPr>
              <w:t xml:space="preserve">místní </w:t>
            </w:r>
            <w:r>
              <w:rPr>
                <w:lang w:val="cs-CZ"/>
              </w:rPr>
              <w:t xml:space="preserve">požadavky </w:t>
            </w:r>
            <w:r w:rsidR="00C9070E">
              <w:rPr>
                <w:lang w:val="cs-CZ"/>
              </w:rPr>
              <w:t xml:space="preserve">pro </w:t>
            </w:r>
            <w:r>
              <w:rPr>
                <w:lang w:val="cs-CZ"/>
              </w:rPr>
              <w:t>schválení, např. že</w:t>
            </w:r>
            <w:r w:rsidR="00C9070E">
              <w:rPr>
                <w:lang w:val="cs-CZ"/>
              </w:rPr>
              <w:t xml:space="preserve"> může být schváleno ze strany</w:t>
            </w:r>
            <w:r>
              <w:rPr>
                <w:lang w:val="cs-CZ"/>
              </w:rPr>
              <w:t xml:space="preserve"> Regulatory.</w:t>
            </w:r>
          </w:p>
        </w:tc>
      </w:tr>
      <w:tr w:rsidR="008950BF" w:rsidRPr="00C22CA2" w:rsidTr="00BB652D">
        <w:trPr>
          <w:trHeight w:val="1397"/>
        </w:trPr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8950BF" w:rsidRPr="006A3FBE" w:rsidRDefault="008950BF" w:rsidP="00B410B2">
            <w:pPr>
              <w:pStyle w:val="QSDTextStandard"/>
              <w:keepNext/>
            </w:pPr>
            <w:r w:rsidRPr="003967E0">
              <w:t xml:space="preserve">Subsequent deliveries shall be ordered </w:t>
            </w:r>
            <w:r>
              <w:t xml:space="preserve">by </w:t>
            </w:r>
            <w:r w:rsidR="00B410B2">
              <w:t>SPONSOR</w:t>
            </w:r>
            <w:r w:rsidR="00CB44B0">
              <w:t xml:space="preserve"> </w:t>
            </w:r>
            <w:r>
              <w:t xml:space="preserve">to </w:t>
            </w:r>
            <w:r w:rsidRPr="00866B44">
              <w:t>Bayer 1 month before</w:t>
            </w:r>
            <w:r w:rsidRPr="003967E0">
              <w:t xml:space="preserve"> the desired delivery </w:t>
            </w:r>
            <w:r w:rsidRPr="00C87ED8">
              <w:t>date</w:t>
            </w:r>
            <w:r w:rsidRPr="00C87ED8">
              <w:rPr>
                <w:b/>
              </w:rPr>
              <w:t>.</w:t>
            </w:r>
            <w:r w:rsidDel="006A3FBE">
              <w:rPr>
                <w:rStyle w:val="Odkaznakoment"/>
              </w:rPr>
              <w:t xml:space="preserve"> </w:t>
            </w:r>
          </w:p>
          <w:p w:rsidR="008950BF" w:rsidRDefault="008950BF" w:rsidP="00B410B2">
            <w:pPr>
              <w:pStyle w:val="QSDTextStandard"/>
              <w:keepNext/>
              <w:spacing w:before="0"/>
            </w:pPr>
            <w:r w:rsidRPr="003967E0">
              <w:t xml:space="preserve">The Clinical Trial Supplies will be delivered by </w:t>
            </w:r>
            <w:r>
              <w:t>Bayer</w:t>
            </w:r>
            <w:r w:rsidRPr="003967E0">
              <w:t xml:space="preserve"> to the shipment address confirmed </w:t>
            </w:r>
            <w:r>
              <w:t xml:space="preserve">below </w:t>
            </w:r>
            <w:r w:rsidRPr="003967E0">
              <w:t xml:space="preserve">by the </w:t>
            </w:r>
            <w:r w:rsidR="00B410B2">
              <w:t>SPONSOR</w:t>
            </w:r>
            <w:r w:rsidRPr="003967E0">
              <w:t>.</w:t>
            </w:r>
          </w:p>
          <w:p w:rsidR="008950BF" w:rsidRDefault="008950BF" w:rsidP="00CB44B0">
            <w:pPr>
              <w:pStyle w:val="QSDTextStandard"/>
              <w:keepNext/>
              <w:spacing w:before="0"/>
              <w:jc w:val="left"/>
            </w:pPr>
            <w:r>
              <w:t xml:space="preserve">Unused Clinical Trial Supplies will not be returned to Bayer. The </w:t>
            </w:r>
            <w:r w:rsidR="00B410B2">
              <w:t>SPONSOR</w:t>
            </w:r>
            <w:r>
              <w:t xml:space="preserve"> will destruct the unused IMP after completion of the </w:t>
            </w:r>
            <w:r w:rsidR="00CB44B0">
              <w:t xml:space="preserve">STUDY </w:t>
            </w:r>
            <w:r>
              <w:t xml:space="preserve">and will document the destruction in the </w:t>
            </w:r>
            <w:r w:rsidR="00CB44B0">
              <w:t xml:space="preserve">STUDY </w:t>
            </w:r>
            <w:r>
              <w:t>File.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8950BF" w:rsidRPr="00CF0C0D" w:rsidRDefault="008950BF" w:rsidP="008950BF">
            <w:pPr>
              <w:pStyle w:val="SOPOMTextStandard"/>
              <w:keepNext/>
              <w:spacing w:before="0"/>
              <w:rPr>
                <w:lang w:val="cs-CZ"/>
              </w:rPr>
            </w:pPr>
            <w:r w:rsidRPr="00CF0C0D">
              <w:rPr>
                <w:lang w:val="cs-CZ"/>
              </w:rPr>
              <w:t xml:space="preserve">Následné dodávky budou objednávány </w:t>
            </w:r>
            <w:r w:rsidR="00B410B2">
              <w:t>ZADAVATELEM</w:t>
            </w:r>
            <w:r w:rsidRPr="00CF0C0D">
              <w:rPr>
                <w:lang w:val="cs-CZ"/>
              </w:rPr>
              <w:t xml:space="preserve"> u společnosti BAYER</w:t>
            </w:r>
            <w:r>
              <w:rPr>
                <w:lang w:val="cs-CZ"/>
              </w:rPr>
              <w:t xml:space="preserve"> alespoň</w:t>
            </w:r>
            <w:r w:rsidRPr="00CF0C0D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1 měsíc </w:t>
            </w:r>
            <w:r w:rsidRPr="00CF0C0D">
              <w:rPr>
                <w:lang w:val="cs-CZ"/>
              </w:rPr>
              <w:t>před požadovaným dnem doručení.</w:t>
            </w:r>
          </w:p>
          <w:p w:rsidR="008950BF" w:rsidRPr="005867D7" w:rsidRDefault="008950BF" w:rsidP="008950BF">
            <w:pPr>
              <w:pStyle w:val="SOPOMTextStandard"/>
              <w:keepNext/>
              <w:spacing w:before="0"/>
              <w:rPr>
                <w:lang w:val="cs-CZ"/>
              </w:rPr>
            </w:pPr>
            <w:r>
              <w:rPr>
                <w:lang w:val="cs-CZ"/>
              </w:rPr>
              <w:t>Klinické d</w:t>
            </w:r>
            <w:r w:rsidRPr="00CF0C0D">
              <w:rPr>
                <w:lang w:val="cs-CZ"/>
              </w:rPr>
              <w:t xml:space="preserve">odávky budou dodány společností BAYER </w:t>
            </w:r>
            <w:r w:rsidRPr="005867D7">
              <w:rPr>
                <w:lang w:val="cs-CZ"/>
              </w:rPr>
              <w:t>na dodací adresu potvrzenou níže</w:t>
            </w:r>
            <w:r w:rsidR="00B410B2" w:rsidRPr="00566A1D">
              <w:rPr>
                <w:lang w:val="cs-CZ"/>
              </w:rPr>
              <w:t xml:space="preserve"> ZADAVATELEM</w:t>
            </w:r>
            <w:r w:rsidRPr="005867D7">
              <w:rPr>
                <w:lang w:val="cs-CZ"/>
              </w:rPr>
              <w:t>.</w:t>
            </w:r>
          </w:p>
          <w:p w:rsidR="008950BF" w:rsidRPr="008950BF" w:rsidRDefault="008950BF" w:rsidP="00B410B2">
            <w:pPr>
              <w:pStyle w:val="QSDTextStandard"/>
              <w:keepNext/>
              <w:spacing w:before="0"/>
              <w:rPr>
                <w:lang w:val="cs-CZ"/>
              </w:rPr>
            </w:pPr>
            <w:r w:rsidRPr="005867D7">
              <w:rPr>
                <w:lang w:val="cs-CZ"/>
              </w:rPr>
              <w:t xml:space="preserve">Nepoužité klinické dodávky se nebudou vracet společnosti BAYER. </w:t>
            </w:r>
            <w:r>
              <w:rPr>
                <w:lang w:val="cs-CZ"/>
              </w:rPr>
              <w:t xml:space="preserve"> </w:t>
            </w:r>
            <w:r w:rsidR="00B410B2" w:rsidRPr="00566A1D">
              <w:rPr>
                <w:lang w:val="cs-CZ"/>
              </w:rPr>
              <w:t>ZADAVATEL</w:t>
            </w:r>
            <w:r w:rsidRPr="005867D7">
              <w:rPr>
                <w:lang w:val="cs-CZ"/>
              </w:rPr>
              <w:t xml:space="preserve"> zlikviduje nepoužitý HODNOCENÝ LÉK po dokončení STUDIE a likvidaci zdokumentuje ve složce STUDIE.</w:t>
            </w:r>
          </w:p>
        </w:tc>
      </w:tr>
      <w:tr w:rsidR="00165D17" w:rsidTr="00E20A22">
        <w:trPr>
          <w:trHeight w:val="846"/>
        </w:trPr>
        <w:tc>
          <w:tcPr>
            <w:tcW w:w="2906" w:type="dxa"/>
            <w:shd w:val="clear" w:color="auto" w:fill="E0E0E0"/>
            <w:vAlign w:val="center"/>
          </w:tcPr>
          <w:p w:rsidR="00165D17" w:rsidRPr="008950BF" w:rsidRDefault="00FB42F8" w:rsidP="00B410B2">
            <w:pPr>
              <w:pStyle w:val="QSDTextStandard"/>
              <w:keepNext/>
              <w:jc w:val="left"/>
              <w:rPr>
                <w:b/>
                <w:sz w:val="18"/>
                <w:szCs w:val="18"/>
              </w:rPr>
            </w:pPr>
            <w:r w:rsidRPr="008950BF">
              <w:rPr>
                <w:b/>
                <w:sz w:val="18"/>
                <w:szCs w:val="18"/>
              </w:rPr>
              <w:t xml:space="preserve">Recipient Address (Pharmacy / contact at </w:t>
            </w:r>
            <w:r w:rsidR="00B410B2" w:rsidRPr="00B410B2">
              <w:rPr>
                <w:b/>
              </w:rPr>
              <w:t>SPONSOR</w:t>
            </w:r>
            <w:r w:rsidR="00B410B2" w:rsidRPr="008950BF" w:rsidDel="00B410B2">
              <w:rPr>
                <w:b/>
                <w:sz w:val="18"/>
                <w:szCs w:val="18"/>
              </w:rPr>
              <w:t xml:space="preserve"> </w:t>
            </w:r>
            <w:r w:rsidRPr="008950BF">
              <w:rPr>
                <w:b/>
                <w:sz w:val="18"/>
                <w:szCs w:val="18"/>
              </w:rPr>
              <w:t xml:space="preserve">site) / </w:t>
            </w:r>
            <w:r w:rsidRPr="008950BF">
              <w:rPr>
                <w:b/>
                <w:sz w:val="18"/>
                <w:szCs w:val="18"/>
                <w:lang w:val="cs-CZ"/>
              </w:rPr>
              <w:t xml:space="preserve">Adresa příjemce (Lékárna/kontakt v místě </w:t>
            </w:r>
            <w:r w:rsidR="00B410B2">
              <w:rPr>
                <w:b/>
                <w:sz w:val="18"/>
                <w:szCs w:val="18"/>
                <w:lang w:val="cs-CZ"/>
              </w:rPr>
              <w:t>ZADAVATELE)</w:t>
            </w:r>
            <w:r w:rsidRPr="008950B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92" w:type="dxa"/>
            <w:gridSpan w:val="3"/>
            <w:vAlign w:val="center"/>
          </w:tcPr>
          <w:p w:rsidR="00165D17" w:rsidRPr="008950BF" w:rsidRDefault="00FB42F8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 xml:space="preserve">Name: </w:t>
            </w:r>
            <w:r w:rsidR="006D24A8">
              <w:rPr>
                <w:b/>
                <w:color w:val="FF0000"/>
                <w:sz w:val="16"/>
                <w:szCs w:val="16"/>
              </w:rPr>
              <w:t>xxxxxxxxxxxxxxxxxxxxxx</w:t>
            </w:r>
            <w:bookmarkStart w:id="1" w:name="_GoBack"/>
            <w:bookmarkEnd w:id="1"/>
          </w:p>
          <w:p w:rsidR="008950BF" w:rsidRPr="008950BF" w:rsidRDefault="008950BF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 xml:space="preserve">E-mail: </w:t>
            </w:r>
            <w:hyperlink r:id="rId14" w:history="1">
              <w:r w:rsidRPr="008950BF">
                <w:rPr>
                  <w:rStyle w:val="Hypertextovodkaz"/>
                  <w:b/>
                  <w:sz w:val="16"/>
                  <w:szCs w:val="16"/>
                </w:rPr>
                <w:t>lekarna@fnkv.cz</w:t>
              </w:r>
            </w:hyperlink>
            <w:r w:rsidRPr="008950BF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FB42F8" w:rsidRPr="008950BF" w:rsidRDefault="008950BF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>Address: Ústavní lékárna,</w:t>
            </w:r>
            <w:r w:rsidR="00FB42F8" w:rsidRPr="008950BF">
              <w:rPr>
                <w:b/>
                <w:color w:val="FF0000"/>
                <w:sz w:val="16"/>
                <w:szCs w:val="16"/>
              </w:rPr>
              <w:t>Fakultní nemocnice Královské Vinohrady</w:t>
            </w:r>
          </w:p>
          <w:p w:rsidR="008950BF" w:rsidRPr="008950BF" w:rsidRDefault="008950BF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 xml:space="preserve">                Šrobárova 1150/50, </w:t>
            </w:r>
          </w:p>
          <w:p w:rsidR="008950BF" w:rsidRPr="008950BF" w:rsidRDefault="008950BF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 xml:space="preserve">                100 34 Praha 10, </w:t>
            </w:r>
          </w:p>
          <w:p w:rsidR="008950BF" w:rsidRPr="008950BF" w:rsidRDefault="008950BF" w:rsidP="00E20A22">
            <w:pPr>
              <w:pStyle w:val="QSDTextStandard"/>
              <w:keepNext/>
              <w:rPr>
                <w:b/>
                <w:color w:val="FF0000"/>
                <w:sz w:val="16"/>
                <w:szCs w:val="16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 xml:space="preserve">                Czech Republic</w:t>
            </w:r>
          </w:p>
          <w:p w:rsidR="008950BF" w:rsidRPr="008950BF" w:rsidRDefault="008950BF" w:rsidP="00E20A22">
            <w:pPr>
              <w:pStyle w:val="QSDTextStandard"/>
              <w:keepNext/>
              <w:rPr>
                <w:b/>
                <w:color w:val="FF0000"/>
              </w:rPr>
            </w:pPr>
            <w:r w:rsidRPr="008950BF">
              <w:rPr>
                <w:b/>
                <w:color w:val="FF0000"/>
                <w:sz w:val="16"/>
                <w:szCs w:val="16"/>
              </w:rPr>
              <w:t>Tel.: +420 267 16 2696</w:t>
            </w:r>
          </w:p>
        </w:tc>
      </w:tr>
    </w:tbl>
    <w:p w:rsidR="00120D87" w:rsidRPr="00165D17" w:rsidRDefault="00120D87" w:rsidP="00165D17">
      <w:pPr>
        <w:rPr>
          <w:lang w:val="en-US"/>
        </w:rPr>
      </w:pPr>
    </w:p>
    <w:sectPr w:rsidR="00120D87" w:rsidRPr="00165D17" w:rsidSect="0054429F">
      <w:headerReference w:type="default" r:id="rId15"/>
      <w:footerReference w:type="default" r:id="rId16"/>
      <w:pgSz w:w="11906" w:h="16838" w:code="9"/>
      <w:pgMar w:top="1985" w:right="1077" w:bottom="2245" w:left="72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F2" w:rsidRDefault="005C51F2">
      <w:r>
        <w:separator/>
      </w:r>
    </w:p>
  </w:endnote>
  <w:endnote w:type="continuationSeparator" w:id="0">
    <w:p w:rsidR="005C51F2" w:rsidRDefault="005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79" w:rsidRPr="002A0F79" w:rsidRDefault="00D07F14" w:rsidP="00D07F14">
    <w:pPr>
      <w:pStyle w:val="Zpat"/>
      <w:tabs>
        <w:tab w:val="clear" w:pos="8306"/>
        <w:tab w:val="right" w:pos="10065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Page </w:t>
    </w:r>
    <w:r w:rsidRPr="00D07F14">
      <w:rPr>
        <w:i/>
        <w:sz w:val="18"/>
        <w:szCs w:val="18"/>
      </w:rPr>
      <w:fldChar w:fldCharType="begin"/>
    </w:r>
    <w:r w:rsidRPr="00D07F14">
      <w:rPr>
        <w:i/>
        <w:sz w:val="18"/>
        <w:szCs w:val="18"/>
      </w:rPr>
      <w:instrText xml:space="preserve"> PAGE   \* MERGEFORMAT </w:instrText>
    </w:r>
    <w:r w:rsidRPr="00D07F14">
      <w:rPr>
        <w:i/>
        <w:sz w:val="18"/>
        <w:szCs w:val="18"/>
      </w:rPr>
      <w:fldChar w:fldCharType="separate"/>
    </w:r>
    <w:r w:rsidR="006D24A8">
      <w:rPr>
        <w:i/>
        <w:noProof/>
        <w:sz w:val="18"/>
        <w:szCs w:val="18"/>
      </w:rPr>
      <w:t>1</w:t>
    </w:r>
    <w:r w:rsidRPr="00D07F14">
      <w:rPr>
        <w:i/>
        <w:noProof/>
        <w:sz w:val="18"/>
        <w:szCs w:val="18"/>
      </w:rPr>
      <w:fldChar w:fldCharType="end"/>
    </w:r>
    <w:r w:rsidR="00682CEF">
      <w:rPr>
        <w:i/>
        <w:noProof/>
        <w:sz w:val="18"/>
        <w:szCs w:val="18"/>
      </w:rPr>
      <w:t xml:space="preserve"> of </w:t>
    </w:r>
    <w:r w:rsidR="00682CEF">
      <w:rPr>
        <w:i/>
        <w:noProof/>
        <w:sz w:val="18"/>
        <w:szCs w:val="18"/>
      </w:rPr>
      <w:fldChar w:fldCharType="begin"/>
    </w:r>
    <w:r w:rsidR="00682CEF">
      <w:rPr>
        <w:i/>
        <w:noProof/>
        <w:sz w:val="18"/>
        <w:szCs w:val="18"/>
      </w:rPr>
      <w:instrText xml:space="preserve"> NUMPAGES   \* MERGEFORMAT </w:instrText>
    </w:r>
    <w:r w:rsidR="00682CEF">
      <w:rPr>
        <w:i/>
        <w:noProof/>
        <w:sz w:val="18"/>
        <w:szCs w:val="18"/>
      </w:rPr>
      <w:fldChar w:fldCharType="separate"/>
    </w:r>
    <w:r w:rsidR="006D24A8">
      <w:rPr>
        <w:i/>
        <w:noProof/>
        <w:sz w:val="18"/>
        <w:szCs w:val="18"/>
      </w:rPr>
      <w:t>2</w:t>
    </w:r>
    <w:r w:rsidR="00682CEF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F2" w:rsidRDefault="005C51F2">
      <w:r>
        <w:separator/>
      </w:r>
    </w:p>
  </w:footnote>
  <w:footnote w:type="continuationSeparator" w:id="0">
    <w:p w:rsidR="005C51F2" w:rsidRDefault="005C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1E" w:rsidRPr="00B70E1E" w:rsidRDefault="001A426E" w:rsidP="00B70E1E">
    <w:pPr>
      <w:pStyle w:val="Zhlav"/>
      <w:rPr>
        <w:i/>
        <w:sz w:val="18"/>
        <w:szCs w:val="18"/>
        <w:lang w:val="en-US"/>
      </w:rPr>
    </w:pPr>
    <w:r>
      <w:rPr>
        <w:i/>
        <w:noProof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5953125</wp:posOffset>
          </wp:positionH>
          <wp:positionV relativeFrom="paragraph">
            <wp:posOffset>-97155</wp:posOffset>
          </wp:positionV>
          <wp:extent cx="457200" cy="431074"/>
          <wp:effectExtent l="0" t="0" r="0" b="7620"/>
          <wp:wrapNone/>
          <wp:docPr id="2" name="Picture 2" descr="Logo_BHC_Horiz_Screen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HC_Horiz_Screen_Bl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12" b="-249"/>
                  <a:stretch/>
                </pic:blipFill>
                <pic:spPr bwMode="auto">
                  <a:xfrm>
                    <a:off x="0" y="0"/>
                    <a:ext cx="457200" cy="431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E1E" w:rsidRPr="00B70E1E">
      <w:rPr>
        <w:i/>
        <w:sz w:val="18"/>
        <w:szCs w:val="18"/>
        <w:lang w:val="en-US"/>
      </w:rPr>
      <w:t>Reference Number:</w:t>
    </w:r>
    <w:r w:rsidR="00131E72">
      <w:rPr>
        <w:i/>
        <w:sz w:val="18"/>
        <w:szCs w:val="18"/>
        <w:lang w:val="en-US"/>
      </w:rPr>
      <w:t xml:space="preserve"> BHC-RD</w:t>
    </w:r>
    <w:r w:rsidR="00C02B39">
      <w:rPr>
        <w:i/>
        <w:sz w:val="18"/>
        <w:szCs w:val="18"/>
        <w:lang w:val="en-US"/>
      </w:rPr>
      <w:t>-SOP-038</w:t>
    </w:r>
  </w:p>
  <w:p w:rsidR="00B70E1E" w:rsidRPr="00AE0111" w:rsidRDefault="00E81A50" w:rsidP="00B70E1E">
    <w:pPr>
      <w:pStyle w:val="Zhlav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Best Practice Document</w:t>
    </w:r>
    <w:r w:rsidR="00B70E1E" w:rsidRPr="00AE0111">
      <w:rPr>
        <w:i/>
        <w:sz w:val="18"/>
        <w:szCs w:val="18"/>
        <w:lang w:val="en-US"/>
      </w:rPr>
      <w:t xml:space="preserve"> Version:</w:t>
    </w:r>
    <w:r w:rsidR="00201BB8">
      <w:rPr>
        <w:i/>
        <w:sz w:val="18"/>
        <w:szCs w:val="18"/>
        <w:lang w:val="en-US"/>
      </w:rPr>
      <w:t xml:space="preserve"> 4</w:t>
    </w:r>
  </w:p>
  <w:p w:rsidR="00B70E1E" w:rsidRPr="00AE0111" w:rsidRDefault="00B70E1E" w:rsidP="00B70E1E">
    <w:pPr>
      <w:pStyle w:val="Zhlav"/>
      <w:rPr>
        <w:i/>
        <w:sz w:val="18"/>
        <w:szCs w:val="18"/>
        <w:lang w:val="en-US"/>
      </w:rPr>
    </w:pPr>
  </w:p>
  <w:p w:rsidR="00854EF8" w:rsidRPr="00B70E1E" w:rsidRDefault="00854EF8" w:rsidP="00B70E1E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0CD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DA2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84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9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E6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BEE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A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4D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94F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1AE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2F2"/>
    <w:multiLevelType w:val="multilevel"/>
    <w:tmpl w:val="BB7ABD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4E73ECD"/>
    <w:multiLevelType w:val="hybridMultilevel"/>
    <w:tmpl w:val="93C45B84"/>
    <w:lvl w:ilvl="0" w:tplc="61AA2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86EE2"/>
    <w:multiLevelType w:val="hybridMultilevel"/>
    <w:tmpl w:val="717C3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D3395"/>
    <w:multiLevelType w:val="hybridMultilevel"/>
    <w:tmpl w:val="27E24F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A677C8"/>
    <w:multiLevelType w:val="hybridMultilevel"/>
    <w:tmpl w:val="3014E4C2"/>
    <w:lvl w:ilvl="0" w:tplc="4BCC43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D62EB8"/>
    <w:multiLevelType w:val="multilevel"/>
    <w:tmpl w:val="85241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5D7FD0"/>
    <w:multiLevelType w:val="multilevel"/>
    <w:tmpl w:val="22A8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8555CF"/>
    <w:multiLevelType w:val="multilevel"/>
    <w:tmpl w:val="2286B89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D66720"/>
    <w:multiLevelType w:val="multilevel"/>
    <w:tmpl w:val="E8464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7DA3751"/>
    <w:multiLevelType w:val="multilevel"/>
    <w:tmpl w:val="08A05C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13D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AF73B9"/>
    <w:multiLevelType w:val="multilevel"/>
    <w:tmpl w:val="5A96C632"/>
    <w:lvl w:ilvl="0">
      <w:start w:val="1"/>
      <w:numFmt w:val="decimal"/>
      <w:pStyle w:val="SOPOMCaption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POMCaptio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OPOMCaptio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OPOMCaption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DD77F38"/>
    <w:multiLevelType w:val="hybridMultilevel"/>
    <w:tmpl w:val="BBD2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84806"/>
    <w:multiLevelType w:val="multilevel"/>
    <w:tmpl w:val="0B806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AC6372C"/>
    <w:multiLevelType w:val="multilevel"/>
    <w:tmpl w:val="7DD0015C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7419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DFA07BB"/>
    <w:multiLevelType w:val="multilevel"/>
    <w:tmpl w:val="930EE68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463317"/>
    <w:multiLevelType w:val="multilevel"/>
    <w:tmpl w:val="E8FA3DC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 w15:restartNumberingAfterBreak="0">
    <w:nsid w:val="407E6A10"/>
    <w:multiLevelType w:val="multilevel"/>
    <w:tmpl w:val="BB7ABD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F0B22D4"/>
    <w:multiLevelType w:val="multilevel"/>
    <w:tmpl w:val="C55AA0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7A0EC7"/>
    <w:multiLevelType w:val="hybridMultilevel"/>
    <w:tmpl w:val="3E62C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C19B7"/>
    <w:multiLevelType w:val="hybridMultilevel"/>
    <w:tmpl w:val="D72A07E8"/>
    <w:lvl w:ilvl="0" w:tplc="B27CF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0367F"/>
    <w:multiLevelType w:val="hybridMultilevel"/>
    <w:tmpl w:val="BAD05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5FF5"/>
    <w:multiLevelType w:val="hybridMultilevel"/>
    <w:tmpl w:val="BC0E1B6E"/>
    <w:lvl w:ilvl="0" w:tplc="CB2878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C6E6B2">
      <w:numFmt w:val="none"/>
      <w:lvlText w:val=""/>
      <w:lvlJc w:val="left"/>
      <w:pPr>
        <w:tabs>
          <w:tab w:val="num" w:pos="360"/>
        </w:tabs>
      </w:pPr>
    </w:lvl>
    <w:lvl w:ilvl="2" w:tplc="BEC8B0E2">
      <w:numFmt w:val="none"/>
      <w:lvlText w:val=""/>
      <w:lvlJc w:val="left"/>
      <w:pPr>
        <w:tabs>
          <w:tab w:val="num" w:pos="360"/>
        </w:tabs>
      </w:pPr>
    </w:lvl>
    <w:lvl w:ilvl="3" w:tplc="5358C438">
      <w:numFmt w:val="none"/>
      <w:lvlText w:val=""/>
      <w:lvlJc w:val="left"/>
      <w:pPr>
        <w:tabs>
          <w:tab w:val="num" w:pos="360"/>
        </w:tabs>
      </w:pPr>
    </w:lvl>
    <w:lvl w:ilvl="4" w:tplc="27CAF730">
      <w:numFmt w:val="none"/>
      <w:lvlText w:val=""/>
      <w:lvlJc w:val="left"/>
      <w:pPr>
        <w:tabs>
          <w:tab w:val="num" w:pos="360"/>
        </w:tabs>
      </w:pPr>
    </w:lvl>
    <w:lvl w:ilvl="5" w:tplc="7DD2663C">
      <w:numFmt w:val="none"/>
      <w:lvlText w:val=""/>
      <w:lvlJc w:val="left"/>
      <w:pPr>
        <w:tabs>
          <w:tab w:val="num" w:pos="360"/>
        </w:tabs>
      </w:pPr>
    </w:lvl>
    <w:lvl w:ilvl="6" w:tplc="89AAAEAC">
      <w:numFmt w:val="none"/>
      <w:lvlText w:val=""/>
      <w:lvlJc w:val="left"/>
      <w:pPr>
        <w:tabs>
          <w:tab w:val="num" w:pos="360"/>
        </w:tabs>
      </w:pPr>
    </w:lvl>
    <w:lvl w:ilvl="7" w:tplc="A162AFCE">
      <w:numFmt w:val="none"/>
      <w:lvlText w:val=""/>
      <w:lvlJc w:val="left"/>
      <w:pPr>
        <w:tabs>
          <w:tab w:val="num" w:pos="360"/>
        </w:tabs>
      </w:pPr>
    </w:lvl>
    <w:lvl w:ilvl="8" w:tplc="DCB247D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D1A3F21"/>
    <w:multiLevelType w:val="hybridMultilevel"/>
    <w:tmpl w:val="AFC6E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4B059D"/>
    <w:multiLevelType w:val="hybridMultilevel"/>
    <w:tmpl w:val="FE08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76EF"/>
    <w:multiLevelType w:val="hybridMultilevel"/>
    <w:tmpl w:val="6968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41FC"/>
    <w:multiLevelType w:val="multilevel"/>
    <w:tmpl w:val="71B003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78C09C8"/>
    <w:multiLevelType w:val="multilevel"/>
    <w:tmpl w:val="3D7ABB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01EF9"/>
    <w:multiLevelType w:val="multilevel"/>
    <w:tmpl w:val="701093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8BD33AD"/>
    <w:multiLevelType w:val="multilevel"/>
    <w:tmpl w:val="F942F8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A0A25DF"/>
    <w:multiLevelType w:val="multilevel"/>
    <w:tmpl w:val="EFD46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EB830B4"/>
    <w:multiLevelType w:val="hybridMultilevel"/>
    <w:tmpl w:val="5428DD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6"/>
  </w:num>
  <w:num w:numId="4">
    <w:abstractNumId w:val="27"/>
  </w:num>
  <w:num w:numId="5">
    <w:abstractNumId w:val="41"/>
  </w:num>
  <w:num w:numId="6">
    <w:abstractNumId w:val="38"/>
  </w:num>
  <w:num w:numId="7">
    <w:abstractNumId w:val="15"/>
  </w:num>
  <w:num w:numId="8">
    <w:abstractNumId w:val="17"/>
  </w:num>
  <w:num w:numId="9">
    <w:abstractNumId w:val="41"/>
  </w:num>
  <w:num w:numId="10">
    <w:abstractNumId w:val="24"/>
  </w:num>
  <w:num w:numId="11">
    <w:abstractNumId w:val="39"/>
  </w:num>
  <w:num w:numId="12">
    <w:abstractNumId w:val="40"/>
  </w:num>
  <w:num w:numId="13">
    <w:abstractNumId w:val="21"/>
  </w:num>
  <w:num w:numId="14">
    <w:abstractNumId w:val="11"/>
  </w:num>
  <w:num w:numId="15">
    <w:abstractNumId w:val="28"/>
  </w:num>
  <w:num w:numId="16">
    <w:abstractNumId w:val="10"/>
  </w:num>
  <w:num w:numId="17">
    <w:abstractNumId w:val="29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7"/>
  </w:num>
  <w:num w:numId="30">
    <w:abstractNumId w:val="25"/>
  </w:num>
  <w:num w:numId="31">
    <w:abstractNumId w:val="19"/>
  </w:num>
  <w:num w:numId="32">
    <w:abstractNumId w:val="20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14"/>
  </w:num>
  <w:num w:numId="38">
    <w:abstractNumId w:val="13"/>
  </w:num>
  <w:num w:numId="39">
    <w:abstractNumId w:val="36"/>
  </w:num>
  <w:num w:numId="40">
    <w:abstractNumId w:val="30"/>
  </w:num>
  <w:num w:numId="41">
    <w:abstractNumId w:val="32"/>
  </w:num>
  <w:num w:numId="42">
    <w:abstractNumId w:val="18"/>
  </w:num>
  <w:num w:numId="43">
    <w:abstractNumId w:val="12"/>
  </w:num>
  <w:num w:numId="44">
    <w:abstractNumId w:val="22"/>
  </w:num>
  <w:num w:numId="45">
    <w:abstractNumId w:val="35"/>
  </w:num>
  <w:num w:numId="46">
    <w:abstractNumId w:val="31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5"/>
    <w:rsid w:val="00004A6B"/>
    <w:rsid w:val="000310F9"/>
    <w:rsid w:val="00040148"/>
    <w:rsid w:val="000512FB"/>
    <w:rsid w:val="00053357"/>
    <w:rsid w:val="00057B45"/>
    <w:rsid w:val="00061F08"/>
    <w:rsid w:val="00073383"/>
    <w:rsid w:val="00086B57"/>
    <w:rsid w:val="000A44C5"/>
    <w:rsid w:val="000E64D0"/>
    <w:rsid w:val="000E741C"/>
    <w:rsid w:val="00120D87"/>
    <w:rsid w:val="00131E72"/>
    <w:rsid w:val="00162456"/>
    <w:rsid w:val="00165D17"/>
    <w:rsid w:val="00166097"/>
    <w:rsid w:val="0017407D"/>
    <w:rsid w:val="0018334E"/>
    <w:rsid w:val="001A426E"/>
    <w:rsid w:val="001C6042"/>
    <w:rsid w:val="001E2118"/>
    <w:rsid w:val="00201BB8"/>
    <w:rsid w:val="00217F7A"/>
    <w:rsid w:val="00224C27"/>
    <w:rsid w:val="00242143"/>
    <w:rsid w:val="00285DB4"/>
    <w:rsid w:val="00293604"/>
    <w:rsid w:val="002A0F79"/>
    <w:rsid w:val="002D1074"/>
    <w:rsid w:val="002D2D1D"/>
    <w:rsid w:val="002E5D3E"/>
    <w:rsid w:val="00311733"/>
    <w:rsid w:val="00316FA8"/>
    <w:rsid w:val="003218B3"/>
    <w:rsid w:val="003474D8"/>
    <w:rsid w:val="00351249"/>
    <w:rsid w:val="00364DCE"/>
    <w:rsid w:val="003667A4"/>
    <w:rsid w:val="00367A1B"/>
    <w:rsid w:val="00373DA0"/>
    <w:rsid w:val="00375147"/>
    <w:rsid w:val="00383EB5"/>
    <w:rsid w:val="003A192F"/>
    <w:rsid w:val="003A5DE9"/>
    <w:rsid w:val="003C5C3F"/>
    <w:rsid w:val="003D5E71"/>
    <w:rsid w:val="003E44B4"/>
    <w:rsid w:val="003F6486"/>
    <w:rsid w:val="00431F44"/>
    <w:rsid w:val="0043244C"/>
    <w:rsid w:val="00455AFD"/>
    <w:rsid w:val="00472B44"/>
    <w:rsid w:val="00491348"/>
    <w:rsid w:val="0049757C"/>
    <w:rsid w:val="004A7C0F"/>
    <w:rsid w:val="004B74D7"/>
    <w:rsid w:val="0054429F"/>
    <w:rsid w:val="0056068B"/>
    <w:rsid w:val="00566A1D"/>
    <w:rsid w:val="0057329F"/>
    <w:rsid w:val="00584D71"/>
    <w:rsid w:val="00591F22"/>
    <w:rsid w:val="005A7F56"/>
    <w:rsid w:val="005C51F2"/>
    <w:rsid w:val="005C5D27"/>
    <w:rsid w:val="005D6214"/>
    <w:rsid w:val="005E1B9E"/>
    <w:rsid w:val="00606BAD"/>
    <w:rsid w:val="00615C7E"/>
    <w:rsid w:val="00627FDE"/>
    <w:rsid w:val="006367DE"/>
    <w:rsid w:val="006634B1"/>
    <w:rsid w:val="00676289"/>
    <w:rsid w:val="00682CEF"/>
    <w:rsid w:val="006A75CB"/>
    <w:rsid w:val="006C3562"/>
    <w:rsid w:val="006C68F4"/>
    <w:rsid w:val="006D24A8"/>
    <w:rsid w:val="006E63A5"/>
    <w:rsid w:val="006F2B07"/>
    <w:rsid w:val="00704531"/>
    <w:rsid w:val="00711865"/>
    <w:rsid w:val="00720009"/>
    <w:rsid w:val="007477B4"/>
    <w:rsid w:val="007730D8"/>
    <w:rsid w:val="007916A1"/>
    <w:rsid w:val="007961B6"/>
    <w:rsid w:val="007A429F"/>
    <w:rsid w:val="007C014E"/>
    <w:rsid w:val="007D272A"/>
    <w:rsid w:val="007D3EAB"/>
    <w:rsid w:val="007E1D8D"/>
    <w:rsid w:val="007E54B0"/>
    <w:rsid w:val="007F0E80"/>
    <w:rsid w:val="007F215E"/>
    <w:rsid w:val="007F2F2D"/>
    <w:rsid w:val="007F5F31"/>
    <w:rsid w:val="0084277A"/>
    <w:rsid w:val="00854EF8"/>
    <w:rsid w:val="00857670"/>
    <w:rsid w:val="00866B44"/>
    <w:rsid w:val="00893571"/>
    <w:rsid w:val="008950BF"/>
    <w:rsid w:val="008A2175"/>
    <w:rsid w:val="008B0253"/>
    <w:rsid w:val="008B7C15"/>
    <w:rsid w:val="008C61AC"/>
    <w:rsid w:val="008C74D5"/>
    <w:rsid w:val="008D0E71"/>
    <w:rsid w:val="008D2179"/>
    <w:rsid w:val="008E5BD3"/>
    <w:rsid w:val="009010F5"/>
    <w:rsid w:val="009121D0"/>
    <w:rsid w:val="009502DE"/>
    <w:rsid w:val="009519F9"/>
    <w:rsid w:val="00954B48"/>
    <w:rsid w:val="00956D0A"/>
    <w:rsid w:val="009639BD"/>
    <w:rsid w:val="00984242"/>
    <w:rsid w:val="00984CFA"/>
    <w:rsid w:val="00992281"/>
    <w:rsid w:val="009C1205"/>
    <w:rsid w:val="009C1DCB"/>
    <w:rsid w:val="009D370D"/>
    <w:rsid w:val="00A15C7B"/>
    <w:rsid w:val="00A26154"/>
    <w:rsid w:val="00A322A5"/>
    <w:rsid w:val="00A56EA8"/>
    <w:rsid w:val="00A71F36"/>
    <w:rsid w:val="00A82A53"/>
    <w:rsid w:val="00A96295"/>
    <w:rsid w:val="00AC6049"/>
    <w:rsid w:val="00AC6328"/>
    <w:rsid w:val="00AC73FB"/>
    <w:rsid w:val="00AD5124"/>
    <w:rsid w:val="00AE015B"/>
    <w:rsid w:val="00AE330D"/>
    <w:rsid w:val="00AE6B82"/>
    <w:rsid w:val="00B033B2"/>
    <w:rsid w:val="00B0495B"/>
    <w:rsid w:val="00B23CFB"/>
    <w:rsid w:val="00B410B2"/>
    <w:rsid w:val="00B6088A"/>
    <w:rsid w:val="00B63612"/>
    <w:rsid w:val="00B70E1E"/>
    <w:rsid w:val="00B82174"/>
    <w:rsid w:val="00BD2363"/>
    <w:rsid w:val="00BD38F2"/>
    <w:rsid w:val="00BD6793"/>
    <w:rsid w:val="00BE2612"/>
    <w:rsid w:val="00BF63A3"/>
    <w:rsid w:val="00C02B39"/>
    <w:rsid w:val="00C12491"/>
    <w:rsid w:val="00C156C3"/>
    <w:rsid w:val="00C22CA2"/>
    <w:rsid w:val="00C340E0"/>
    <w:rsid w:val="00C66230"/>
    <w:rsid w:val="00C726A0"/>
    <w:rsid w:val="00C80259"/>
    <w:rsid w:val="00C857E7"/>
    <w:rsid w:val="00C9070E"/>
    <w:rsid w:val="00C9464D"/>
    <w:rsid w:val="00CA19EC"/>
    <w:rsid w:val="00CB0856"/>
    <w:rsid w:val="00CB44B0"/>
    <w:rsid w:val="00CF5051"/>
    <w:rsid w:val="00D07F14"/>
    <w:rsid w:val="00D22A5C"/>
    <w:rsid w:val="00D24784"/>
    <w:rsid w:val="00D4652B"/>
    <w:rsid w:val="00D571B6"/>
    <w:rsid w:val="00D627A2"/>
    <w:rsid w:val="00D835C8"/>
    <w:rsid w:val="00DA406C"/>
    <w:rsid w:val="00DA761D"/>
    <w:rsid w:val="00DC62D5"/>
    <w:rsid w:val="00DD774A"/>
    <w:rsid w:val="00E20A22"/>
    <w:rsid w:val="00E24BDA"/>
    <w:rsid w:val="00E301FD"/>
    <w:rsid w:val="00E36BA5"/>
    <w:rsid w:val="00E53B3F"/>
    <w:rsid w:val="00E579DF"/>
    <w:rsid w:val="00E77B60"/>
    <w:rsid w:val="00E81A50"/>
    <w:rsid w:val="00E95A5A"/>
    <w:rsid w:val="00EA215A"/>
    <w:rsid w:val="00EB141D"/>
    <w:rsid w:val="00EB6303"/>
    <w:rsid w:val="00EC2E00"/>
    <w:rsid w:val="00EC4C69"/>
    <w:rsid w:val="00ED0FDC"/>
    <w:rsid w:val="00F451BE"/>
    <w:rsid w:val="00F50888"/>
    <w:rsid w:val="00F53679"/>
    <w:rsid w:val="00F55F5A"/>
    <w:rsid w:val="00F62B93"/>
    <w:rsid w:val="00F85D0E"/>
    <w:rsid w:val="00F93DC6"/>
    <w:rsid w:val="00FA059B"/>
    <w:rsid w:val="00FA6110"/>
    <w:rsid w:val="00FB42F8"/>
    <w:rsid w:val="00FE6299"/>
    <w:rsid w:val="00FE672B"/>
    <w:rsid w:val="00FE715D"/>
    <w:rsid w:val="00FF2B91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7356992"/>
  <w15:docId w15:val="{766151BD-A021-405C-AE2A-0119CE4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39"/>
    <w:rPr>
      <w:rFonts w:ascii="Arial" w:hAnsi="Arial"/>
      <w:lang w:val="en-GB"/>
    </w:rPr>
  </w:style>
  <w:style w:type="paragraph" w:styleId="Nadpis1">
    <w:name w:val="heading 1"/>
    <w:basedOn w:val="SOPOMCaption1"/>
    <w:next w:val="Normln"/>
    <w:qFormat/>
    <w:rsid w:val="00A15C7B"/>
    <w:pPr>
      <w:outlineLvl w:val="0"/>
    </w:pPr>
  </w:style>
  <w:style w:type="paragraph" w:styleId="Nadpis2">
    <w:name w:val="heading 2"/>
    <w:basedOn w:val="SOPOMCaption2"/>
    <w:next w:val="Normln"/>
    <w:qFormat/>
    <w:rsid w:val="00A15C7B"/>
    <w:pPr>
      <w:outlineLvl w:val="1"/>
    </w:pPr>
  </w:style>
  <w:style w:type="paragraph" w:styleId="Nadpis3">
    <w:name w:val="heading 3"/>
    <w:basedOn w:val="SOPOMCaption3"/>
    <w:next w:val="Normln"/>
    <w:qFormat/>
    <w:rsid w:val="00A15C7B"/>
    <w:pPr>
      <w:outlineLvl w:val="2"/>
    </w:pPr>
  </w:style>
  <w:style w:type="paragraph" w:styleId="Nadpis4">
    <w:name w:val="heading 4"/>
    <w:basedOn w:val="SOPOMCaption4"/>
    <w:next w:val="Normln"/>
    <w:qFormat/>
    <w:rsid w:val="00A15C7B"/>
    <w:pPr>
      <w:outlineLvl w:val="3"/>
    </w:pPr>
  </w:style>
  <w:style w:type="paragraph" w:styleId="Nadpis5">
    <w:name w:val="heading 5"/>
    <w:basedOn w:val="Normln"/>
    <w:next w:val="Normln"/>
    <w:qFormat/>
    <w:rsid w:val="007730D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730D8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730D8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7730D8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rsid w:val="007730D8"/>
    <w:pPr>
      <w:numPr>
        <w:ilvl w:val="8"/>
        <w:numId w:val="5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POMCaption1">
    <w:name w:val="SOP/OM Caption 1"/>
    <w:basedOn w:val="Normln"/>
    <w:semiHidden/>
    <w:rsid w:val="00C02B39"/>
    <w:pPr>
      <w:numPr>
        <w:numId w:val="36"/>
      </w:numPr>
      <w:spacing w:before="120" w:after="60"/>
    </w:pPr>
    <w:rPr>
      <w:b/>
      <w:sz w:val="24"/>
      <w:lang w:val="en-US"/>
    </w:rPr>
  </w:style>
  <w:style w:type="table" w:styleId="Mkatabulky">
    <w:name w:val="Table Grid"/>
    <w:basedOn w:val="Normlntabulka"/>
    <w:rsid w:val="0012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OMCaption2">
    <w:name w:val="SOP/OM Caption 2"/>
    <w:basedOn w:val="Normln"/>
    <w:semiHidden/>
    <w:rsid w:val="00C02B39"/>
    <w:pPr>
      <w:numPr>
        <w:ilvl w:val="1"/>
        <w:numId w:val="36"/>
      </w:numPr>
      <w:spacing w:before="120" w:after="60"/>
      <w:jc w:val="both"/>
    </w:pPr>
    <w:rPr>
      <w:b/>
      <w:bCs/>
      <w:iCs/>
    </w:rPr>
  </w:style>
  <w:style w:type="paragraph" w:customStyle="1" w:styleId="SOPOMCaption3">
    <w:name w:val="SOP/OM Caption 3"/>
    <w:basedOn w:val="Normln"/>
    <w:semiHidden/>
    <w:rsid w:val="00C02B39"/>
    <w:pPr>
      <w:numPr>
        <w:ilvl w:val="2"/>
        <w:numId w:val="36"/>
      </w:numPr>
      <w:spacing w:before="120" w:after="60"/>
      <w:jc w:val="both"/>
    </w:pPr>
    <w:rPr>
      <w:b/>
      <w:lang w:val="en-US"/>
    </w:rPr>
  </w:style>
  <w:style w:type="paragraph" w:customStyle="1" w:styleId="SOPOMCaption4">
    <w:name w:val="SOP/OM Caption 4"/>
    <w:basedOn w:val="Normln"/>
    <w:semiHidden/>
    <w:rsid w:val="00C02B39"/>
    <w:pPr>
      <w:numPr>
        <w:ilvl w:val="3"/>
        <w:numId w:val="36"/>
      </w:numPr>
      <w:spacing w:before="120" w:after="60"/>
      <w:jc w:val="both"/>
    </w:pPr>
    <w:rPr>
      <w:b/>
    </w:rPr>
  </w:style>
  <w:style w:type="paragraph" w:styleId="Zhlav">
    <w:name w:val="header"/>
    <w:basedOn w:val="Normln"/>
    <w:link w:val="ZhlavChar"/>
    <w:semiHidden/>
    <w:rsid w:val="007730D8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semiHidden/>
    <w:rsid w:val="00C02B39"/>
    <w:rPr>
      <w:rFonts w:ascii="Arial" w:hAnsi="Arial"/>
      <w:lang w:val="en-GB"/>
    </w:rPr>
  </w:style>
  <w:style w:type="paragraph" w:styleId="Zpat">
    <w:name w:val="footer"/>
    <w:basedOn w:val="Normln"/>
    <w:semiHidden/>
    <w:rsid w:val="007730D8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7730D8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7730D8"/>
    <w:pPr>
      <w:ind w:left="200"/>
    </w:pPr>
  </w:style>
  <w:style w:type="paragraph" w:styleId="Obsah1">
    <w:name w:val="toc 1"/>
    <w:basedOn w:val="Normln"/>
    <w:next w:val="Normln"/>
    <w:autoRedefine/>
    <w:semiHidden/>
    <w:rsid w:val="007730D8"/>
  </w:style>
  <w:style w:type="paragraph" w:styleId="Obsah3">
    <w:name w:val="toc 3"/>
    <w:basedOn w:val="Normln"/>
    <w:next w:val="Normln"/>
    <w:autoRedefine/>
    <w:semiHidden/>
    <w:rsid w:val="007730D8"/>
    <w:pPr>
      <w:ind w:left="400"/>
    </w:pPr>
  </w:style>
  <w:style w:type="character" w:styleId="Hypertextovodkaz">
    <w:name w:val="Hyperlink"/>
    <w:semiHidden/>
    <w:rsid w:val="007730D8"/>
    <w:rPr>
      <w:color w:val="0000FF"/>
      <w:u w:val="single"/>
    </w:rPr>
  </w:style>
  <w:style w:type="paragraph" w:styleId="Obsah4">
    <w:name w:val="toc 4"/>
    <w:basedOn w:val="Normln"/>
    <w:next w:val="Normln"/>
    <w:autoRedefine/>
    <w:semiHidden/>
    <w:rsid w:val="007730D8"/>
    <w:pPr>
      <w:ind w:left="600"/>
    </w:pPr>
  </w:style>
  <w:style w:type="paragraph" w:styleId="Rozloendokumentu">
    <w:name w:val="Document Map"/>
    <w:basedOn w:val="Normln"/>
    <w:semiHidden/>
    <w:rsid w:val="007730D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7730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0D8"/>
  </w:style>
  <w:style w:type="paragraph" w:styleId="Pedmtkomente">
    <w:name w:val="annotation subject"/>
    <w:basedOn w:val="Textkomente"/>
    <w:next w:val="Textkomente"/>
    <w:semiHidden/>
    <w:rsid w:val="007730D8"/>
    <w:rPr>
      <w:b/>
      <w:bCs/>
    </w:rPr>
  </w:style>
  <w:style w:type="paragraph" w:styleId="Nzev">
    <w:name w:val="Title"/>
    <w:basedOn w:val="Normln"/>
    <w:qFormat/>
    <w:rsid w:val="007730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OMCaption1pagebreak">
    <w:name w:val="SOP/OM Caption 1 + page break"/>
    <w:basedOn w:val="SOPOMCaption1"/>
    <w:next w:val="Normln"/>
    <w:semiHidden/>
    <w:rsid w:val="007730D8"/>
    <w:pPr>
      <w:pageBreakBefore/>
    </w:pPr>
  </w:style>
  <w:style w:type="paragraph" w:customStyle="1" w:styleId="SOPOMCaption2pagebreak">
    <w:name w:val="SOP/OM Caption 2 + page break"/>
    <w:basedOn w:val="SOPOMCaption2"/>
    <w:next w:val="Normln"/>
    <w:semiHidden/>
    <w:rsid w:val="007730D8"/>
    <w:pPr>
      <w:pageBreakBefore/>
    </w:pPr>
  </w:style>
  <w:style w:type="paragraph" w:customStyle="1" w:styleId="SOPOMCaption3pagebreak">
    <w:name w:val="SOP/OM Caption 3 + page break"/>
    <w:basedOn w:val="SOPOMCaption3"/>
    <w:next w:val="Normln"/>
    <w:semiHidden/>
    <w:rsid w:val="007730D8"/>
    <w:pPr>
      <w:pageBreakBefore/>
    </w:pPr>
  </w:style>
  <w:style w:type="paragraph" w:customStyle="1" w:styleId="SOPOMCaption4pagebreak">
    <w:name w:val="SOP/OM Caption 4 + page break"/>
    <w:basedOn w:val="SOPOMCaption4"/>
    <w:next w:val="Normln"/>
    <w:semiHidden/>
    <w:rsid w:val="007730D8"/>
    <w:pPr>
      <w:pageBreakBefore/>
    </w:pPr>
  </w:style>
  <w:style w:type="paragraph" w:customStyle="1" w:styleId="SOPOMTextBulletline">
    <w:name w:val="SOP/OM Text Bullet line"/>
    <w:basedOn w:val="Normln"/>
    <w:semiHidden/>
    <w:rsid w:val="00201BB8"/>
    <w:pPr>
      <w:tabs>
        <w:tab w:val="num" w:pos="720"/>
      </w:tabs>
      <w:ind w:left="720" w:hanging="360"/>
    </w:pPr>
  </w:style>
  <w:style w:type="paragraph" w:customStyle="1" w:styleId="QSDTextStandard">
    <w:name w:val="QSD Text Standard"/>
    <w:rsid w:val="00201BB8"/>
    <w:pPr>
      <w:spacing w:before="60" w:after="60"/>
      <w:jc w:val="both"/>
    </w:pPr>
    <w:rPr>
      <w:rFonts w:ascii="Arial" w:hAnsi="Arial"/>
    </w:rPr>
  </w:style>
  <w:style w:type="character" w:customStyle="1" w:styleId="TextkomenteChar">
    <w:name w:val="Text komentáře Char"/>
    <w:link w:val="Textkomente"/>
    <w:rsid w:val="00866B44"/>
    <w:rPr>
      <w:rFonts w:ascii="Arial" w:hAnsi="Arial"/>
      <w:lang w:val="en-GB"/>
    </w:rPr>
  </w:style>
  <w:style w:type="paragraph" w:customStyle="1" w:styleId="SOPOMTextStandard">
    <w:name w:val="SOP/OM Text Standard"/>
    <w:rsid w:val="00866B44"/>
    <w:pPr>
      <w:spacing w:before="60" w:after="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lekarna@fn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B6F9AA18267479540CEF0C7D1D984" ma:contentTypeVersion="16" ma:contentTypeDescription="Create a new document." ma:contentTypeScope="" ma:versionID="a89bbf59a4b5180727f49932d183ba0e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xmlns:ns3="4b1495a2-468b-4ccd-81f8-24167ea032d8" targetNamespace="http://schemas.microsoft.com/office/2006/metadata/properties" ma:root="true" ma:fieldsID="7033744ea60ca361e7bc734ce4dace9d" ns1:_="" ns2:_="" ns3:_="">
    <xsd:import namespace="http://schemas.microsoft.com/sharepoint/v3"/>
    <xsd:import namespace="e941b624-166c-4987-9ed6-d539972f16a8"/>
    <xsd:import namespace="4b1495a2-468b-4ccd-81f8-24167ea032d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  <xsd:element ref="ns3:BestPractice" minOccurs="0"/>
                <xsd:element ref="ns3:EventDate" minOccurs="0"/>
                <xsd:element ref="ns3:Indication" minOccurs="0"/>
                <xsd:element ref="ns3:InformationType" minOccurs="0"/>
                <xsd:element ref="ns3:Section" minOccurs="0"/>
                <xsd:element ref="ns3:Stream" minOccurs="0"/>
                <xsd:element ref="ns3:Workstrea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25c1bc-cabd-4ec6-a1b5-0d850c0d4345}" ma:internalName="TaxCatchAll" ma:showField="CatchAllData" ma:web="4b1495a2-468b-4ccd-81f8-24167ea03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25c1bc-cabd-4ec6-a1b5-0d850c0d4345}" ma:internalName="TaxCatchAllLabel" ma:readOnly="true" ma:showField="CatchAllDataLabel" ma:web="4b1495a2-468b-4ccd-81f8-24167ea03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nillable="true" ma:taxonomy="true" ma:internalName="gbbd9102adcd43839cd73b51972a464c" ma:taxonomyFieldName="DataClassBayerRetention" ma:displayName="Data Class" ma:default="1;#Short-Term|6d967203-8346-4b9c-90f8-b3828a3fa508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95a2-468b-4ccd-81f8-24167ea032d8" elementFormDefault="qualified">
    <xsd:import namespace="http://schemas.microsoft.com/office/2006/documentManagement/types"/>
    <xsd:import namespace="http://schemas.microsoft.com/office/infopath/2007/PartnerControls"/>
    <xsd:element name="BestPractice" ma:index="15" nillable="true" ma:displayName="Best Practice" ma:default="0" ma:internalName="BestPractice">
      <xsd:simpleType>
        <xsd:restriction base="dms:Boolean"/>
      </xsd:simpleType>
    </xsd:element>
    <xsd:element name="EventDate" ma:index="16" nillable="true" ma:displayName="Event Date" ma:format="DateOnly" ma:internalName="EventDate">
      <xsd:simpleType>
        <xsd:restriction base="dms:DateTime"/>
      </xsd:simpleType>
    </xsd:element>
    <xsd:element name="Indication" ma:index="17" nillable="true" ma:displayName="Indication" ma:format="Dropdown" ma:internalName="Indication">
      <xsd:simpleType>
        <xsd:restriction base="dms:Choice">
          <xsd:enumeration value="wAMD"/>
          <xsd:enumeration value="CRVO"/>
          <xsd:enumeration value="DME"/>
          <xsd:enumeration value="mCNV"/>
          <xsd:enumeration value="BRVO"/>
          <xsd:enumeration value="Cross-Indication"/>
          <xsd:enumeration value="RVO (CRVO &amp; BRVO)"/>
        </xsd:restriction>
      </xsd:simpleType>
    </xsd:element>
    <xsd:element name="InformationType" ma:index="18" nillable="true" ma:displayName="Information Type" ma:format="Dropdown" ma:internalName="InformationType">
      <xsd:simpleType>
        <xsd:restriction base="dms:Choice">
          <xsd:enumeration value="Agenda"/>
          <xsd:enumeration value="Backgrounders"/>
          <xsd:enumeration value="Brand Plan"/>
          <xsd:enumeration value="Finance"/>
          <xsd:enumeration value="Information"/>
          <xsd:enumeration value="Minutes"/>
          <xsd:enumeration value="Presentation"/>
          <xsd:enumeration value="Press Release"/>
          <xsd:enumeration value="Rich Media"/>
        </xsd:restriction>
      </xsd:simpleType>
    </xsd:element>
    <xsd:element name="Section" ma:index="19" nillable="true" ma:displayName="Section" ma:internalName="Section">
      <xsd:simpleType>
        <xsd:restriction base="dms:Text">
          <xsd:maxLength value="255"/>
        </xsd:restriction>
      </xsd:simpleType>
    </xsd:element>
    <xsd:element name="Stream" ma:index="20" nillable="true" ma:displayName="Stream" ma:internalName="Stream">
      <xsd:simpleType>
        <xsd:restriction base="dms:Text">
          <xsd:maxLength value="255"/>
        </xsd:restriction>
      </xsd:simpleType>
    </xsd:element>
    <xsd:element name="Workstream" ma:index="21" nillable="true" ma:displayName="Workstream" ma:internalName="Workstream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c593367-9bb5-4764-945e-f6a26d2260c4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1b624-166c-4987-9ed6-d539972f16a8">
      <Value>4</Value>
    </TaxCatchAll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Review</TermName>
          <TermId xmlns="http://schemas.microsoft.com/office/infopath/2007/PartnerControls">b0ec2a8b-cf08-4112-9763-11cd34e9002b</TermId>
        </TermInfo>
      </Terms>
    </gbbd9102adcd43839cd73b51972a464c>
    <BestPractice xmlns="4b1495a2-468b-4ccd-81f8-24167ea032d8">false</BestPractice>
    <Section xmlns="4b1495a2-468b-4ccd-81f8-24167ea032d8">IIR</Section>
    <EventDate xmlns="4b1495a2-468b-4ccd-81f8-24167ea032d8" xsi:nil="true"/>
    <InformationType xmlns="4b1495a2-468b-4ccd-81f8-24167ea032d8" xsi:nil="true"/>
    <Stream xmlns="4b1495a2-468b-4ccd-81f8-24167ea032d8">Global Medical Affairs</Stream>
    <Indication xmlns="4b1495a2-468b-4ccd-81f8-24167ea032d8" xsi:nil="true"/>
    <Workstream xmlns="4b1495a2-468b-4ccd-81f8-24167ea032d8">Clinical Studies</Workstream>
    <_dlc_ExpireDate xmlns="http://schemas.microsoft.com/sharepoint/v3">2022-10-12T12:06:48+00:00</_dlc_ExpireDate>
    <_dlc_ExpireDateSaved xmlns="http://schemas.microsoft.com/sharepoint/v3" xsi:nil="true"/>
    <_dlc_DocId xmlns="4b1495a2-468b-4ccd-81f8-24167ea032d8">XSU5AZWRTC3N-2-337</_dlc_DocId>
    <_dlc_DocIdUrl xmlns="4b1495a2-468b-4ccd-81f8-24167ea032d8">
      <Url>http://sp-coll-bhc.bayer-ag.com/sites/220460/mak/_layouts/DocIdRedir.aspx?ID=XSU5AZWRTC3N-2-337</Url>
      <Description>XSU5AZWRTC3N-2-337</Description>
    </_dlc_DocIdUrl>
  </documentManagement>
</p:properties>
</file>

<file path=customXml/itemProps1.xml><?xml version="1.0" encoding="utf-8"?>
<ds:datastoreItem xmlns:ds="http://schemas.openxmlformats.org/officeDocument/2006/customXml" ds:itemID="{6BF052C2-D386-4FE5-8FA9-D2F35CA02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B807F-B335-4A37-8510-5241FC3E17B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EB1EE21-3A37-4518-ABF0-0FC506F1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4b1495a2-468b-4ccd-81f8-24167ea0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F2CD1-4A4D-4420-BC54-A343429CEB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8BC9CE-97E1-4560-ABF4-CEB3572BB8D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E49B799-D16B-4778-B473-6C49CC343D7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932D738-F9CA-400F-BCAD-D9B04A3184CD}">
  <ds:schemaRefs>
    <ds:schemaRef ds:uri="4b1495a2-468b-4ccd-81f8-24167ea032d8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41b624-166c-4987-9ed6-d539972f16a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5584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Supplement Template Portrait using blank overlay</vt:lpstr>
      <vt:lpstr>Supplement Template Portrait using blank overlay</vt:lpstr>
    </vt:vector>
  </TitlesOfParts>
  <Company>Bayer HealthCare AG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Ehlich</dc:creator>
  <cp:lastModifiedBy>Renata Simankova</cp:lastModifiedBy>
  <cp:revision>7</cp:revision>
  <cp:lastPrinted>2012-04-02T13:04:00Z</cp:lastPrinted>
  <dcterms:created xsi:type="dcterms:W3CDTF">2016-03-07T17:32:00Z</dcterms:created>
  <dcterms:modified xsi:type="dcterms:W3CDTF">2019-09-09T08:48:00Z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lassTaxHTField0">
    <vt:lpwstr>Default|b9e53627-c102-4281-ada9-d68d8a49e187</vt:lpwstr>
  </property>
  <property fmtid="{D5CDD505-2E9C-101B-9397-08002B2CF9AE}" pid="3" name="_dlc_ExpireDate">
    <vt:lpwstr>2019-05-21T15:11:13Z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_dlc_policyId">
    <vt:lpwstr>0x0101|-2126682137</vt:lpwstr>
  </property>
  <property fmtid="{D5CDD505-2E9C-101B-9397-08002B2CF9AE}" pid="6" name="Data Class">
    <vt:lpwstr>1;#Default|b9e53627-c102-4281-ada9-d68d8a49e187</vt:lpwstr>
  </property>
  <property fmtid="{D5CDD505-2E9C-101B-9397-08002B2CF9AE}" pid="7" name="DataClassBayerRetention">
    <vt:lpwstr>4;#Review|b0ec2a8b-cf08-4112-9763-11cd34e9002b</vt:lpwstr>
  </property>
  <property fmtid="{D5CDD505-2E9C-101B-9397-08002B2CF9AE}" pid="8" name="ContentTypeId">
    <vt:lpwstr>0x010100B23B6F9AA18267479540CEF0C7D1D984</vt:lpwstr>
  </property>
  <property fmtid="{D5CDD505-2E9C-101B-9397-08002B2CF9AE}" pid="9" name="_dlc_DocIdItemGuid">
    <vt:lpwstr>720ec5bb-1f40-4e6d-a21c-8683f22b5207</vt:lpwstr>
  </property>
</Properties>
</file>