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4A1B1E">
        <w:rPr>
          <w:rFonts w:ascii="Calibri" w:eastAsia="Calibri" w:hAnsi="Calibri" w:cs="Calibri"/>
          <w:b/>
        </w:rPr>
        <w:t>9</w:t>
      </w:r>
      <w:r>
        <w:rPr>
          <w:rFonts w:ascii="Calibri" w:eastAsia="Calibri" w:hAnsi="Calibri" w:cs="Calibri"/>
          <w:b/>
        </w:rPr>
        <w:t>SMVP0100000</w:t>
      </w:r>
      <w:r w:rsidR="00BB4CF1">
        <w:rPr>
          <w:rFonts w:ascii="Calibri" w:eastAsia="Calibri" w:hAnsi="Calibri" w:cs="Calibri"/>
          <w:b/>
        </w:rPr>
        <w:t>0</w:t>
      </w:r>
      <w:r w:rsidR="005B783F">
        <w:rPr>
          <w:rFonts w:ascii="Calibri" w:eastAsia="Calibri" w:hAnsi="Calibri" w:cs="Calibri"/>
          <w:b/>
        </w:rPr>
        <w:t>0</w:t>
      </w:r>
      <w:r w:rsidR="008224D4">
        <w:rPr>
          <w:rFonts w:ascii="Calibri" w:eastAsia="Calibri" w:hAnsi="Calibri" w:cs="Calibri"/>
          <w:b/>
        </w:rPr>
        <w:t>4</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822C17" w:rsidRDefault="00783074" w:rsidP="00822C17">
      <w:pPr>
        <w:pStyle w:val="Bezmezer"/>
        <w:tabs>
          <w:tab w:val="left" w:pos="2127"/>
        </w:tabs>
        <w:rPr>
          <w:b/>
          <w:bCs/>
          <w:snapToGrid w:val="0"/>
        </w:rPr>
      </w:pPr>
      <w:r>
        <w:rPr>
          <w:rFonts w:cs="Calibri"/>
        </w:rPr>
        <w:t>Název:</w:t>
      </w:r>
      <w:r>
        <w:rPr>
          <w:rFonts w:cs="Calibri"/>
        </w:rPr>
        <w:tab/>
      </w:r>
      <w:r w:rsidR="00822C17">
        <w:rPr>
          <w:b/>
          <w:bCs/>
          <w:snapToGrid w:val="0"/>
        </w:rPr>
        <w:t xml:space="preserve">Základní škola a </w:t>
      </w:r>
      <w:r w:rsidR="00116256">
        <w:rPr>
          <w:b/>
          <w:bCs/>
          <w:snapToGrid w:val="0"/>
        </w:rPr>
        <w:t>mateřská škola</w:t>
      </w:r>
      <w:r w:rsidR="00822C17">
        <w:rPr>
          <w:b/>
          <w:bCs/>
          <w:snapToGrid w:val="0"/>
        </w:rPr>
        <w:t xml:space="preserve"> Ostrava-Lhotka, příspěvková organizace</w:t>
      </w:r>
    </w:p>
    <w:p w:rsidR="00822C17" w:rsidRDefault="00822C17" w:rsidP="00822C17">
      <w:pPr>
        <w:pStyle w:val="Bezmezer"/>
        <w:tabs>
          <w:tab w:val="left" w:pos="2127"/>
        </w:tabs>
      </w:pPr>
      <w:r>
        <w:t>Sídlo:</w:t>
      </w:r>
      <w:r>
        <w:tab/>
      </w:r>
      <w:r>
        <w:rPr>
          <w:snapToGrid w:val="0"/>
        </w:rPr>
        <w:t>Těsnohlídkova 99</w:t>
      </w:r>
      <w:r w:rsidR="00270A3C">
        <w:rPr>
          <w:snapToGrid w:val="0"/>
        </w:rPr>
        <w:t>/11</w:t>
      </w:r>
      <w:r>
        <w:rPr>
          <w:snapToGrid w:val="0"/>
        </w:rPr>
        <w:t>, Ostrava – Lhotka, 725 28</w:t>
      </w:r>
    </w:p>
    <w:p w:rsidR="00822C17" w:rsidRPr="00D00E43" w:rsidRDefault="00822C17" w:rsidP="00822C17">
      <w:r w:rsidRPr="00942757">
        <w:t>zastoupen:</w:t>
      </w:r>
      <w:r>
        <w:tab/>
      </w:r>
      <w:r>
        <w:tab/>
      </w:r>
      <w:r>
        <w:rPr>
          <w:snapToGrid w:val="0"/>
        </w:rPr>
        <w:t>Mgr. Naděždou Šimíčkovou, ředitelkou školy</w:t>
      </w:r>
    </w:p>
    <w:p w:rsidR="00822C17" w:rsidRDefault="00822C17" w:rsidP="00822C17">
      <w:pPr>
        <w:pStyle w:val="Bezmezer"/>
        <w:tabs>
          <w:tab w:val="left" w:pos="2127"/>
        </w:tabs>
      </w:pPr>
      <w:r>
        <w:t>Kontaktní osoba:</w:t>
      </w:r>
      <w:r>
        <w:tab/>
      </w:r>
    </w:p>
    <w:p w:rsidR="002152AA" w:rsidRDefault="00822C17" w:rsidP="00822C17">
      <w:pPr>
        <w:pStyle w:val="Bezmezer"/>
        <w:tabs>
          <w:tab w:val="left" w:pos="2127"/>
        </w:tabs>
        <w:rPr>
          <w:rFonts w:cs="Calibri"/>
        </w:rPr>
      </w:pPr>
      <w:r>
        <w:t>IČ, DIČ:</w:t>
      </w:r>
      <w:r>
        <w:tab/>
      </w:r>
      <w:r>
        <w:rPr>
          <w:snapToGrid w:val="0"/>
        </w:rPr>
        <w:t>70989460 CZ70989460</w:t>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3D0854">
        <w:rPr>
          <w:rFonts w:ascii="Calibri" w:eastAsia="Calibri" w:hAnsi="Calibri" w:cs="Calibri"/>
        </w:rPr>
        <w:t>xxxxx</w:t>
      </w:r>
      <w:proofErr w:type="spellEnd"/>
      <w:r w:rsidR="003D0854">
        <w:rPr>
          <w:rFonts w:ascii="Calibri" w:eastAsia="Calibri" w:hAnsi="Calibri" w:cs="Calibri"/>
        </w:rPr>
        <w:t xml:space="preserve"> </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4">
        <w:proofErr w:type="spellStart"/>
        <w:r w:rsidR="003D0854">
          <w:rPr>
            <w:rFonts w:ascii="Calibri" w:eastAsia="Calibri" w:hAnsi="Calibri" w:cs="Calibri"/>
            <w:color w:val="0000FF"/>
            <w:u w:val="single"/>
          </w:rPr>
          <w:t>xxxxxxxxxxxx</w:t>
        </w:r>
        <w:proofErr w:type="spellEnd"/>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ú.: </w:t>
      </w:r>
      <w:proofErr w:type="spellStart"/>
      <w:r w:rsidR="003D0854">
        <w:rPr>
          <w:rFonts w:ascii="Calibri" w:eastAsia="Calibri" w:hAnsi="Calibri" w:cs="Calibri"/>
        </w:rPr>
        <w:t>xxxxxxxxxx</w:t>
      </w:r>
      <w:proofErr w:type="spellEnd"/>
      <w:r>
        <w:rPr>
          <w:rFonts w:ascii="Calibri" w:eastAsia="Calibri" w:hAnsi="Calibri" w:cs="Calibri"/>
        </w:rPr>
        <w:t xml:space="preserve">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822C17">
        <w:rPr>
          <w:rFonts w:ascii="Calibri" w:eastAsia="Calibri" w:hAnsi="Calibri" w:cs="Calibri"/>
        </w:rPr>
        <w:t>........................</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16256"/>
    <w:rsid w:val="001637DD"/>
    <w:rsid w:val="00183673"/>
    <w:rsid w:val="001866E4"/>
    <w:rsid w:val="001B3BF6"/>
    <w:rsid w:val="001B795E"/>
    <w:rsid w:val="001D07CC"/>
    <w:rsid w:val="001F7B0F"/>
    <w:rsid w:val="002152AA"/>
    <w:rsid w:val="00270A3C"/>
    <w:rsid w:val="00293040"/>
    <w:rsid w:val="003045DC"/>
    <w:rsid w:val="00370B92"/>
    <w:rsid w:val="003D0854"/>
    <w:rsid w:val="00417910"/>
    <w:rsid w:val="00477F19"/>
    <w:rsid w:val="0048640B"/>
    <w:rsid w:val="004A1B1E"/>
    <w:rsid w:val="004B7FE7"/>
    <w:rsid w:val="005A7949"/>
    <w:rsid w:val="005B362D"/>
    <w:rsid w:val="005B783F"/>
    <w:rsid w:val="00655EE1"/>
    <w:rsid w:val="006D3955"/>
    <w:rsid w:val="006F18D3"/>
    <w:rsid w:val="0073018B"/>
    <w:rsid w:val="00732E5B"/>
    <w:rsid w:val="00737D54"/>
    <w:rsid w:val="00762979"/>
    <w:rsid w:val="00783074"/>
    <w:rsid w:val="007A185F"/>
    <w:rsid w:val="007B3EEB"/>
    <w:rsid w:val="007E43EA"/>
    <w:rsid w:val="008016B4"/>
    <w:rsid w:val="008224D4"/>
    <w:rsid w:val="00822C17"/>
    <w:rsid w:val="00853930"/>
    <w:rsid w:val="00862FE4"/>
    <w:rsid w:val="00871DA9"/>
    <w:rsid w:val="00874847"/>
    <w:rsid w:val="00902F0C"/>
    <w:rsid w:val="0094304E"/>
    <w:rsid w:val="00945B80"/>
    <w:rsid w:val="00953386"/>
    <w:rsid w:val="009732FB"/>
    <w:rsid w:val="00A22D27"/>
    <w:rsid w:val="00A306B7"/>
    <w:rsid w:val="00A64A04"/>
    <w:rsid w:val="00A95210"/>
    <w:rsid w:val="00AD17F2"/>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A39EC"/>
    <w:rsid w:val="00DF1F92"/>
    <w:rsid w:val="00E30D65"/>
    <w:rsid w:val="00E31B78"/>
    <w:rsid w:val="00E51EFB"/>
    <w:rsid w:val="00E8321A"/>
    <w:rsid w:val="00E91058"/>
    <w:rsid w:val="00E9365A"/>
    <w:rsid w:val="00EC4A9D"/>
    <w:rsid w:val="00EF2A5C"/>
    <w:rsid w:val="00EF7F6A"/>
    <w:rsid w:val="00F166A5"/>
    <w:rsid w:val="00F34A18"/>
    <w:rsid w:val="00F547CC"/>
    <w:rsid w:val="00F56F29"/>
    <w:rsid w:val="00F808F4"/>
    <w:rsid w:val="00F9166A"/>
    <w:rsid w:val="00FA37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7352</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2018-01-17T11:02:00Z</cp:lastPrinted>
  <dcterms:created xsi:type="dcterms:W3CDTF">2019-09-25T07:18:00Z</dcterms:created>
  <dcterms:modified xsi:type="dcterms:W3CDTF">2019-09-25T07:18:00Z</dcterms:modified>
</cp:coreProperties>
</file>