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7B0B3" w14:textId="6BD07A1E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evid. č. smlouvy</w:t>
      </w:r>
      <w:r w:rsidR="00277583">
        <w:rPr>
          <w:rFonts w:ascii="Arial" w:hAnsi="Arial"/>
          <w:sz w:val="20"/>
        </w:rPr>
        <w:t xml:space="preserve"> P/22/2019</w:t>
      </w:r>
      <w:r w:rsidR="00732C67">
        <w:rPr>
          <w:rFonts w:ascii="Arial" w:hAnsi="Arial"/>
          <w:sz w:val="20"/>
        </w:rPr>
        <w:t>..</w:t>
      </w:r>
    </w:p>
    <w:p w14:paraId="15D29E4B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4C0F5FDD" w14:textId="77777777" w:rsidR="00761AFD" w:rsidRDefault="00761AFD">
      <w:pPr>
        <w:pStyle w:val="Textkomente"/>
      </w:pPr>
    </w:p>
    <w:p w14:paraId="4A2C4C09" w14:textId="77777777" w:rsidR="002F12F1" w:rsidRDefault="002F12F1" w:rsidP="002F12F1">
      <w:pPr>
        <w:pStyle w:val="odstzkl"/>
        <w:numPr>
          <w:ilvl w:val="0"/>
          <w:numId w:val="17"/>
        </w:numPr>
        <w:spacing w:before="360"/>
        <w:ind w:left="284" w:hanging="284"/>
        <w:jc w:val="left"/>
        <w:rPr>
          <w:rFonts w:ascii="Arial" w:hAnsi="Arial" w:cs="Arial"/>
          <w:b/>
          <w:bCs/>
          <w:sz w:val="20"/>
        </w:rPr>
      </w:pPr>
      <w:bookmarkStart w:id="0" w:name="_Hlk11059496"/>
      <w:r>
        <w:rPr>
          <w:rFonts w:ascii="Arial" w:hAnsi="Arial" w:cs="Arial"/>
          <w:b/>
          <w:bCs/>
          <w:sz w:val="20"/>
        </w:rPr>
        <w:t>Projekt Barrandez-vous a.s.</w:t>
      </w:r>
    </w:p>
    <w:p w14:paraId="206DD45B" w14:textId="77777777" w:rsidR="002F12F1" w:rsidRDefault="002F12F1" w:rsidP="002F12F1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 Jandáskova 1957/24, Brno – Řečkovice, 621 00</w:t>
      </w:r>
    </w:p>
    <w:p w14:paraId="30786DCB" w14:textId="77777777" w:rsidR="002F12F1" w:rsidRDefault="002F12F1" w:rsidP="002F12F1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 27751091</w:t>
      </w:r>
    </w:p>
    <w:p w14:paraId="1718CA35" w14:textId="77777777" w:rsidR="002F12F1" w:rsidRDefault="002F12F1" w:rsidP="002F12F1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Zapsána: v OR vedeném Krajským soudem v Brně, odd B, vl. 5080</w:t>
      </w:r>
    </w:p>
    <w:p w14:paraId="31C96328" w14:textId="21C74D47" w:rsidR="00BD2236" w:rsidRPr="002F12F1" w:rsidRDefault="002F12F1" w:rsidP="002F12F1">
      <w:pPr>
        <w:pStyle w:val="odstzkl"/>
        <w:spacing w:before="0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Zastoupena: </w:t>
      </w:r>
      <w:r w:rsidRPr="002F12F1">
        <w:rPr>
          <w:rFonts w:ascii="Arial" w:hAnsi="Arial" w:cs="Arial"/>
          <w:sz w:val="20"/>
        </w:rPr>
        <w:t>Calida Group s.r.o., IČ: 048 52 524, člen představenstva, při výkonu funkce zastupuje Ing. Petr Teplý</w:t>
      </w:r>
      <w:r>
        <w:rPr>
          <w:rFonts w:ascii="Arial" w:hAnsi="Arial" w:cs="Arial"/>
          <w:sz w:val="20"/>
        </w:rPr>
        <w:t xml:space="preserve">, </w:t>
      </w:r>
      <w:r w:rsidRPr="002F12F1">
        <w:rPr>
          <w:rFonts w:ascii="Arial" w:hAnsi="Arial" w:cs="Arial"/>
          <w:sz w:val="20"/>
        </w:rPr>
        <w:t>Silver Tongue s.r.o., IČ: 070 99 355, člen představenstva, při výkonu funkce zastupuje Mgr. Martin Hubinger</w:t>
      </w:r>
    </w:p>
    <w:bookmarkEnd w:id="0"/>
    <w:p w14:paraId="15EDCA47" w14:textId="77777777" w:rsidR="00761AFD" w:rsidRDefault="00BD2236" w:rsidP="00BD2236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61AFD"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 w:rsidR="00761AFD">
        <w:rPr>
          <w:rFonts w:ascii="Arial" w:hAnsi="Arial"/>
          <w:sz w:val="20"/>
        </w:rPr>
        <w:t>tavebník“)</w:t>
      </w:r>
    </w:p>
    <w:p w14:paraId="5E75C9FA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67D260E5" w14:textId="77777777" w:rsidR="007D18CD" w:rsidRDefault="00F654FD" w:rsidP="007B0540">
      <w:p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   </w:t>
      </w:r>
      <w:r w:rsidR="007D18CD" w:rsidRPr="009A07F2">
        <w:rPr>
          <w:rFonts w:ascii="Arial" w:hAnsi="Arial" w:cs="Arial"/>
          <w:b/>
          <w:bCs/>
        </w:rPr>
        <w:t>Hlavní město Praha</w:t>
      </w:r>
    </w:p>
    <w:p w14:paraId="0CDC32AC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76909F29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2536EE51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47616E2B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14:paraId="7FCC522A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5C7920B3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14:paraId="2DE84E37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440D6FFE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528E3F36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>pod sp.značkou: odd.B., vložka 5290</w:t>
      </w:r>
      <w:r w:rsidR="00B915EB">
        <w:rPr>
          <w:rFonts w:ascii="Arial" w:hAnsi="Arial"/>
          <w:sz w:val="20"/>
        </w:rPr>
        <w:t xml:space="preserve">  </w:t>
      </w:r>
    </w:p>
    <w:p w14:paraId="361BCF96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63F78694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29F2DAD8" w14:textId="77777777" w:rsidR="00761AFD" w:rsidRPr="00732C67" w:rsidRDefault="00F654FD" w:rsidP="007B0540">
      <w:p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   </w:t>
      </w:r>
      <w:r w:rsidR="00732C67">
        <w:rPr>
          <w:rFonts w:ascii="Arial" w:hAnsi="Arial" w:cs="Arial"/>
          <w:b/>
          <w:bCs/>
        </w:rPr>
        <w:t>Pražské vodovody a kanalizace, a.s.</w:t>
      </w:r>
    </w:p>
    <w:p w14:paraId="64C26CB4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>Ke Kablu 971/1, Hostivař, 102 00 Praha 10</w:t>
      </w:r>
      <w:r w:rsidR="00B915EB">
        <w:rPr>
          <w:rFonts w:ascii="Arial" w:hAnsi="Arial" w:cs="Arial"/>
        </w:rPr>
        <w:t xml:space="preserve"> </w:t>
      </w:r>
    </w:p>
    <w:p w14:paraId="11D1263C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14:paraId="1FB4946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6DAE0DA1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r w:rsidR="000127FA">
        <w:rPr>
          <w:rFonts w:ascii="Arial" w:hAnsi="Arial"/>
          <w:sz w:val="20"/>
        </w:rPr>
        <w:t>18.04.2011</w:t>
      </w:r>
      <w:r w:rsidR="00B915EB">
        <w:rPr>
          <w:rFonts w:ascii="Arial" w:hAnsi="Arial"/>
          <w:sz w:val="20"/>
        </w:rPr>
        <w:t xml:space="preserve"> </w:t>
      </w:r>
    </w:p>
    <w:p w14:paraId="494DCE00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14:paraId="48E4C139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pod sp.značkou: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odd.B.,vložka 5297</w:t>
      </w:r>
    </w:p>
    <w:p w14:paraId="0AD57EC7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3B6D4E51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6B6251D7" w14:textId="77777777" w:rsidR="004B7E73" w:rsidRPr="004B7E73" w:rsidRDefault="00984E5F" w:rsidP="007B0540">
      <w:pPr>
        <w:autoSpaceDE w:val="0"/>
        <w:autoSpaceDN w:val="0"/>
        <w:adjustRightInd w:val="0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14:paraId="35EA8BD5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0203456C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528AE7F2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14:paraId="35F11319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C766AF0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65F1769E" w14:textId="77777777"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7B6067EE" w14:textId="2E1BE0DD" w:rsidR="00397794" w:rsidRPr="00CC2E4B" w:rsidRDefault="004F4AEE" w:rsidP="007B0540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537EDF">
        <w:rPr>
          <w:rFonts w:ascii="Arial" w:hAnsi="Arial" w:cs="Arial"/>
          <w:sz w:val="20"/>
        </w:rPr>
        <w:t xml:space="preserve"> </w:t>
      </w:r>
      <w:r w:rsidR="00CC2E4B">
        <w:rPr>
          <w:rFonts w:ascii="Arial" w:hAnsi="Arial" w:cs="Arial"/>
          <w:sz w:val="20"/>
        </w:rPr>
        <w:t>„</w:t>
      </w:r>
      <w:bookmarkStart w:id="1" w:name="_Hlk11059655"/>
      <w:r w:rsidR="00CC2E4B">
        <w:rPr>
          <w:rFonts w:ascii="Arial" w:hAnsi="Arial" w:cs="Arial"/>
          <w:sz w:val="20"/>
        </w:rPr>
        <w:t>Barrandez-vous – novostavba bytového komplexu</w:t>
      </w:r>
      <w:bookmarkEnd w:id="1"/>
      <w:r w:rsidR="00CC2E4B">
        <w:rPr>
          <w:rFonts w:ascii="Arial" w:hAnsi="Arial" w:cs="Arial"/>
          <w:sz w:val="20"/>
        </w:rPr>
        <w:t xml:space="preserve">“ </w:t>
      </w:r>
      <w:r w:rsidR="00984E5F" w:rsidRPr="00CC2E4B">
        <w:rPr>
          <w:rFonts w:ascii="Arial" w:hAnsi="Arial" w:cs="Arial"/>
          <w:sz w:val="20"/>
        </w:rPr>
        <w:t>v rámci</w:t>
      </w:r>
      <w:r w:rsidR="00B915EB" w:rsidRPr="00CC2E4B">
        <w:rPr>
          <w:rFonts w:ascii="Arial" w:hAnsi="Arial" w:cs="Arial"/>
          <w:sz w:val="20"/>
        </w:rPr>
        <w:t xml:space="preserve"> </w:t>
      </w:r>
      <w:r w:rsidR="00984E5F" w:rsidRPr="00CC2E4B">
        <w:rPr>
          <w:rFonts w:ascii="Arial" w:hAnsi="Arial" w:cs="Arial"/>
          <w:sz w:val="20"/>
        </w:rPr>
        <w:t>které je nutné</w:t>
      </w:r>
      <w:r w:rsidR="00B915EB" w:rsidRPr="00CC2E4B">
        <w:rPr>
          <w:rFonts w:ascii="Arial" w:hAnsi="Arial" w:cs="Arial"/>
          <w:sz w:val="20"/>
        </w:rPr>
        <w:t xml:space="preserve"> </w:t>
      </w:r>
      <w:r w:rsidR="00984E5F" w:rsidRPr="00CC2E4B">
        <w:rPr>
          <w:rFonts w:ascii="Arial" w:hAnsi="Arial" w:cs="Arial"/>
          <w:sz w:val="20"/>
        </w:rPr>
        <w:t>provést</w:t>
      </w:r>
      <w:r w:rsidR="00B915EB" w:rsidRPr="00CC2E4B">
        <w:rPr>
          <w:rFonts w:ascii="Arial" w:hAnsi="Arial" w:cs="Arial"/>
          <w:sz w:val="20"/>
        </w:rPr>
        <w:t xml:space="preserve"> </w:t>
      </w:r>
      <w:r w:rsidR="00984E5F" w:rsidRPr="00CC2E4B">
        <w:rPr>
          <w:rFonts w:ascii="Arial" w:hAnsi="Arial" w:cs="Arial"/>
          <w:sz w:val="20"/>
        </w:rPr>
        <w:t>přeložku vodovodu / kanalizace pro veřejnou potřebu</w:t>
      </w:r>
      <w:r w:rsidR="004B7E73" w:rsidRPr="00CC2E4B">
        <w:rPr>
          <w:rFonts w:ascii="Arial" w:hAnsi="Arial" w:cs="Arial"/>
          <w:sz w:val="20"/>
        </w:rPr>
        <w:t xml:space="preserve"> </w:t>
      </w:r>
      <w:r w:rsidR="00984E5F" w:rsidRPr="00CC2E4B">
        <w:rPr>
          <w:rFonts w:ascii="Arial" w:hAnsi="Arial" w:cs="Arial"/>
          <w:sz w:val="20"/>
        </w:rPr>
        <w:t>(dále jen „přeložka“).</w:t>
      </w:r>
      <w:r w:rsidR="00397794" w:rsidRPr="00CC2E4B">
        <w:rPr>
          <w:rFonts w:ascii="Arial" w:hAnsi="Arial" w:cs="Arial"/>
          <w:iCs/>
          <w:sz w:val="20"/>
        </w:rPr>
        <w:t xml:space="preserve"> </w:t>
      </w:r>
    </w:p>
    <w:p w14:paraId="3C80222D" w14:textId="77777777"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č. 2 nedílnou součástí této smlouvy.</w:t>
      </w:r>
    </w:p>
    <w:p w14:paraId="1AABF6FC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14:paraId="522EE4D5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C0D9D90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lastRenderedPageBreak/>
        <w:t>II.</w:t>
      </w:r>
    </w:p>
    <w:p w14:paraId="61628383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1B5C2F81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14:paraId="3A972574" w14:textId="77777777"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CC2E4B">
        <w:rPr>
          <w:rFonts w:ascii="Arial" w:hAnsi="Arial"/>
          <w:sz w:val="20"/>
        </w:rPr>
        <w:t xml:space="preserve"> Stavba bude dokončena do 30.9.2019.</w:t>
      </w:r>
    </w:p>
    <w:p w14:paraId="5384B8D1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25B3166D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627007AC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7EE33489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6D6370EA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této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14:paraId="1AEFB8AC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14:paraId="798C551B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14:paraId="17A9D69C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699AE46E" w14:textId="77777777"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hl.m.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763A2DEB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31008808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65632C">
        <w:rPr>
          <w:rFonts w:ascii="Arial" w:hAnsi="Arial" w:cs="Arial"/>
          <w:sz w:val="20"/>
        </w:rPr>
        <w:t xml:space="preserve"> nebo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7C6F77E4" w14:textId="77777777"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 xml:space="preserve">tohoto článku listina /smlouva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14:paraId="5B574FA0" w14:textId="77777777"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14:paraId="3F96993F" w14:textId="77777777" w:rsidR="00A90815" w:rsidRDefault="00CA7E28" w:rsidP="00A90815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A90815">
        <w:rPr>
          <w:rFonts w:ascii="Arial" w:hAnsi="Arial" w:cs="Arial"/>
          <w:iCs/>
          <w:sz w:val="20"/>
        </w:rPr>
        <w:t xml:space="preserve">Nebude-li </w:t>
      </w:r>
      <w:r w:rsidR="005020E3" w:rsidRPr="00A90815">
        <w:rPr>
          <w:rFonts w:ascii="Arial" w:hAnsi="Arial" w:cs="Arial"/>
          <w:iCs/>
          <w:sz w:val="20"/>
        </w:rPr>
        <w:t xml:space="preserve">dokončená stavba </w:t>
      </w:r>
      <w:r w:rsidRPr="00A90815">
        <w:rPr>
          <w:rFonts w:ascii="Arial" w:hAnsi="Arial" w:cs="Arial"/>
          <w:iCs/>
          <w:sz w:val="20"/>
        </w:rPr>
        <w:t>přeložk</w:t>
      </w:r>
      <w:r w:rsidR="005020E3" w:rsidRPr="00A90815">
        <w:rPr>
          <w:rFonts w:ascii="Arial" w:hAnsi="Arial" w:cs="Arial"/>
          <w:iCs/>
          <w:sz w:val="20"/>
        </w:rPr>
        <w:t>y</w:t>
      </w:r>
      <w:r w:rsidRPr="00A90815">
        <w:rPr>
          <w:rFonts w:ascii="Arial" w:hAnsi="Arial" w:cs="Arial"/>
          <w:iCs/>
          <w:sz w:val="20"/>
        </w:rPr>
        <w:t xml:space="preserve"> včetně </w:t>
      </w:r>
      <w:r w:rsidR="005020E3" w:rsidRPr="00A90815">
        <w:rPr>
          <w:rFonts w:ascii="Arial" w:hAnsi="Arial" w:cs="Arial"/>
          <w:iCs/>
          <w:sz w:val="20"/>
        </w:rPr>
        <w:t xml:space="preserve">požadovaných </w:t>
      </w:r>
      <w:r w:rsidRPr="00A90815">
        <w:rPr>
          <w:rFonts w:ascii="Arial" w:hAnsi="Arial" w:cs="Arial"/>
          <w:iCs/>
          <w:sz w:val="20"/>
        </w:rPr>
        <w:t xml:space="preserve">dokladů k ní předána vlastníkovi </w:t>
      </w:r>
      <w:r w:rsidR="005020E3" w:rsidRPr="00A90815">
        <w:rPr>
          <w:rFonts w:ascii="Arial" w:hAnsi="Arial" w:cs="Arial"/>
          <w:iCs/>
          <w:sz w:val="20"/>
        </w:rPr>
        <w:t xml:space="preserve">ve lhůtě stanovené v odst. 6 tohoto článku </w:t>
      </w:r>
      <w:r w:rsidRPr="00A90815">
        <w:rPr>
          <w:rFonts w:ascii="Arial" w:hAnsi="Arial" w:cs="Arial"/>
          <w:iCs/>
          <w:sz w:val="20"/>
        </w:rPr>
        <w:t xml:space="preserve">z důvodů </w:t>
      </w:r>
      <w:r w:rsidR="005020E3" w:rsidRPr="00A90815">
        <w:rPr>
          <w:rFonts w:ascii="Arial" w:hAnsi="Arial" w:cs="Arial"/>
          <w:iCs/>
          <w:sz w:val="20"/>
        </w:rPr>
        <w:t xml:space="preserve">na straně stavebníka, </w:t>
      </w:r>
      <w:r w:rsidR="0065632C" w:rsidRPr="00A90815">
        <w:rPr>
          <w:rFonts w:ascii="Arial" w:hAnsi="Arial" w:cs="Arial"/>
          <w:iCs/>
          <w:sz w:val="20"/>
        </w:rPr>
        <w:t xml:space="preserve">zaplatí </w:t>
      </w:r>
      <w:r w:rsidR="005020E3" w:rsidRPr="00A90815">
        <w:rPr>
          <w:rFonts w:ascii="Arial" w:hAnsi="Arial" w:cs="Arial"/>
          <w:iCs/>
          <w:sz w:val="20"/>
        </w:rPr>
        <w:t xml:space="preserve">stavebník </w:t>
      </w:r>
      <w:r w:rsidR="0065632C" w:rsidRPr="00A90815">
        <w:rPr>
          <w:rFonts w:ascii="Arial" w:hAnsi="Arial" w:cs="Arial"/>
          <w:iCs/>
          <w:sz w:val="20"/>
        </w:rPr>
        <w:t>vlastníkovi smluvní pokutu ve výši 100 000, - Kč, a to do 30 dnů od doručení faktury ze strany vlastníka.</w:t>
      </w:r>
    </w:p>
    <w:p w14:paraId="0F81E3DA" w14:textId="77777777" w:rsidR="00A90815" w:rsidRPr="00A90815" w:rsidRDefault="00A90815" w:rsidP="00A90815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A90815">
        <w:rPr>
          <w:rFonts w:ascii="Arial" w:hAnsi="Arial" w:cs="Arial"/>
          <w:iCs/>
          <w:sz w:val="20"/>
        </w:rPr>
        <w:t xml:space="preserve">Strany této smlouvy se dohodly, že v případě prodlení </w:t>
      </w:r>
      <w:r>
        <w:rPr>
          <w:rFonts w:ascii="Arial" w:hAnsi="Arial" w:cs="Arial"/>
          <w:iCs/>
          <w:sz w:val="20"/>
        </w:rPr>
        <w:t>stavebníka</w:t>
      </w:r>
      <w:r w:rsidRPr="00A90815">
        <w:rPr>
          <w:rFonts w:ascii="Arial" w:hAnsi="Arial" w:cs="Arial"/>
          <w:iCs/>
          <w:sz w:val="20"/>
        </w:rPr>
        <w:t xml:space="preserve"> se splněním jakékoliv povinnosti dle této smlouvy zajištěné smluvní pokutou je </w:t>
      </w:r>
      <w:r>
        <w:rPr>
          <w:rFonts w:ascii="Arial" w:hAnsi="Arial" w:cs="Arial"/>
          <w:iCs/>
          <w:sz w:val="20"/>
        </w:rPr>
        <w:t xml:space="preserve">vlastník </w:t>
      </w:r>
      <w:r w:rsidRPr="00A90815">
        <w:rPr>
          <w:rFonts w:ascii="Arial" w:hAnsi="Arial" w:cs="Arial"/>
          <w:iCs/>
          <w:sz w:val="20"/>
        </w:rPr>
        <w:t xml:space="preserve">povinen před uplatněním nároku na smluvní pokutu zaslat </w:t>
      </w:r>
      <w:r>
        <w:rPr>
          <w:rFonts w:ascii="Arial" w:hAnsi="Arial" w:cs="Arial"/>
          <w:iCs/>
          <w:sz w:val="20"/>
        </w:rPr>
        <w:t>stavebníkovi</w:t>
      </w:r>
      <w:r w:rsidRPr="00A90815">
        <w:rPr>
          <w:rFonts w:ascii="Arial" w:hAnsi="Arial" w:cs="Arial"/>
          <w:iCs/>
          <w:sz w:val="20"/>
        </w:rPr>
        <w:t xml:space="preserve"> výzvu k odstranění závadného stavu s popisem závadného stavu a s přiměřenou lhůtou v délce nejméně 15 pracovních dnů pro odstranění tohoto závadného stavu. </w:t>
      </w:r>
      <w:r w:rsidR="0065632C" w:rsidRPr="00A90815">
        <w:rPr>
          <w:rFonts w:ascii="Arial" w:hAnsi="Arial" w:cs="Arial"/>
          <w:iCs/>
          <w:sz w:val="20"/>
        </w:rPr>
        <w:t xml:space="preserve"> </w:t>
      </w:r>
    </w:p>
    <w:p w14:paraId="050ECD22" w14:textId="77777777" w:rsidR="00B915EB" w:rsidRPr="00A90815" w:rsidRDefault="00B915EB" w:rsidP="007B0540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A90815">
        <w:rPr>
          <w:rFonts w:ascii="Arial" w:hAnsi="Arial" w:cs="Arial"/>
          <w:iCs/>
          <w:sz w:val="20"/>
        </w:rPr>
        <w:t xml:space="preserve">Stavebník </w:t>
      </w:r>
      <w:r w:rsidRPr="00A90815">
        <w:rPr>
          <w:rFonts w:ascii="Arial" w:hAnsi="Arial" w:cs="Arial"/>
          <w:sz w:val="20"/>
        </w:rPr>
        <w:t>se zavazuje, buď sjednat se zhotovitelem přeložky záruku za vady díla v obvyklé délce a rozsahu a následně převést práva z odpovědnosti za vady díla na vlastníka či jím určenou osobu, nebo se zavazuje sám poskytnout vlastníkovi či jím určené osobě záruku za vady vodního díla v obvyklé délce a rozsahu. O případném postoupení práv vyrozumí stavebník bez zbytečného odkladu doporučeným dopisem zhotovitele přeložky a kopii tohoto dopisu předá vlastníku.</w:t>
      </w:r>
    </w:p>
    <w:p w14:paraId="23E047E7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6E332562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B2E10D8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lastRenderedPageBreak/>
        <w:t>IV.</w:t>
      </w:r>
    </w:p>
    <w:p w14:paraId="71490C34" w14:textId="77777777" w:rsidR="003E784A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1A6609A6" w14:textId="77777777" w:rsidR="007522D6" w:rsidRDefault="007522D6" w:rsidP="007522D6">
      <w:pPr>
        <w:rPr>
          <w:rFonts w:ascii="Arial" w:hAnsi="Arial"/>
          <w:b/>
        </w:rPr>
      </w:pPr>
    </w:p>
    <w:p w14:paraId="578CE85D" w14:textId="77777777" w:rsidR="007522D6" w:rsidRPr="00CC2E4B" w:rsidRDefault="007522D6" w:rsidP="00CC2E4B"/>
    <w:p w14:paraId="53BB276D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4DE4732A" w14:textId="77777777" w:rsidR="00474281" w:rsidRPr="00474281" w:rsidRDefault="00474281" w:rsidP="00474281">
      <w:pPr>
        <w:ind w:left="284" w:hanging="284"/>
      </w:pPr>
    </w:p>
    <w:p w14:paraId="5022E1AE" w14:textId="77777777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6538BEBA" w14:textId="77777777" w:rsidR="00474281" w:rsidRPr="00474281" w:rsidRDefault="00474281" w:rsidP="00474281">
      <w:pPr>
        <w:ind w:left="284" w:hanging="284"/>
      </w:pPr>
    </w:p>
    <w:p w14:paraId="4CF9E2B3" w14:textId="77777777"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297AD3E8" w14:textId="77777777" w:rsidR="00474281" w:rsidRDefault="00474281" w:rsidP="00474281"/>
    <w:p w14:paraId="68202DD1" w14:textId="77777777" w:rsidR="00474281" w:rsidRPr="00474281" w:rsidRDefault="00474281" w:rsidP="00474281"/>
    <w:p w14:paraId="358A9028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1FC91138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7FA65E24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2C769240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5BD56ECD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2608883D" w14:textId="45DAC498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982D16">
        <w:rPr>
          <w:rFonts w:ascii="Arial" w:hAnsi="Arial" w:cs="Arial"/>
          <w:sz w:val="20"/>
        </w:rPr>
        <w:t>5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3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305F56DD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549439CB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7A14F5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4782F0A4" w14:textId="77777777"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0556A42A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67E497E7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47A45F0C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7DF18F1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14:paraId="14CC9744" w14:textId="77777777" w:rsidR="004F4AEE" w:rsidRDefault="00B915EB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</w:p>
    <w:p w14:paraId="07D3CAA6" w14:textId="77777777" w:rsidR="00761AFD" w:rsidRPr="004F4AEE" w:rsidRDefault="00761AFD" w:rsidP="004F4AEE">
      <w:pPr>
        <w:rPr>
          <w:rFonts w:ascii="Arial" w:hAnsi="Arial"/>
        </w:rPr>
      </w:pPr>
    </w:p>
    <w:p w14:paraId="6311E598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40A1E743" w14:textId="77777777"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1E31D686" w14:textId="77777777"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</w:p>
    <w:p w14:paraId="78FF9CB5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012BB748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522EB73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27AF474A" w14:textId="77777777"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0A4E9CD0" w14:textId="37E9C137" w:rsidR="00761AFD" w:rsidRPr="009A07F2" w:rsidRDefault="00B915EB" w:rsidP="00973316">
      <w:pPr>
        <w:spacing w:before="8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73316" w:rsidRPr="009A07F2">
        <w:rPr>
          <w:rFonts w:ascii="Arial" w:hAnsi="Arial"/>
        </w:rPr>
        <w:t xml:space="preserve"> </w:t>
      </w:r>
      <w:bookmarkStart w:id="2" w:name="_GoBack"/>
      <w:bookmarkEnd w:id="2"/>
    </w:p>
    <w:p w14:paraId="04E29139" w14:textId="77777777"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</w:t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02E9F5A4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648139B4" w14:textId="77777777" w:rsidR="00761AFD" w:rsidRDefault="00761AFD">
      <w:pPr>
        <w:spacing w:before="120"/>
        <w:jc w:val="right"/>
      </w:pPr>
    </w:p>
    <w:sectPr w:rsidR="00761AFD">
      <w:headerReference w:type="default" r:id="rId10"/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43451" w14:textId="77777777" w:rsidR="00053C3D" w:rsidRDefault="00053C3D">
      <w:r>
        <w:separator/>
      </w:r>
    </w:p>
  </w:endnote>
  <w:endnote w:type="continuationSeparator" w:id="0">
    <w:p w14:paraId="5E06D96D" w14:textId="77777777" w:rsidR="00053C3D" w:rsidRDefault="00053C3D">
      <w:r>
        <w:continuationSeparator/>
      </w:r>
    </w:p>
  </w:endnote>
  <w:endnote w:type="continuationNotice" w:id="1">
    <w:p w14:paraId="15A852E6" w14:textId="77777777" w:rsidR="00053C3D" w:rsidRDefault="0005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56C5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39D68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8EB87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7BD08EA1" w14:textId="3415CE3A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7758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14CD" w14:textId="77777777" w:rsidR="00053C3D" w:rsidRDefault="00053C3D">
      <w:r>
        <w:separator/>
      </w:r>
    </w:p>
  </w:footnote>
  <w:footnote w:type="continuationSeparator" w:id="0">
    <w:p w14:paraId="206E8BB4" w14:textId="77777777" w:rsidR="00053C3D" w:rsidRDefault="00053C3D">
      <w:r>
        <w:continuationSeparator/>
      </w:r>
    </w:p>
  </w:footnote>
  <w:footnote w:type="continuationNotice" w:id="1">
    <w:p w14:paraId="25476CC9" w14:textId="77777777" w:rsidR="00053C3D" w:rsidRDefault="00053C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56017" w14:textId="77777777" w:rsidR="00967E9D" w:rsidRDefault="00967E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20A8"/>
    <w:multiLevelType w:val="hybridMultilevel"/>
    <w:tmpl w:val="55EA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450"/>
    <w:rsid w:val="00006B4C"/>
    <w:rsid w:val="000127FA"/>
    <w:rsid w:val="00013742"/>
    <w:rsid w:val="000508C0"/>
    <w:rsid w:val="00053C3D"/>
    <w:rsid w:val="00054B39"/>
    <w:rsid w:val="000767C9"/>
    <w:rsid w:val="000A590B"/>
    <w:rsid w:val="000B06BF"/>
    <w:rsid w:val="000B2EBF"/>
    <w:rsid w:val="000F4AF5"/>
    <w:rsid w:val="000F6D56"/>
    <w:rsid w:val="00115172"/>
    <w:rsid w:val="00154A37"/>
    <w:rsid w:val="001672AB"/>
    <w:rsid w:val="001B72E9"/>
    <w:rsid w:val="001C0B30"/>
    <w:rsid w:val="001C4BC7"/>
    <w:rsid w:val="001D25C6"/>
    <w:rsid w:val="001E7F3A"/>
    <w:rsid w:val="00277583"/>
    <w:rsid w:val="002863D4"/>
    <w:rsid w:val="00291AEC"/>
    <w:rsid w:val="00293366"/>
    <w:rsid w:val="00295348"/>
    <w:rsid w:val="002C34C8"/>
    <w:rsid w:val="002C4CCE"/>
    <w:rsid w:val="002C520F"/>
    <w:rsid w:val="002D0A96"/>
    <w:rsid w:val="002D0BDA"/>
    <w:rsid w:val="002D4909"/>
    <w:rsid w:val="002D6081"/>
    <w:rsid w:val="002F12F1"/>
    <w:rsid w:val="002F1D53"/>
    <w:rsid w:val="002F6402"/>
    <w:rsid w:val="00305D87"/>
    <w:rsid w:val="003463BD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6231"/>
    <w:rsid w:val="00441D13"/>
    <w:rsid w:val="00451862"/>
    <w:rsid w:val="00451E30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20E3"/>
    <w:rsid w:val="00506E0D"/>
    <w:rsid w:val="00537EDF"/>
    <w:rsid w:val="005472B4"/>
    <w:rsid w:val="00561907"/>
    <w:rsid w:val="00580B5E"/>
    <w:rsid w:val="005A228F"/>
    <w:rsid w:val="005B1B3C"/>
    <w:rsid w:val="005B5C3E"/>
    <w:rsid w:val="005B7EF0"/>
    <w:rsid w:val="005D5DCA"/>
    <w:rsid w:val="005E208A"/>
    <w:rsid w:val="005F2F4E"/>
    <w:rsid w:val="005F5B7E"/>
    <w:rsid w:val="00603132"/>
    <w:rsid w:val="006113BC"/>
    <w:rsid w:val="0061512D"/>
    <w:rsid w:val="0061667E"/>
    <w:rsid w:val="00635B94"/>
    <w:rsid w:val="00646DAF"/>
    <w:rsid w:val="0065632C"/>
    <w:rsid w:val="0066547F"/>
    <w:rsid w:val="006D6603"/>
    <w:rsid w:val="006F3639"/>
    <w:rsid w:val="006F5956"/>
    <w:rsid w:val="0071055F"/>
    <w:rsid w:val="0072183D"/>
    <w:rsid w:val="00721AD5"/>
    <w:rsid w:val="00732C67"/>
    <w:rsid w:val="00737988"/>
    <w:rsid w:val="00744D7C"/>
    <w:rsid w:val="007522D6"/>
    <w:rsid w:val="00752592"/>
    <w:rsid w:val="00761AFD"/>
    <w:rsid w:val="007676E8"/>
    <w:rsid w:val="0077548A"/>
    <w:rsid w:val="00784A68"/>
    <w:rsid w:val="0079351F"/>
    <w:rsid w:val="007B0540"/>
    <w:rsid w:val="007B467A"/>
    <w:rsid w:val="007B73EE"/>
    <w:rsid w:val="007C2CB6"/>
    <w:rsid w:val="007C7C2F"/>
    <w:rsid w:val="007D18CD"/>
    <w:rsid w:val="00831540"/>
    <w:rsid w:val="00850707"/>
    <w:rsid w:val="0086088A"/>
    <w:rsid w:val="00866152"/>
    <w:rsid w:val="008751B9"/>
    <w:rsid w:val="008B354E"/>
    <w:rsid w:val="008E2C16"/>
    <w:rsid w:val="0090149D"/>
    <w:rsid w:val="00910B74"/>
    <w:rsid w:val="009235EB"/>
    <w:rsid w:val="0093053D"/>
    <w:rsid w:val="0093403D"/>
    <w:rsid w:val="0094021B"/>
    <w:rsid w:val="00953109"/>
    <w:rsid w:val="00965A1E"/>
    <w:rsid w:val="00967E9D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E2108"/>
    <w:rsid w:val="009F233F"/>
    <w:rsid w:val="00A1752D"/>
    <w:rsid w:val="00A46C02"/>
    <w:rsid w:val="00A81E67"/>
    <w:rsid w:val="00A90815"/>
    <w:rsid w:val="00A93B4D"/>
    <w:rsid w:val="00AC066A"/>
    <w:rsid w:val="00AC6414"/>
    <w:rsid w:val="00AC7AE3"/>
    <w:rsid w:val="00AE0D07"/>
    <w:rsid w:val="00AE7950"/>
    <w:rsid w:val="00B079E3"/>
    <w:rsid w:val="00B32AB3"/>
    <w:rsid w:val="00B34D7A"/>
    <w:rsid w:val="00B54F38"/>
    <w:rsid w:val="00B57133"/>
    <w:rsid w:val="00B66806"/>
    <w:rsid w:val="00B66E5E"/>
    <w:rsid w:val="00B915EB"/>
    <w:rsid w:val="00BD2236"/>
    <w:rsid w:val="00BE27C4"/>
    <w:rsid w:val="00BE314F"/>
    <w:rsid w:val="00BF4E36"/>
    <w:rsid w:val="00BF7CAE"/>
    <w:rsid w:val="00BF7F23"/>
    <w:rsid w:val="00C15E71"/>
    <w:rsid w:val="00C375B0"/>
    <w:rsid w:val="00C6442B"/>
    <w:rsid w:val="00C657BA"/>
    <w:rsid w:val="00C72300"/>
    <w:rsid w:val="00CA7E28"/>
    <w:rsid w:val="00CC0993"/>
    <w:rsid w:val="00CC2E4B"/>
    <w:rsid w:val="00CD7323"/>
    <w:rsid w:val="00D1082B"/>
    <w:rsid w:val="00D721C5"/>
    <w:rsid w:val="00D8418C"/>
    <w:rsid w:val="00D84CED"/>
    <w:rsid w:val="00D867CD"/>
    <w:rsid w:val="00D96F98"/>
    <w:rsid w:val="00DC7932"/>
    <w:rsid w:val="00DD1146"/>
    <w:rsid w:val="00DD218D"/>
    <w:rsid w:val="00DD2F73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A7F99"/>
    <w:rsid w:val="00EB1E83"/>
    <w:rsid w:val="00EB6340"/>
    <w:rsid w:val="00EC1606"/>
    <w:rsid w:val="00EC3724"/>
    <w:rsid w:val="00EF1100"/>
    <w:rsid w:val="00F060D0"/>
    <w:rsid w:val="00F143F2"/>
    <w:rsid w:val="00F14CF2"/>
    <w:rsid w:val="00F22140"/>
    <w:rsid w:val="00F553E8"/>
    <w:rsid w:val="00F60470"/>
    <w:rsid w:val="00F654FD"/>
    <w:rsid w:val="00F71732"/>
    <w:rsid w:val="00F865A5"/>
    <w:rsid w:val="00F86824"/>
    <w:rsid w:val="00FA14D7"/>
    <w:rsid w:val="00FA18C7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82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AE91-5670-4E70-B976-51DED201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7839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Trenklerová Naděžda</cp:lastModifiedBy>
  <cp:revision>2</cp:revision>
  <cp:lastPrinted>2017-12-14T14:16:00Z</cp:lastPrinted>
  <dcterms:created xsi:type="dcterms:W3CDTF">2019-09-24T08:55:00Z</dcterms:created>
  <dcterms:modified xsi:type="dcterms:W3CDTF">2019-09-24T08:55:00Z</dcterms:modified>
</cp:coreProperties>
</file>