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C7471" w14:textId="77777777" w:rsidR="00476CCD" w:rsidRPr="002B2CAD" w:rsidRDefault="00476CCD" w:rsidP="00FE2590">
      <w:pPr>
        <w:pStyle w:val="Nadpis2"/>
        <w:numPr>
          <w:ilvl w:val="0"/>
          <w:numId w:val="0"/>
        </w:numPr>
        <w:ind w:left="576" w:hanging="576"/>
        <w:jc w:val="center"/>
        <w:rPr>
          <w:rFonts w:ascii="Tahoma" w:hAnsi="Tahoma" w:cs="Tahoma"/>
          <w:i w:val="0"/>
          <w:u w:val="single"/>
        </w:rPr>
      </w:pPr>
      <w:r w:rsidRPr="00C01BAA">
        <w:rPr>
          <w:rFonts w:ascii="Tahoma" w:hAnsi="Tahoma" w:cs="Tahoma"/>
          <w:i w:val="0"/>
          <w:u w:val="single"/>
        </w:rPr>
        <w:t xml:space="preserve">Volitelné parametry dodávky </w:t>
      </w:r>
      <w:r w:rsidR="00C01BAA" w:rsidRPr="00C01BAA">
        <w:rPr>
          <w:rFonts w:ascii="Tahoma" w:hAnsi="Tahoma" w:cs="Tahoma"/>
          <w:i w:val="0"/>
          <w:u w:val="single"/>
        </w:rPr>
        <w:t>Software pro fotonické simulace 1 a 2</w:t>
      </w:r>
      <w:r w:rsidR="00E428BC">
        <w:rPr>
          <w:rFonts w:ascii="Tahoma" w:hAnsi="Tahoma" w:cs="Tahoma"/>
          <w:i w:val="0"/>
          <w:u w:val="single"/>
        </w:rPr>
        <w:t xml:space="preserve"> </w:t>
      </w:r>
      <w:r w:rsidR="00E428BC" w:rsidRPr="00E428BC">
        <w:rPr>
          <w:rFonts w:ascii="Tahoma" w:hAnsi="Tahoma" w:cs="Tahoma"/>
          <w:i w:val="0"/>
          <w:u w:val="single"/>
        </w:rPr>
        <w:t>– časový a frekvenční řešič</w:t>
      </w:r>
    </w:p>
    <w:p w14:paraId="074BC5EE" w14:textId="1EE8ED04" w:rsidR="00476CCD" w:rsidRPr="002D4106" w:rsidRDefault="00476CCD" w:rsidP="00476CCD">
      <w:pPr>
        <w:pStyle w:val="Zkladntext"/>
        <w:jc w:val="both"/>
        <w:rPr>
          <w:rFonts w:ascii="Tahoma" w:hAnsi="Tahoma" w:cs="Tahoma"/>
          <w:sz w:val="20"/>
          <w:szCs w:val="20"/>
        </w:rPr>
      </w:pPr>
      <w:r w:rsidRPr="002D4106">
        <w:rPr>
          <w:rFonts w:ascii="Tahoma" w:hAnsi="Tahoma" w:cs="Tahoma"/>
          <w:sz w:val="20"/>
          <w:szCs w:val="20"/>
        </w:rPr>
        <w:t xml:space="preserve">Následující položky specifikují vlastnosti dodaného </w:t>
      </w:r>
      <w:r w:rsidR="00C01BAA" w:rsidRPr="00C01BAA">
        <w:rPr>
          <w:rFonts w:ascii="Tahoma" w:hAnsi="Tahoma" w:cs="Tahoma"/>
          <w:sz w:val="20"/>
          <w:szCs w:val="20"/>
        </w:rPr>
        <w:t>Software pro fotonické simulace 1 a 2</w:t>
      </w:r>
      <w:r w:rsidR="00C01BAA">
        <w:rPr>
          <w:rFonts w:ascii="Tahoma" w:hAnsi="Tahoma" w:cs="Tahoma"/>
          <w:sz w:val="20"/>
          <w:szCs w:val="20"/>
        </w:rPr>
        <w:t xml:space="preserve"> </w:t>
      </w:r>
      <w:r w:rsidR="00F67FE0" w:rsidRPr="00F67FE0">
        <w:rPr>
          <w:rFonts w:ascii="Tahoma" w:hAnsi="Tahoma" w:cs="Tahoma"/>
          <w:sz w:val="20"/>
          <w:szCs w:val="20"/>
        </w:rPr>
        <w:t xml:space="preserve">– časový a frekvenční řešič </w:t>
      </w:r>
      <w:r w:rsidRPr="002D4106">
        <w:rPr>
          <w:rFonts w:ascii="Tahoma" w:hAnsi="Tahoma" w:cs="Tahoma"/>
          <w:sz w:val="20"/>
          <w:szCs w:val="20"/>
        </w:rPr>
        <w:t xml:space="preserve">nad rámec </w:t>
      </w:r>
      <w:r w:rsidR="001263FB">
        <w:rPr>
          <w:rFonts w:ascii="Tahoma" w:hAnsi="Tahoma" w:cs="Tahoma"/>
          <w:sz w:val="20"/>
          <w:szCs w:val="20"/>
        </w:rPr>
        <w:t>povinných požadavků</w:t>
      </w:r>
      <w:r w:rsidRPr="005402C8">
        <w:rPr>
          <w:rFonts w:ascii="Tahoma" w:hAnsi="Tahoma" w:cs="Tahoma"/>
          <w:b/>
          <w:sz w:val="20"/>
          <w:szCs w:val="20"/>
        </w:rPr>
        <w:t>.</w:t>
      </w:r>
      <w:r w:rsidRPr="009832AA">
        <w:rPr>
          <w:rFonts w:ascii="Tahoma" w:hAnsi="Tahoma" w:cs="Tahoma"/>
          <w:sz w:val="20"/>
          <w:szCs w:val="20"/>
        </w:rPr>
        <w:t xml:space="preserve"> </w:t>
      </w:r>
      <w:r w:rsidRPr="002D4106">
        <w:rPr>
          <w:rFonts w:ascii="Tahoma" w:hAnsi="Tahoma" w:cs="Tahoma"/>
          <w:sz w:val="20"/>
          <w:szCs w:val="20"/>
        </w:rPr>
        <w:t>V</w:t>
      </w:r>
      <w:r w:rsidR="001263FB">
        <w:rPr>
          <w:rFonts w:ascii="Tahoma" w:hAnsi="Tahoma" w:cs="Tahoma"/>
          <w:sz w:val="20"/>
          <w:szCs w:val="20"/>
        </w:rPr>
        <w:t xml:space="preserve"> třetím </w:t>
      </w:r>
      <w:r>
        <w:rPr>
          <w:rFonts w:ascii="Tahoma" w:hAnsi="Tahoma" w:cs="Tahoma"/>
          <w:sz w:val="20"/>
          <w:szCs w:val="20"/>
        </w:rPr>
        <w:t xml:space="preserve">sloupci je ke </w:t>
      </w:r>
      <w:r w:rsidRPr="002D4106">
        <w:rPr>
          <w:rFonts w:ascii="Tahoma" w:hAnsi="Tahoma" w:cs="Tahoma"/>
          <w:sz w:val="20"/>
          <w:szCs w:val="20"/>
        </w:rPr>
        <w:t>každ</w:t>
      </w:r>
      <w:r>
        <w:rPr>
          <w:rFonts w:ascii="Tahoma" w:hAnsi="Tahoma" w:cs="Tahoma"/>
          <w:sz w:val="20"/>
          <w:szCs w:val="20"/>
        </w:rPr>
        <w:t>é</w:t>
      </w:r>
      <w:r w:rsidRPr="002D4106">
        <w:rPr>
          <w:rFonts w:ascii="Tahoma" w:hAnsi="Tahoma" w:cs="Tahoma"/>
          <w:sz w:val="20"/>
          <w:szCs w:val="20"/>
        </w:rPr>
        <w:t xml:space="preserve"> polož</w:t>
      </w:r>
      <w:r>
        <w:rPr>
          <w:rFonts w:ascii="Tahoma" w:hAnsi="Tahoma" w:cs="Tahoma"/>
          <w:sz w:val="20"/>
          <w:szCs w:val="20"/>
        </w:rPr>
        <w:t>ce</w:t>
      </w:r>
      <w:r w:rsidRPr="002D4106">
        <w:rPr>
          <w:rFonts w:ascii="Tahoma" w:hAnsi="Tahoma" w:cs="Tahoma"/>
          <w:sz w:val="20"/>
          <w:szCs w:val="20"/>
        </w:rPr>
        <w:t xml:space="preserve"> uveden počet bodů, který bude přičten k hodnocení nabídky</w:t>
      </w:r>
      <w:r>
        <w:rPr>
          <w:rFonts w:ascii="Tahoma" w:hAnsi="Tahoma" w:cs="Tahoma"/>
          <w:sz w:val="20"/>
          <w:szCs w:val="20"/>
        </w:rPr>
        <w:t xml:space="preserve"> v rámci daného dílčího hodnotícího kritéria (viz část 1</w:t>
      </w:r>
      <w:r w:rsidR="005070E9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</w:t>
      </w:r>
      <w:r w:rsidR="0025461F">
        <w:rPr>
          <w:rFonts w:ascii="Tahoma" w:hAnsi="Tahoma" w:cs="Tahoma"/>
          <w:sz w:val="20"/>
          <w:szCs w:val="20"/>
        </w:rPr>
        <w:t>Výzvy</w:t>
      </w:r>
      <w:r>
        <w:rPr>
          <w:rFonts w:ascii="Tahoma" w:hAnsi="Tahoma" w:cs="Tahoma"/>
          <w:sz w:val="20"/>
          <w:szCs w:val="20"/>
        </w:rPr>
        <w:t>)</w:t>
      </w:r>
      <w:r w:rsidRPr="002D4106">
        <w:rPr>
          <w:rFonts w:ascii="Tahoma" w:hAnsi="Tahoma" w:cs="Tahoma"/>
          <w:sz w:val="20"/>
          <w:szCs w:val="20"/>
        </w:rPr>
        <w:t>, pokud tato nabídka bude dan</w:t>
      </w:r>
      <w:r>
        <w:rPr>
          <w:rFonts w:ascii="Tahoma" w:hAnsi="Tahoma" w:cs="Tahoma"/>
          <w:sz w:val="20"/>
          <w:szCs w:val="20"/>
        </w:rPr>
        <w:t>ou vlastnost splňovat</w:t>
      </w:r>
      <w:r w:rsidRPr="002D4106"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3260"/>
        <w:gridCol w:w="4678"/>
        <w:gridCol w:w="2079"/>
      </w:tblGrid>
      <w:tr w:rsidR="00354CC6" w:rsidRPr="004C43DD" w14:paraId="73D92001" w14:textId="77777777" w:rsidTr="002B2CAD">
        <w:tc>
          <w:tcPr>
            <w:tcW w:w="5132" w:type="dxa"/>
          </w:tcPr>
          <w:p w14:paraId="00F4FBC1" w14:textId="77777777" w:rsidR="00354CC6" w:rsidRPr="00A93326" w:rsidRDefault="00166B4C" w:rsidP="00166B4C">
            <w:pPr>
              <w:spacing w:before="144"/>
              <w:ind w:left="720" w:hanging="515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35946">
              <w:rPr>
                <w:rFonts w:ascii="Tahoma" w:hAnsi="Tahoma" w:cs="Tahoma"/>
                <w:b/>
                <w:sz w:val="22"/>
                <w:szCs w:val="20"/>
              </w:rPr>
              <w:t>Specifikace dílčího hodnotícího kritéria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516AD43F" w14:textId="77777777" w:rsidR="00354CC6" w:rsidRPr="00354CC6" w:rsidRDefault="00354CC6" w:rsidP="008E6EC0">
            <w:pPr>
              <w:spacing w:before="14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4CC6">
              <w:rPr>
                <w:rFonts w:ascii="Tahoma" w:hAnsi="Tahoma" w:cs="Tahoma"/>
                <w:b/>
                <w:sz w:val="22"/>
                <w:szCs w:val="20"/>
              </w:rPr>
              <w:t>Dodavatelem nabízené parametry*</w:t>
            </w:r>
          </w:p>
        </w:tc>
        <w:tc>
          <w:tcPr>
            <w:tcW w:w="4678" w:type="dxa"/>
          </w:tcPr>
          <w:p w14:paraId="0A5D4EC5" w14:textId="77777777" w:rsidR="00354CC6" w:rsidRDefault="00FE2590" w:rsidP="005341EE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946">
              <w:rPr>
                <w:rFonts w:ascii="Tahoma" w:hAnsi="Tahoma" w:cs="Tahoma"/>
                <w:b/>
                <w:sz w:val="22"/>
                <w:szCs w:val="20"/>
              </w:rPr>
              <w:t>Bodové ohodnocení</w:t>
            </w:r>
          </w:p>
        </w:tc>
        <w:tc>
          <w:tcPr>
            <w:tcW w:w="2079" w:type="dxa"/>
          </w:tcPr>
          <w:p w14:paraId="38A382AE" w14:textId="77777777" w:rsidR="00354CC6" w:rsidRDefault="00FE2590" w:rsidP="008E6EC0">
            <w:pPr>
              <w:spacing w:before="14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5946">
              <w:rPr>
                <w:rFonts w:ascii="Tahoma" w:hAnsi="Tahoma" w:cs="Tahoma"/>
                <w:b/>
                <w:sz w:val="22"/>
                <w:szCs w:val="20"/>
              </w:rPr>
              <w:t>Počet</w:t>
            </w:r>
            <w:r w:rsidR="002B2CAD">
              <w:rPr>
                <w:rFonts w:ascii="Tahoma" w:hAnsi="Tahoma" w:cs="Tahoma"/>
                <w:b/>
                <w:sz w:val="22"/>
                <w:szCs w:val="20"/>
              </w:rPr>
              <w:t xml:space="preserve"> získaných</w:t>
            </w:r>
            <w:r w:rsidRPr="00B35946">
              <w:rPr>
                <w:rFonts w:ascii="Tahoma" w:hAnsi="Tahoma" w:cs="Tahoma"/>
                <w:b/>
                <w:sz w:val="22"/>
                <w:szCs w:val="20"/>
              </w:rPr>
              <w:t xml:space="preserve"> bodů </w:t>
            </w:r>
          </w:p>
        </w:tc>
      </w:tr>
      <w:tr w:rsidR="00354CC6" w:rsidRPr="004C43DD" w14:paraId="46A297BA" w14:textId="77777777" w:rsidTr="002B2CAD">
        <w:tc>
          <w:tcPr>
            <w:tcW w:w="5132" w:type="dxa"/>
          </w:tcPr>
          <w:p w14:paraId="6BADBB8C" w14:textId="77777777" w:rsidR="00354CC6" w:rsidRPr="008E6EC0" w:rsidRDefault="008E6EC0" w:rsidP="008E6EC0">
            <w:pPr>
              <w:numPr>
                <w:ilvl w:val="0"/>
                <w:numId w:val="2"/>
              </w:numPr>
              <w:tabs>
                <w:tab w:val="num" w:pos="346"/>
              </w:tabs>
              <w:spacing w:before="144"/>
              <w:ind w:left="346" w:hanging="283"/>
              <w:rPr>
                <w:rFonts w:ascii="Tahoma" w:hAnsi="Tahoma" w:cs="Tahoma"/>
                <w:bCs/>
                <w:sz w:val="20"/>
                <w:szCs w:val="20"/>
              </w:rPr>
            </w:pPr>
            <w:r w:rsidRPr="008E6EC0">
              <w:rPr>
                <w:rFonts w:ascii="Tahoma" w:hAnsi="Tahoma" w:cs="Tahoma"/>
                <w:bCs/>
                <w:sz w:val="20"/>
                <w:szCs w:val="20"/>
              </w:rPr>
              <w:t xml:space="preserve">Je možné definovat </w:t>
            </w:r>
            <w:r w:rsidRPr="008E6EC0">
              <w:rPr>
                <w:rFonts w:ascii="Tahoma" w:hAnsi="Tahoma" w:cs="Tahoma"/>
                <w:sz w:val="20"/>
                <w:szCs w:val="20"/>
              </w:rPr>
              <w:t>více typů materiálů v jedné buňce výpočetní mřížky</w:t>
            </w:r>
            <w:r w:rsidRPr="00311B3A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0300ED5D" w14:textId="14CAE62B" w:rsidR="00354CC6" w:rsidRPr="0089133C" w:rsidRDefault="0089133C" w:rsidP="005341EE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133C">
              <w:rPr>
                <w:rFonts w:ascii="Tahoma" w:hAnsi="Tahoma" w:cs="Tahoma"/>
                <w:b/>
                <w:bCs/>
                <w:sz w:val="20"/>
                <w:szCs w:val="20"/>
              </w:rPr>
              <w:t>ANO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559EB3DE" w14:textId="77777777" w:rsidR="00354CC6" w:rsidRPr="008E6EC0" w:rsidRDefault="008E6EC0" w:rsidP="008F4F90">
            <w:pPr>
              <w:spacing w:before="144"/>
              <w:rPr>
                <w:rFonts w:ascii="Tahoma" w:hAnsi="Tahoma" w:cs="Tahoma"/>
                <w:sz w:val="20"/>
                <w:szCs w:val="20"/>
              </w:rPr>
            </w:pPr>
            <w:r w:rsidRPr="008E6EC0">
              <w:rPr>
                <w:rFonts w:ascii="Tahoma" w:hAnsi="Tahoma" w:cs="Tahoma"/>
                <w:b/>
                <w:bCs/>
                <w:sz w:val="20"/>
                <w:szCs w:val="20"/>
              </w:rPr>
              <w:t>ANO - 10 bodů, NE – 0 bodů</w:t>
            </w:r>
          </w:p>
        </w:tc>
        <w:tc>
          <w:tcPr>
            <w:tcW w:w="2079" w:type="dxa"/>
          </w:tcPr>
          <w:p w14:paraId="44673680" w14:textId="77777777" w:rsidR="00354CC6" w:rsidRPr="00E428BC" w:rsidRDefault="00354CC6" w:rsidP="005341EE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54CC6" w:rsidRPr="004C43DD" w14:paraId="3454E0CB" w14:textId="77777777" w:rsidTr="008E6EC0">
        <w:trPr>
          <w:trHeight w:val="719"/>
        </w:trPr>
        <w:tc>
          <w:tcPr>
            <w:tcW w:w="5132" w:type="dxa"/>
          </w:tcPr>
          <w:p w14:paraId="66A3A27E" w14:textId="77777777" w:rsidR="00354CC6" w:rsidRPr="008E6EC0" w:rsidRDefault="008E6EC0" w:rsidP="008E6EC0">
            <w:pPr>
              <w:numPr>
                <w:ilvl w:val="0"/>
                <w:numId w:val="2"/>
              </w:numPr>
              <w:tabs>
                <w:tab w:val="num" w:pos="346"/>
              </w:tabs>
              <w:spacing w:before="144"/>
              <w:ind w:left="346" w:hanging="283"/>
              <w:rPr>
                <w:rFonts w:ascii="Tahoma" w:hAnsi="Tahoma" w:cs="Tahoma"/>
                <w:bCs/>
                <w:sz w:val="20"/>
                <w:szCs w:val="20"/>
              </w:rPr>
            </w:pPr>
            <w:r w:rsidRPr="008E6EC0">
              <w:rPr>
                <w:rFonts w:ascii="Tahoma" w:hAnsi="Tahoma" w:cs="Tahoma"/>
                <w:bCs/>
                <w:sz w:val="20"/>
                <w:szCs w:val="20"/>
              </w:rPr>
              <w:t>Frekvenční řešič: Je k dispozici implementace metody deformace již vytvořené výpočetní sítě</w:t>
            </w:r>
            <w:r w:rsidRPr="00311B3A">
              <w:rPr>
                <w:rFonts w:ascii="Tahoma" w:hAnsi="Tahoma" w:cs="Tahoma"/>
                <w:bCs/>
                <w:sz w:val="20"/>
                <w:szCs w:val="20"/>
              </w:rPr>
              <w:t>?</w:t>
            </w:r>
            <w:r w:rsidRPr="008E6EC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E9DB981" w14:textId="1595448E" w:rsidR="00354CC6" w:rsidRPr="0089133C" w:rsidRDefault="0089133C" w:rsidP="005341EE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133C">
              <w:rPr>
                <w:rFonts w:ascii="Tahoma" w:hAnsi="Tahoma" w:cs="Tahoma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678" w:type="dxa"/>
          </w:tcPr>
          <w:p w14:paraId="73E25BC2" w14:textId="77777777" w:rsidR="00354CC6" w:rsidRPr="008E6EC0" w:rsidRDefault="008E6EC0" w:rsidP="0013293E">
            <w:pPr>
              <w:spacing w:before="14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E6EC0">
              <w:rPr>
                <w:rFonts w:ascii="Tahoma" w:hAnsi="Tahoma" w:cs="Tahoma"/>
                <w:b/>
                <w:bCs/>
                <w:sz w:val="20"/>
                <w:szCs w:val="20"/>
              </w:rPr>
              <w:t>ANO - 10 bodů, NE – 0 bodů</w:t>
            </w:r>
          </w:p>
        </w:tc>
        <w:tc>
          <w:tcPr>
            <w:tcW w:w="2079" w:type="dxa"/>
          </w:tcPr>
          <w:p w14:paraId="4DE70FC5" w14:textId="77777777" w:rsidR="00354CC6" w:rsidRPr="00E428BC" w:rsidRDefault="00354CC6" w:rsidP="005341EE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54CC6" w:rsidRPr="00E22AF6" w14:paraId="51C94D52" w14:textId="77777777" w:rsidTr="005E3F09">
        <w:trPr>
          <w:trHeight w:val="716"/>
        </w:trPr>
        <w:tc>
          <w:tcPr>
            <w:tcW w:w="5132" w:type="dxa"/>
          </w:tcPr>
          <w:p w14:paraId="374098A0" w14:textId="77777777" w:rsidR="00354CC6" w:rsidRPr="008E6EC0" w:rsidRDefault="008E6EC0" w:rsidP="008E6EC0">
            <w:pPr>
              <w:numPr>
                <w:ilvl w:val="0"/>
                <w:numId w:val="2"/>
              </w:numPr>
              <w:tabs>
                <w:tab w:val="num" w:pos="346"/>
              </w:tabs>
              <w:spacing w:before="144"/>
              <w:ind w:left="346" w:hanging="283"/>
              <w:rPr>
                <w:rFonts w:ascii="Tahoma" w:hAnsi="Tahoma" w:cs="Tahoma"/>
                <w:sz w:val="20"/>
                <w:szCs w:val="20"/>
              </w:rPr>
            </w:pPr>
            <w:r w:rsidRPr="008E6EC0">
              <w:rPr>
                <w:rFonts w:ascii="Tahoma" w:hAnsi="Tahoma" w:cs="Tahoma"/>
                <w:sz w:val="20"/>
                <w:szCs w:val="20"/>
              </w:rPr>
              <w:t>Počet CPU, které je možné v rámci jednoho výpočtu nejvýše využít.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442BF38A" w14:textId="2DCE5FEF" w:rsidR="00354CC6" w:rsidRPr="0089133C" w:rsidRDefault="0089133C" w:rsidP="005341EE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133C">
              <w:rPr>
                <w:rFonts w:ascii="Tahoma" w:hAnsi="Tahoma" w:cs="Tahoma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678" w:type="dxa"/>
          </w:tcPr>
          <w:p w14:paraId="652ABE90" w14:textId="77777777" w:rsidR="00354CC6" w:rsidRPr="008E6EC0" w:rsidRDefault="005E3F09" w:rsidP="005E3F09">
            <w:p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10*(N(CPU) – 128)/64</w:t>
            </w:r>
            <w:r w:rsidR="00354CC6" w:rsidRPr="008E6EC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2079" w:type="dxa"/>
          </w:tcPr>
          <w:p w14:paraId="33DD7474" w14:textId="77777777" w:rsidR="00354CC6" w:rsidRPr="00E428BC" w:rsidRDefault="00354CC6" w:rsidP="005341EE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54CC6" w:rsidRPr="00E22AF6" w14:paraId="5EFABB22" w14:textId="77777777" w:rsidTr="002B2CAD">
        <w:trPr>
          <w:trHeight w:val="1100"/>
        </w:trPr>
        <w:tc>
          <w:tcPr>
            <w:tcW w:w="5132" w:type="dxa"/>
          </w:tcPr>
          <w:p w14:paraId="32A8320F" w14:textId="77777777" w:rsidR="00354CC6" w:rsidRPr="008E6EC0" w:rsidRDefault="002B2CAD" w:rsidP="008E6EC0">
            <w:pPr>
              <w:numPr>
                <w:ilvl w:val="0"/>
                <w:numId w:val="2"/>
              </w:numPr>
              <w:tabs>
                <w:tab w:val="num" w:pos="346"/>
              </w:tabs>
              <w:spacing w:before="144"/>
              <w:ind w:left="346" w:hanging="283"/>
              <w:rPr>
                <w:rFonts w:ascii="Tahoma" w:hAnsi="Tahoma" w:cs="Tahoma"/>
                <w:bCs/>
                <w:sz w:val="20"/>
                <w:szCs w:val="20"/>
              </w:rPr>
            </w:pPr>
            <w:r w:rsidRPr="008E6EC0">
              <w:rPr>
                <w:rFonts w:ascii="Tahoma" w:hAnsi="Tahoma" w:cs="Tahoma"/>
                <w:bCs/>
                <w:sz w:val="20"/>
                <w:szCs w:val="20"/>
              </w:rPr>
              <w:t>Doba</w:t>
            </w:r>
            <w:r w:rsidR="0025461F" w:rsidRPr="008E6EC0">
              <w:rPr>
                <w:rFonts w:ascii="Tahoma" w:hAnsi="Tahoma" w:cs="Tahoma"/>
                <w:bCs/>
                <w:sz w:val="20"/>
                <w:szCs w:val="20"/>
              </w:rPr>
              <w:t xml:space="preserve"> poskytování</w:t>
            </w:r>
            <w:r w:rsidRPr="008E6EC0">
              <w:rPr>
                <w:rFonts w:ascii="Tahoma" w:hAnsi="Tahoma" w:cs="Tahoma"/>
                <w:bCs/>
                <w:sz w:val="20"/>
                <w:szCs w:val="20"/>
              </w:rPr>
              <w:t xml:space="preserve"> bezplatné</w:t>
            </w:r>
            <w:r w:rsidR="0025461F" w:rsidRPr="008E6EC0">
              <w:rPr>
                <w:rFonts w:ascii="Tahoma" w:hAnsi="Tahoma" w:cs="Tahoma"/>
                <w:bCs/>
                <w:sz w:val="20"/>
                <w:szCs w:val="20"/>
              </w:rPr>
              <w:t xml:space="preserve"> technické podpory a </w:t>
            </w:r>
            <w:r w:rsidRPr="008E6EC0">
              <w:rPr>
                <w:rFonts w:ascii="Tahoma" w:hAnsi="Tahoma" w:cs="Tahoma"/>
                <w:bCs/>
                <w:sz w:val="20"/>
                <w:szCs w:val="20"/>
              </w:rPr>
              <w:t xml:space="preserve">bezplatné </w:t>
            </w:r>
            <w:r w:rsidR="0025461F" w:rsidRPr="008E6EC0">
              <w:rPr>
                <w:rFonts w:ascii="Tahoma" w:hAnsi="Tahoma" w:cs="Tahoma"/>
                <w:bCs/>
                <w:sz w:val="20"/>
                <w:szCs w:val="20"/>
              </w:rPr>
              <w:t xml:space="preserve">aktualizace software. </w:t>
            </w:r>
            <w:r w:rsidRPr="008E6EC0">
              <w:rPr>
                <w:rFonts w:ascii="Tahoma" w:hAnsi="Tahoma" w:cs="Tahoma"/>
                <w:bCs/>
                <w:sz w:val="20"/>
                <w:szCs w:val="20"/>
              </w:rPr>
              <w:t xml:space="preserve">Dodavatel uvede celkovou dobu v měsících, přičemž minimální doba pro splnění zadávacích podmínek je </w:t>
            </w:r>
            <w:r w:rsidR="008E6EC0" w:rsidRPr="008E6EC0">
              <w:rPr>
                <w:rFonts w:ascii="Tahoma" w:hAnsi="Tahoma" w:cs="Tahoma"/>
                <w:sz w:val="20"/>
                <w:szCs w:val="20"/>
              </w:rPr>
              <w:t>72</w:t>
            </w:r>
            <w:r w:rsidRPr="008E6EC0">
              <w:rPr>
                <w:rFonts w:ascii="Tahoma" w:hAnsi="Tahoma" w:cs="Tahoma"/>
                <w:sz w:val="20"/>
                <w:szCs w:val="20"/>
              </w:rPr>
              <w:t xml:space="preserve"> měsíců.</w:t>
            </w:r>
            <w:r w:rsidR="00412FA3" w:rsidRPr="008E6EC0">
              <w:rPr>
                <w:rStyle w:val="Znakapoznpodarou"/>
                <w:rFonts w:ascii="Tahoma" w:hAnsi="Tahoma" w:cs="Tahoma"/>
                <w:sz w:val="20"/>
                <w:szCs w:val="20"/>
              </w:rPr>
              <w:footnoteReference w:id="1"/>
            </w:r>
          </w:p>
          <w:p w14:paraId="7995392B" w14:textId="77777777" w:rsidR="002B2CAD" w:rsidRPr="008E6EC0" w:rsidRDefault="002B2CAD" w:rsidP="008E6EC0">
            <w:pPr>
              <w:tabs>
                <w:tab w:val="num" w:pos="346"/>
              </w:tabs>
              <w:spacing w:before="144"/>
              <w:ind w:left="346" w:hanging="283"/>
              <w:rPr>
                <w:rFonts w:ascii="Tahoma" w:hAnsi="Tahoma" w:cs="Tahoma"/>
                <w:bCs/>
                <w:sz w:val="20"/>
                <w:szCs w:val="20"/>
              </w:rPr>
            </w:pPr>
            <w:r w:rsidRPr="008E6EC0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="008E6EC0" w:rsidRPr="008E6EC0">
              <w:rPr>
                <w:rFonts w:ascii="Tahoma" w:hAnsi="Tahoma" w:cs="Tahoma"/>
                <w:bCs/>
                <w:sz w:val="20"/>
                <w:szCs w:val="20"/>
              </w:rPr>
              <w:t>V případě uvedení doby kratší 72</w:t>
            </w:r>
            <w:r w:rsidRPr="008E6EC0">
              <w:rPr>
                <w:rFonts w:ascii="Tahoma" w:hAnsi="Tahoma" w:cs="Tahoma"/>
                <w:bCs/>
                <w:sz w:val="20"/>
                <w:szCs w:val="20"/>
              </w:rPr>
              <w:t xml:space="preserve"> měsíců, bude tato skutečnost považována za nesplnění zadávacích podmínek s následkem vyloučení dodavatele z výběrového řízení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6CBF3103" w14:textId="67363BB5" w:rsidR="00354CC6" w:rsidRPr="0089133C" w:rsidRDefault="0089133C" w:rsidP="005341EE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133C">
              <w:rPr>
                <w:rFonts w:ascii="Tahoma" w:hAnsi="Tahoma" w:cs="Tahom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678" w:type="dxa"/>
          </w:tcPr>
          <w:p w14:paraId="7DC82CCF" w14:textId="77777777" w:rsidR="00354CC6" w:rsidRPr="008E6EC0" w:rsidRDefault="00F521BD" w:rsidP="00F521BD">
            <w:pPr>
              <w:spacing w:before="14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6EC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10 bodů </w:t>
            </w:r>
            <w:r w:rsidR="008E6EC0" w:rsidRPr="008E6EC0">
              <w:rPr>
                <w:rFonts w:ascii="Tahoma" w:hAnsi="Tahoma" w:cs="Tahoma"/>
                <w:bCs/>
                <w:sz w:val="20"/>
                <w:szCs w:val="20"/>
              </w:rPr>
              <w:t>za každých 12</w:t>
            </w:r>
            <w:r w:rsidRPr="008E6EC0">
              <w:rPr>
                <w:rFonts w:ascii="Tahoma" w:hAnsi="Tahoma" w:cs="Tahoma"/>
                <w:bCs/>
                <w:sz w:val="20"/>
                <w:szCs w:val="20"/>
              </w:rPr>
              <w:t xml:space="preserve"> měsíců navíc</w:t>
            </w:r>
            <w:r w:rsidR="008E6EC0" w:rsidRPr="008E6EC0">
              <w:rPr>
                <w:rFonts w:ascii="Tahoma" w:hAnsi="Tahoma" w:cs="Tahoma"/>
                <w:bCs/>
                <w:sz w:val="20"/>
                <w:szCs w:val="20"/>
              </w:rPr>
              <w:t xml:space="preserve"> (tj. nad rámec 72</w:t>
            </w:r>
            <w:r w:rsidR="002B2CAD" w:rsidRPr="008E6EC0">
              <w:rPr>
                <w:rFonts w:ascii="Tahoma" w:hAnsi="Tahoma" w:cs="Tahoma"/>
                <w:bCs/>
                <w:sz w:val="20"/>
                <w:szCs w:val="20"/>
              </w:rPr>
              <w:t xml:space="preserve"> měsíců)</w:t>
            </w:r>
            <w:r w:rsidRPr="008E6EC0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8E6EC0">
              <w:rPr>
                <w:rFonts w:ascii="Tahoma" w:hAnsi="Tahoma" w:cs="Tahoma"/>
                <w:b/>
                <w:bCs/>
                <w:sz w:val="20"/>
                <w:szCs w:val="20"/>
              </w:rPr>
              <w:t>nejvýše však 50 bodů</w:t>
            </w:r>
            <w:r w:rsidRPr="008E6EC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</w:tcPr>
          <w:p w14:paraId="036BF09F" w14:textId="77777777" w:rsidR="00354CC6" w:rsidRPr="00E428BC" w:rsidRDefault="00354CC6" w:rsidP="005341EE">
            <w:pPr>
              <w:spacing w:before="144"/>
              <w:jc w:val="both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  <w:tr w:rsidR="00211E95" w:rsidRPr="00E22AF6" w14:paraId="7B574542" w14:textId="77777777" w:rsidTr="00211E95">
        <w:trPr>
          <w:trHeight w:val="588"/>
        </w:trPr>
        <w:tc>
          <w:tcPr>
            <w:tcW w:w="5132" w:type="dxa"/>
          </w:tcPr>
          <w:p w14:paraId="13DD92D6" w14:textId="634604AF" w:rsidR="00211E95" w:rsidRPr="008E6EC0" w:rsidRDefault="00211E95" w:rsidP="008E6EC0">
            <w:pPr>
              <w:numPr>
                <w:ilvl w:val="0"/>
                <w:numId w:val="2"/>
              </w:numPr>
              <w:tabs>
                <w:tab w:val="num" w:pos="346"/>
              </w:tabs>
              <w:spacing w:before="144"/>
              <w:ind w:left="346" w:hanging="283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Školení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3656CE52" w14:textId="614CD029" w:rsidR="00211E95" w:rsidRPr="0089133C" w:rsidRDefault="00BF6D9D" w:rsidP="005341EE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14:paraId="3B35EA91" w14:textId="0C46FDF8" w:rsidR="00211E95" w:rsidRPr="00311B3A" w:rsidRDefault="00211E95" w:rsidP="00F521BD">
            <w:pPr>
              <w:spacing w:before="14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 bodů </w:t>
            </w:r>
            <w:r w:rsidRPr="00311B3A">
              <w:rPr>
                <w:rFonts w:ascii="Tahoma" w:hAnsi="Tahoma" w:cs="Tahoma"/>
                <w:bCs/>
                <w:sz w:val="20"/>
                <w:szCs w:val="20"/>
              </w:rPr>
              <w:t>za každ</w:t>
            </w:r>
            <w:r w:rsidRPr="00211E95">
              <w:rPr>
                <w:rFonts w:ascii="Tahoma" w:hAnsi="Tahoma" w:cs="Tahoma"/>
                <w:bCs/>
                <w:sz w:val="20"/>
                <w:szCs w:val="20"/>
              </w:rPr>
              <w:t>ý</w:t>
            </w:r>
            <w:r w:rsidRPr="00311B3A">
              <w:rPr>
                <w:rFonts w:ascii="Tahoma" w:hAnsi="Tahoma" w:cs="Tahoma"/>
                <w:bCs/>
                <w:sz w:val="20"/>
                <w:szCs w:val="20"/>
              </w:rPr>
              <w:t xml:space="preserve"> den školení</w:t>
            </w:r>
            <w:r w:rsidR="00311B3A">
              <w:rPr>
                <w:rFonts w:ascii="Tahoma" w:hAnsi="Tahoma" w:cs="Tahoma"/>
                <w:bCs/>
                <w:sz w:val="20"/>
                <w:szCs w:val="20"/>
              </w:rPr>
              <w:t>, maximálně 8</w:t>
            </w:r>
            <w:r w:rsidR="00397971" w:rsidRPr="00311B3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11B3A" w:rsidRPr="00311B3A">
              <w:rPr>
                <w:rFonts w:ascii="Tahoma" w:hAnsi="Tahoma" w:cs="Tahoma"/>
                <w:bCs/>
                <w:sz w:val="20"/>
                <w:szCs w:val="20"/>
              </w:rPr>
              <w:t>dní š</w:t>
            </w:r>
            <w:r w:rsidR="00397971" w:rsidRPr="00311B3A">
              <w:rPr>
                <w:rFonts w:ascii="Tahoma" w:hAnsi="Tahoma" w:cs="Tahoma"/>
                <w:bCs/>
                <w:sz w:val="20"/>
                <w:szCs w:val="20"/>
              </w:rPr>
              <w:t xml:space="preserve">kolení </w:t>
            </w:r>
          </w:p>
        </w:tc>
        <w:tc>
          <w:tcPr>
            <w:tcW w:w="2079" w:type="dxa"/>
          </w:tcPr>
          <w:p w14:paraId="1E74A128" w14:textId="77777777" w:rsidR="00211E95" w:rsidRPr="00E428BC" w:rsidRDefault="00211E95" w:rsidP="005341EE">
            <w:pPr>
              <w:spacing w:before="144"/>
              <w:jc w:val="both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</w:tbl>
    <w:p w14:paraId="53E9EA1B" w14:textId="77777777" w:rsidR="009273C7" w:rsidRDefault="009273C7">
      <w:pPr>
        <w:rPr>
          <w:rFonts w:ascii="Tahoma" w:hAnsi="Tahoma" w:cs="Tahoma"/>
          <w:b/>
          <w:sz w:val="22"/>
          <w:szCs w:val="20"/>
        </w:rPr>
      </w:pPr>
    </w:p>
    <w:p w14:paraId="4FC6F715" w14:textId="77777777" w:rsidR="00DE6C53" w:rsidRDefault="00354CC6">
      <w:pPr>
        <w:rPr>
          <w:rFonts w:ascii="Tahoma" w:hAnsi="Tahoma" w:cs="Tahoma"/>
        </w:rPr>
      </w:pPr>
      <w:r w:rsidRPr="00B35946">
        <w:rPr>
          <w:rFonts w:ascii="Tahoma" w:hAnsi="Tahoma" w:cs="Tahoma"/>
          <w:b/>
          <w:sz w:val="22"/>
          <w:szCs w:val="20"/>
        </w:rPr>
        <w:t>*</w:t>
      </w:r>
      <w:r w:rsidRPr="00B35946">
        <w:rPr>
          <w:rFonts w:ascii="Tahoma" w:hAnsi="Tahoma" w:cs="Tahoma"/>
        </w:rPr>
        <w:t xml:space="preserve">Zeleně označený sloupec doplní </w:t>
      </w:r>
      <w:r>
        <w:rPr>
          <w:rFonts w:ascii="Tahoma" w:hAnsi="Tahoma" w:cs="Tahoma"/>
        </w:rPr>
        <w:t>dodavatel</w:t>
      </w:r>
      <w:r w:rsidRPr="00B35946">
        <w:rPr>
          <w:rFonts w:ascii="Tahoma" w:hAnsi="Tahoma" w:cs="Tahoma"/>
        </w:rPr>
        <w:t>.</w:t>
      </w:r>
    </w:p>
    <w:p w14:paraId="1F01C256" w14:textId="77777777" w:rsidR="002B2CAD" w:rsidRDefault="002B2CAD"/>
    <w:p w14:paraId="218931B0" w14:textId="77777777" w:rsidR="0025461F" w:rsidRDefault="0025461F" w:rsidP="0025461F">
      <w:pPr>
        <w:jc w:val="both"/>
      </w:pPr>
      <w:r>
        <w:t>Pozn.: V případě, že dodavatel uvede v rámci své nabídky v různých dokumentech rozdílné parametry hodnotících kritérií (např. v této tabulce a návrhu licenční smlouvy), bude platit vždy ta lepší hodnota (např. delší doba technické podpory a aktualizace SW), v jejichž intencích pak budou opraveny všechny ostatní dokumenty.</w:t>
      </w:r>
    </w:p>
    <w:sectPr w:rsidR="0025461F" w:rsidSect="002B2CAD">
      <w:headerReference w:type="default" r:id="rId9"/>
      <w:pgSz w:w="16838" w:h="11906" w:orient="landscape"/>
      <w:pgMar w:top="720" w:right="851" w:bottom="568" w:left="720" w:header="708" w:footer="11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86F533" w16cid:durableId="210117AA"/>
  <w16cid:commentId w16cid:paraId="0DB9FAE2" w16cid:durableId="210117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F492D" w14:textId="77777777" w:rsidR="00592794" w:rsidRDefault="00592794" w:rsidP="001263FB">
      <w:r>
        <w:separator/>
      </w:r>
    </w:p>
  </w:endnote>
  <w:endnote w:type="continuationSeparator" w:id="0">
    <w:p w14:paraId="0049C024" w14:textId="77777777" w:rsidR="00592794" w:rsidRDefault="00592794" w:rsidP="0012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font">
    <w:altName w:val="Arial Unicode MS"/>
    <w:charset w:val="80"/>
    <w:family w:val="auto"/>
    <w:pitch w:val="variable"/>
  </w:font>
  <w:font w:name="DejaVu Sans">
    <w:altName w:val="Arial"/>
    <w:charset w:val="EE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1E457" w14:textId="77777777" w:rsidR="00592794" w:rsidRDefault="00592794" w:rsidP="001263FB">
      <w:r>
        <w:separator/>
      </w:r>
    </w:p>
  </w:footnote>
  <w:footnote w:type="continuationSeparator" w:id="0">
    <w:p w14:paraId="37C4589B" w14:textId="77777777" w:rsidR="00592794" w:rsidRDefault="00592794" w:rsidP="001263FB">
      <w:r>
        <w:continuationSeparator/>
      </w:r>
    </w:p>
  </w:footnote>
  <w:footnote w:id="1">
    <w:p w14:paraId="7F26BB19" w14:textId="77777777" w:rsidR="00412FA3" w:rsidRDefault="00412FA3">
      <w:pPr>
        <w:pStyle w:val="Textpoznpodarou"/>
      </w:pPr>
      <w:r>
        <w:rPr>
          <w:rStyle w:val="Znakapoznpodarou"/>
        </w:rPr>
        <w:footnoteRef/>
      </w:r>
      <w:r>
        <w:t xml:space="preserve"> Dodavatel </w:t>
      </w:r>
      <w:r w:rsidR="0025461F">
        <w:t xml:space="preserve">uvede celkovou dobu poskytování bezplatné technické podpory a aktualizace </w:t>
      </w:r>
      <w:r w:rsidR="002B2CAD">
        <w:t>rovněž do návrhu Licenční smlouvy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A2094" w14:textId="174AB083" w:rsidR="001263FB" w:rsidRPr="001263FB" w:rsidRDefault="001263FB" w:rsidP="001263FB">
    <w:pPr>
      <w:pStyle w:val="Zhlav"/>
      <w:jc w:val="right"/>
      <w:rPr>
        <w:rFonts w:ascii="Tahoma" w:hAnsi="Tahoma" w:cs="Tahoma"/>
        <w:b/>
        <w:i/>
        <w:sz w:val="28"/>
        <w:szCs w:val="28"/>
      </w:rPr>
    </w:pPr>
    <w:r w:rsidRPr="001263FB">
      <w:rPr>
        <w:rFonts w:ascii="Tahoma" w:hAnsi="Tahoma" w:cs="Tahoma"/>
        <w:b/>
        <w:i/>
        <w:sz w:val="28"/>
        <w:szCs w:val="28"/>
      </w:rPr>
      <w:t xml:space="preserve">Příloha č. </w:t>
    </w:r>
    <w:r w:rsidR="0011168D">
      <w:rPr>
        <w:rFonts w:ascii="Tahoma" w:hAnsi="Tahoma" w:cs="Tahoma"/>
        <w:b/>
        <w:i/>
        <w:sz w:val="28"/>
        <w:szCs w:val="28"/>
      </w:rPr>
      <w:t>2 Licenční smlouvy</w:t>
    </w:r>
    <w:r w:rsidR="00052456">
      <w:rPr>
        <w:rFonts w:ascii="Tahoma" w:hAnsi="Tahoma" w:cs="Tahoma"/>
        <w:b/>
        <w:i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3646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u w:val="none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b/>
        <w:bCs/>
        <w:u w:val="none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b/>
        <w:bCs/>
        <w:u w:val="none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b/>
        <w:bCs/>
        <w:u w:val="none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b/>
        <w:bCs/>
        <w:u w:val="none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b/>
        <w:bCs/>
        <w:u w:val="none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b/>
        <w:bCs/>
        <w:u w:val="none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b/>
        <w:bCs/>
        <w:u w:val="none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b/>
        <w:bCs/>
        <w:u w:val="none"/>
      </w:rPr>
    </w:lvl>
  </w:abstractNum>
  <w:abstractNum w:abstractNumId="2">
    <w:nsid w:val="68B821A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8E"/>
    <w:rsid w:val="00052456"/>
    <w:rsid w:val="0011168D"/>
    <w:rsid w:val="00122AD2"/>
    <w:rsid w:val="001263FB"/>
    <w:rsid w:val="0013293E"/>
    <w:rsid w:val="00157075"/>
    <w:rsid w:val="00166B4C"/>
    <w:rsid w:val="0018691A"/>
    <w:rsid w:val="00211E95"/>
    <w:rsid w:val="0025461F"/>
    <w:rsid w:val="00283629"/>
    <w:rsid w:val="002B2CAD"/>
    <w:rsid w:val="00311B3A"/>
    <w:rsid w:val="003121F5"/>
    <w:rsid w:val="00354CC6"/>
    <w:rsid w:val="00397971"/>
    <w:rsid w:val="003B3504"/>
    <w:rsid w:val="003E6AF5"/>
    <w:rsid w:val="00412FA3"/>
    <w:rsid w:val="00476CCD"/>
    <w:rsid w:val="004E1246"/>
    <w:rsid w:val="005070E9"/>
    <w:rsid w:val="00592794"/>
    <w:rsid w:val="005E3F09"/>
    <w:rsid w:val="006C1AC5"/>
    <w:rsid w:val="007C438E"/>
    <w:rsid w:val="00804455"/>
    <w:rsid w:val="0088765E"/>
    <w:rsid w:val="0089133C"/>
    <w:rsid w:val="008A5CBC"/>
    <w:rsid w:val="008B3D3B"/>
    <w:rsid w:val="008E6EC0"/>
    <w:rsid w:val="008F4F90"/>
    <w:rsid w:val="008F78A9"/>
    <w:rsid w:val="00901A48"/>
    <w:rsid w:val="00924AB3"/>
    <w:rsid w:val="009273C7"/>
    <w:rsid w:val="009526E0"/>
    <w:rsid w:val="00983F78"/>
    <w:rsid w:val="009E2427"/>
    <w:rsid w:val="00A326A3"/>
    <w:rsid w:val="00AB727E"/>
    <w:rsid w:val="00B20095"/>
    <w:rsid w:val="00B46511"/>
    <w:rsid w:val="00BF301A"/>
    <w:rsid w:val="00BF6D9D"/>
    <w:rsid w:val="00C01BAA"/>
    <w:rsid w:val="00CA388A"/>
    <w:rsid w:val="00D45A6C"/>
    <w:rsid w:val="00DE23A0"/>
    <w:rsid w:val="00DE6C53"/>
    <w:rsid w:val="00E428BC"/>
    <w:rsid w:val="00E76038"/>
    <w:rsid w:val="00EB4D28"/>
    <w:rsid w:val="00EC0774"/>
    <w:rsid w:val="00F16D4F"/>
    <w:rsid w:val="00F521BD"/>
    <w:rsid w:val="00F63C04"/>
    <w:rsid w:val="00F67FE0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430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CCD"/>
    <w:pPr>
      <w:widowControl w:val="0"/>
      <w:suppressAutoHyphens/>
      <w:spacing w:after="0" w:line="240" w:lineRule="auto"/>
    </w:pPr>
    <w:rPr>
      <w:rFonts w:ascii="Times New Roman" w:eastAsia="unifont" w:hAnsi="Times New Roman" w:cs="DejaVu Sans"/>
      <w:b w:val="0"/>
      <w:kern w:val="1"/>
      <w:sz w:val="24"/>
      <w:szCs w:val="24"/>
      <w:lang w:eastAsia="zh-CN" w:bidi="hi-IN"/>
    </w:rPr>
  </w:style>
  <w:style w:type="paragraph" w:styleId="Nadpis2">
    <w:name w:val="heading 2"/>
    <w:basedOn w:val="Normln"/>
    <w:next w:val="Zkladntext"/>
    <w:link w:val="Nadpis2Char"/>
    <w:qFormat/>
    <w:rsid w:val="00476CCD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76CCD"/>
    <w:rPr>
      <w:rFonts w:ascii="Arial" w:eastAsia="unifont" w:hAnsi="Arial" w:cs="DejaVu Sans"/>
      <w:bCs/>
      <w:i/>
      <w:iCs/>
      <w:kern w:val="1"/>
      <w:sz w:val="28"/>
      <w:szCs w:val="28"/>
      <w:lang w:eastAsia="zh-CN" w:bidi="hi-IN"/>
    </w:rPr>
  </w:style>
  <w:style w:type="paragraph" w:styleId="Zkladntext">
    <w:name w:val="Body Text"/>
    <w:basedOn w:val="Normln"/>
    <w:link w:val="ZkladntextChar"/>
    <w:rsid w:val="00476C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76CCD"/>
    <w:rPr>
      <w:rFonts w:ascii="Times New Roman" w:eastAsia="unifont" w:hAnsi="Times New Roman" w:cs="DejaVu Sans"/>
      <w:b w:val="0"/>
      <w:kern w:val="1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476CCD"/>
    <w:pPr>
      <w:tabs>
        <w:tab w:val="center" w:pos="4536"/>
        <w:tab w:val="right" w:pos="9072"/>
      </w:tabs>
    </w:pPr>
    <w:rPr>
      <w:rFonts w:cs="Mangal"/>
      <w:szCs w:val="21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476CCD"/>
    <w:rPr>
      <w:rFonts w:ascii="Times New Roman" w:eastAsia="unifont" w:hAnsi="Times New Roman" w:cs="Mangal"/>
      <w:b w:val="0"/>
      <w:kern w:val="1"/>
      <w:sz w:val="24"/>
      <w:szCs w:val="21"/>
      <w:lang w:val="en-US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1263F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263FB"/>
    <w:rPr>
      <w:rFonts w:ascii="Times New Roman" w:eastAsia="unifont" w:hAnsi="Times New Roman" w:cs="Mangal"/>
      <w:b w:val="0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3A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3A0"/>
    <w:rPr>
      <w:rFonts w:ascii="Tahoma" w:eastAsia="unifont" w:hAnsi="Tahoma" w:cs="Mangal"/>
      <w:b w:val="0"/>
      <w:kern w:val="1"/>
      <w:sz w:val="16"/>
      <w:szCs w:val="1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2FA3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2FA3"/>
    <w:rPr>
      <w:rFonts w:ascii="Times New Roman" w:eastAsia="unifont" w:hAnsi="Times New Roman" w:cs="Mangal"/>
      <w:b w:val="0"/>
      <w:kern w:val="1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412FA3"/>
    <w:rPr>
      <w:vertAlign w:val="superscript"/>
    </w:rPr>
  </w:style>
  <w:style w:type="character" w:styleId="Odkaznakoment">
    <w:name w:val="annotation reference"/>
    <w:basedOn w:val="Standardnpsmoodstavce"/>
    <w:unhideWhenUsed/>
    <w:rsid w:val="00E428B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428BC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E428BC"/>
    <w:rPr>
      <w:rFonts w:ascii="Times New Roman" w:eastAsia="unifont" w:hAnsi="Times New Roman" w:cs="Mangal"/>
      <w:b w:val="0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2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28BC"/>
    <w:rPr>
      <w:rFonts w:ascii="Times New Roman" w:eastAsia="unifont" w:hAnsi="Times New Roman" w:cs="Mangal"/>
      <w:b/>
      <w:bCs/>
      <w:kern w:val="1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CCD"/>
    <w:pPr>
      <w:widowControl w:val="0"/>
      <w:suppressAutoHyphens/>
      <w:spacing w:after="0" w:line="240" w:lineRule="auto"/>
    </w:pPr>
    <w:rPr>
      <w:rFonts w:ascii="Times New Roman" w:eastAsia="unifont" w:hAnsi="Times New Roman" w:cs="DejaVu Sans"/>
      <w:b w:val="0"/>
      <w:kern w:val="1"/>
      <w:sz w:val="24"/>
      <w:szCs w:val="24"/>
      <w:lang w:eastAsia="zh-CN" w:bidi="hi-IN"/>
    </w:rPr>
  </w:style>
  <w:style w:type="paragraph" w:styleId="Nadpis2">
    <w:name w:val="heading 2"/>
    <w:basedOn w:val="Normln"/>
    <w:next w:val="Zkladntext"/>
    <w:link w:val="Nadpis2Char"/>
    <w:qFormat/>
    <w:rsid w:val="00476CCD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76CCD"/>
    <w:rPr>
      <w:rFonts w:ascii="Arial" w:eastAsia="unifont" w:hAnsi="Arial" w:cs="DejaVu Sans"/>
      <w:bCs/>
      <w:i/>
      <w:iCs/>
      <w:kern w:val="1"/>
      <w:sz w:val="28"/>
      <w:szCs w:val="28"/>
      <w:lang w:eastAsia="zh-CN" w:bidi="hi-IN"/>
    </w:rPr>
  </w:style>
  <w:style w:type="paragraph" w:styleId="Zkladntext">
    <w:name w:val="Body Text"/>
    <w:basedOn w:val="Normln"/>
    <w:link w:val="ZkladntextChar"/>
    <w:rsid w:val="00476C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76CCD"/>
    <w:rPr>
      <w:rFonts w:ascii="Times New Roman" w:eastAsia="unifont" w:hAnsi="Times New Roman" w:cs="DejaVu Sans"/>
      <w:b w:val="0"/>
      <w:kern w:val="1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476CCD"/>
    <w:pPr>
      <w:tabs>
        <w:tab w:val="center" w:pos="4536"/>
        <w:tab w:val="right" w:pos="9072"/>
      </w:tabs>
    </w:pPr>
    <w:rPr>
      <w:rFonts w:cs="Mangal"/>
      <w:szCs w:val="21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476CCD"/>
    <w:rPr>
      <w:rFonts w:ascii="Times New Roman" w:eastAsia="unifont" w:hAnsi="Times New Roman" w:cs="Mangal"/>
      <w:b w:val="0"/>
      <w:kern w:val="1"/>
      <w:sz w:val="24"/>
      <w:szCs w:val="21"/>
      <w:lang w:val="en-US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1263F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263FB"/>
    <w:rPr>
      <w:rFonts w:ascii="Times New Roman" w:eastAsia="unifont" w:hAnsi="Times New Roman" w:cs="Mangal"/>
      <w:b w:val="0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3A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3A0"/>
    <w:rPr>
      <w:rFonts w:ascii="Tahoma" w:eastAsia="unifont" w:hAnsi="Tahoma" w:cs="Mangal"/>
      <w:b w:val="0"/>
      <w:kern w:val="1"/>
      <w:sz w:val="16"/>
      <w:szCs w:val="1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2FA3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2FA3"/>
    <w:rPr>
      <w:rFonts w:ascii="Times New Roman" w:eastAsia="unifont" w:hAnsi="Times New Roman" w:cs="Mangal"/>
      <w:b w:val="0"/>
      <w:kern w:val="1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412FA3"/>
    <w:rPr>
      <w:vertAlign w:val="superscript"/>
    </w:rPr>
  </w:style>
  <w:style w:type="character" w:styleId="Odkaznakoment">
    <w:name w:val="annotation reference"/>
    <w:basedOn w:val="Standardnpsmoodstavce"/>
    <w:unhideWhenUsed/>
    <w:rsid w:val="00E428B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428BC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E428BC"/>
    <w:rPr>
      <w:rFonts w:ascii="Times New Roman" w:eastAsia="unifont" w:hAnsi="Times New Roman" w:cs="Mangal"/>
      <w:b w:val="0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2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28BC"/>
    <w:rPr>
      <w:rFonts w:ascii="Times New Roman" w:eastAsia="unifont" w:hAnsi="Times New Roman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9EFF-79AD-43D7-8CCB-4F115FBF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Gawlová</dc:creator>
  <cp:keywords/>
  <dc:description/>
  <cp:lastModifiedBy>Advokátní kancelář</cp:lastModifiedBy>
  <cp:revision>11</cp:revision>
  <dcterms:created xsi:type="dcterms:W3CDTF">2019-08-12T03:48:00Z</dcterms:created>
  <dcterms:modified xsi:type="dcterms:W3CDTF">2019-09-12T09:17:00Z</dcterms:modified>
</cp:coreProperties>
</file>