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9663" w14:textId="2CA745FF" w:rsidR="003D0B0A" w:rsidRPr="003B1E01" w:rsidRDefault="00305EE4" w:rsidP="003D0B0A">
      <w:pPr>
        <w:jc w:val="both"/>
        <w:rPr>
          <w:rFonts w:ascii="UnitPro-Light" w:hAnsi="UnitPro-Light" w:cs="UnitPro-Light"/>
          <w:i/>
          <w:color w:val="FF0000"/>
          <w:sz w:val="20"/>
          <w:szCs w:val="20"/>
        </w:rPr>
      </w:pPr>
      <w:r>
        <w:rPr>
          <w:rFonts w:ascii="UnitPro-Light" w:hAnsi="UnitPro-Light" w:cs="UnitPro-Light"/>
          <w:i/>
          <w:color w:val="FF0000"/>
          <w:sz w:val="20"/>
          <w:szCs w:val="20"/>
        </w:rPr>
        <w:t xml:space="preserve"> </w:t>
      </w:r>
    </w:p>
    <w:p w14:paraId="39B72962" w14:textId="1EFD9339" w:rsidR="00780343" w:rsidRPr="00305EE4" w:rsidRDefault="005F2BF7" w:rsidP="00512AAA">
      <w:pPr>
        <w:jc w:val="center"/>
        <w:rPr>
          <w:rFonts w:ascii="UnitPro" w:hAnsi="UnitPro" w:cs="UnitPro"/>
          <w:b/>
          <w:sz w:val="28"/>
          <w:szCs w:val="28"/>
        </w:rPr>
      </w:pPr>
      <w:r w:rsidRPr="00305EE4">
        <w:rPr>
          <w:rFonts w:ascii="UnitPro" w:hAnsi="UnitPro" w:cs="UnitPro"/>
          <w:b/>
          <w:sz w:val="28"/>
          <w:szCs w:val="28"/>
        </w:rPr>
        <w:t xml:space="preserve">Dodatek č. </w:t>
      </w:r>
      <w:r w:rsidR="00305EE4">
        <w:rPr>
          <w:rFonts w:ascii="UnitPro" w:hAnsi="UnitPro" w:cs="UnitPro"/>
          <w:b/>
          <w:sz w:val="28"/>
          <w:szCs w:val="28"/>
        </w:rPr>
        <w:t>1</w:t>
      </w:r>
    </w:p>
    <w:p w14:paraId="2BF03212" w14:textId="434909C2" w:rsidR="006F3997" w:rsidRPr="003B1E01" w:rsidRDefault="00305EE4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k</w:t>
      </w:r>
      <w:r w:rsidR="00780343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>
        <w:rPr>
          <w:rFonts w:ascii="UnitPro-Light" w:hAnsi="UnitPro-Light" w:cs="UnitPro-Light"/>
          <w:b/>
          <w:sz w:val="20"/>
          <w:szCs w:val="20"/>
        </w:rPr>
        <w:t>rámcové dohodě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>
        <w:rPr>
          <w:rFonts w:ascii="UnitPro-Light" w:hAnsi="UnitPro-Light" w:cs="UnitPro-Light"/>
          <w:b/>
          <w:sz w:val="20"/>
          <w:szCs w:val="20"/>
        </w:rPr>
        <w:t>18-0020/3.2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="00780343"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>
        <w:rPr>
          <w:rFonts w:ascii="UnitPro-Light" w:hAnsi="UnitPro-Light" w:cs="UnitPro-Light"/>
          <w:b/>
          <w:sz w:val="20"/>
          <w:szCs w:val="20"/>
        </w:rPr>
        <w:t>12. 3. 2019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05EE4">
        <w:rPr>
          <w:rFonts w:ascii="UnitPro" w:hAnsi="UnitPro" w:cs="UnitPro"/>
          <w:b/>
          <w:sz w:val="20"/>
          <w:szCs w:val="20"/>
        </w:rPr>
        <w:t>„</w:t>
      </w:r>
      <w:r w:rsidRPr="00305EE4">
        <w:rPr>
          <w:rFonts w:ascii="UnitPro" w:hAnsi="UnitPro" w:cs="UnitPro"/>
          <w:b/>
        </w:rPr>
        <w:t xml:space="preserve">Poskytnutí participačních služeb k přípravě územní studie sídliště </w:t>
      </w:r>
      <w:r w:rsidRPr="00305EE4">
        <w:rPr>
          <w:rFonts w:ascii="UnitPro" w:hAnsi="UnitPro" w:cs="UnitPro"/>
          <w:b/>
          <w:bCs/>
        </w:rPr>
        <w:t xml:space="preserve">Kamýk </w:t>
      </w:r>
      <w:r w:rsidRPr="00305EE4">
        <w:rPr>
          <w:rFonts w:ascii="UnitPro" w:hAnsi="UnitPro" w:cs="UnitPro"/>
          <w:b/>
        </w:rPr>
        <w:t>a okolí budoucí stanice metra D Libuš</w:t>
      </w:r>
      <w:r w:rsidR="002077C2" w:rsidRPr="00305EE4">
        <w:rPr>
          <w:rFonts w:ascii="UnitPro" w:hAnsi="UnitPro" w:cs="UnitPro"/>
          <w:b/>
          <w:sz w:val="20"/>
          <w:szCs w:val="20"/>
        </w:rPr>
        <w:t>“</w:t>
      </w:r>
      <w:r w:rsidR="00C2756A" w:rsidRPr="00305EE4">
        <w:rPr>
          <w:rFonts w:ascii="UnitPro" w:hAnsi="UnitPro" w:cs="UnitPro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4C570481" w14:textId="77777777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>zastoupený: Mgr. Adamem Švejdou, ředitelem Sekce vnějších vztahů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5DC5FA8C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F66289">
        <w:rPr>
          <w:rFonts w:ascii="UnitPro-Light" w:hAnsi="UnitPro-Light" w:cs="UnitPro-Light"/>
          <w:sz w:val="20"/>
          <w:szCs w:val="20"/>
        </w:rPr>
        <w:t>xxxxx</w:t>
      </w:r>
      <w:proofErr w:type="spellEnd"/>
    </w:p>
    <w:p w14:paraId="54BA1AF7" w14:textId="26BC99E0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F66289">
        <w:rPr>
          <w:rFonts w:ascii="UnitPro-Light" w:hAnsi="UnitPro-Light" w:cs="UnitPro-Light"/>
          <w:sz w:val="20"/>
          <w:szCs w:val="20"/>
        </w:rPr>
        <w:t>xxxxx</w:t>
      </w:r>
      <w:proofErr w:type="spellEnd"/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28351723" w14:textId="1E182252" w:rsidR="00305EE4" w:rsidRPr="00305EE4" w:rsidRDefault="00305EE4" w:rsidP="00305EE4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05EE4">
        <w:rPr>
          <w:rFonts w:ascii="UnitPro-Light" w:hAnsi="UnitPro-Light" w:cs="UnitPro-Light"/>
          <w:b/>
          <w:sz w:val="20"/>
          <w:szCs w:val="20"/>
        </w:rPr>
        <w:t>AVD s.</w:t>
      </w:r>
      <w:r>
        <w:rPr>
          <w:rFonts w:ascii="UnitPro-Light" w:hAnsi="UnitPro-Light" w:cs="UnitPro-Light"/>
          <w:b/>
          <w:sz w:val="20"/>
          <w:szCs w:val="20"/>
        </w:rPr>
        <w:t xml:space="preserve"> </w:t>
      </w:r>
      <w:r w:rsidRPr="00305EE4">
        <w:rPr>
          <w:rFonts w:ascii="UnitPro-Light" w:hAnsi="UnitPro-Light" w:cs="UnitPro-Light"/>
          <w:b/>
          <w:sz w:val="20"/>
          <w:szCs w:val="20"/>
        </w:rPr>
        <w:t>r.</w:t>
      </w:r>
      <w:r>
        <w:rPr>
          <w:rFonts w:ascii="UnitPro-Light" w:hAnsi="UnitPro-Light" w:cs="UnitPro-Light"/>
          <w:b/>
          <w:sz w:val="20"/>
          <w:szCs w:val="20"/>
        </w:rPr>
        <w:t xml:space="preserve"> </w:t>
      </w:r>
      <w:r w:rsidRPr="00305EE4">
        <w:rPr>
          <w:rFonts w:ascii="UnitPro-Light" w:hAnsi="UnitPro-Light" w:cs="UnitPro-Light"/>
          <w:b/>
          <w:sz w:val="20"/>
          <w:szCs w:val="20"/>
        </w:rPr>
        <w:t>o.</w:t>
      </w:r>
    </w:p>
    <w:p w14:paraId="17C568D8" w14:textId="1F0F2173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 xml:space="preserve">zastoupený: Mgr. Michalem </w:t>
      </w:r>
      <w:proofErr w:type="spellStart"/>
      <w:r w:rsidRPr="00305EE4">
        <w:rPr>
          <w:rFonts w:ascii="UnitPro-Light" w:hAnsi="UnitPro-Light" w:cs="UnitPro-Light"/>
          <w:sz w:val="20"/>
          <w:szCs w:val="20"/>
        </w:rPr>
        <w:t>Křivohlávkem</w:t>
      </w:r>
      <w:proofErr w:type="spellEnd"/>
      <w:r w:rsidR="0016511D">
        <w:rPr>
          <w:rFonts w:ascii="UnitPro-Light" w:hAnsi="UnitPro-Light" w:cs="UnitPro-Light"/>
          <w:sz w:val="20"/>
          <w:szCs w:val="20"/>
        </w:rPr>
        <w:t>,</w:t>
      </w:r>
      <w:r w:rsidRPr="00305EE4">
        <w:rPr>
          <w:rFonts w:ascii="UnitPro-Light" w:hAnsi="UnitPro-Light" w:cs="UnitPro-Light"/>
          <w:sz w:val="20"/>
          <w:szCs w:val="20"/>
        </w:rPr>
        <w:t xml:space="preserve"> Ph.D., jednatelem</w:t>
      </w:r>
    </w:p>
    <w:p w14:paraId="0B53D2C1" w14:textId="77777777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>sídlo: Letohradská 711/10, Holešovice, 170 00 Praha 7</w:t>
      </w:r>
    </w:p>
    <w:p w14:paraId="29C8F701" w14:textId="77777777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>zapsaný: v obchodním rejstříku vedeném Městským soudem v Praze, oddíl C, vložka 308256</w:t>
      </w:r>
    </w:p>
    <w:p w14:paraId="1DB8A061" w14:textId="77777777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 xml:space="preserve">IČO: 07919719  </w:t>
      </w:r>
    </w:p>
    <w:p w14:paraId="4EED79DC" w14:textId="7C913D4E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 xml:space="preserve">bankovní spojení:  </w:t>
      </w:r>
      <w:r w:rsidR="00F66289">
        <w:rPr>
          <w:rFonts w:ascii="UnitPro-Light" w:hAnsi="UnitPro-Light" w:cs="UnitPro-Light"/>
          <w:sz w:val="20"/>
          <w:szCs w:val="20"/>
        </w:rPr>
        <w:t>xxxxx</w:t>
      </w:r>
      <w:bookmarkStart w:id="0" w:name="_GoBack"/>
      <w:bookmarkEnd w:id="0"/>
    </w:p>
    <w:p w14:paraId="2F1C9445" w14:textId="77777777" w:rsidR="00F66289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F66289">
        <w:rPr>
          <w:rFonts w:ascii="UnitPro-Light" w:hAnsi="UnitPro-Light" w:cs="UnitPro-Light"/>
          <w:sz w:val="20"/>
          <w:szCs w:val="20"/>
        </w:rPr>
        <w:t>xxxxx</w:t>
      </w:r>
      <w:proofErr w:type="spellEnd"/>
      <w:r w:rsidR="00F66289" w:rsidRPr="00305EE4">
        <w:rPr>
          <w:rFonts w:ascii="UnitPro-Light" w:hAnsi="UnitPro-Light" w:cs="UnitPro-Light"/>
          <w:sz w:val="20"/>
          <w:szCs w:val="20"/>
        </w:rPr>
        <w:t xml:space="preserve"> </w:t>
      </w:r>
    </w:p>
    <w:p w14:paraId="5C2D5B06" w14:textId="7670EDDC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>dodavatel není plátcem DPH</w:t>
      </w:r>
    </w:p>
    <w:p w14:paraId="5309E20D" w14:textId="77777777" w:rsidR="00305EE4" w:rsidRPr="00305EE4" w:rsidRDefault="00305EE4" w:rsidP="00305EE4">
      <w:pPr>
        <w:spacing w:after="0"/>
        <w:rPr>
          <w:rFonts w:ascii="UnitPro-Light" w:hAnsi="UnitPro-Light" w:cs="UnitPro-Light"/>
          <w:sz w:val="20"/>
          <w:szCs w:val="20"/>
        </w:rPr>
      </w:pPr>
      <w:r w:rsidRPr="00305EE4">
        <w:rPr>
          <w:rFonts w:ascii="UnitPro-Light" w:hAnsi="UnitPro-Light" w:cs="UnitPro-Light"/>
          <w:sz w:val="20"/>
          <w:szCs w:val="20"/>
        </w:rPr>
        <w:t>(dále jen „dodavatel“)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B1002FD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305EE4">
        <w:rPr>
          <w:rFonts w:ascii="UnitPro-Light" w:hAnsi="UnitPro-Light" w:cs="UnitPro-Light"/>
          <w:sz w:val="20"/>
          <w:szCs w:val="20"/>
        </w:rPr>
        <w:t>dodavat</w:t>
      </w:r>
      <w:r w:rsidR="001770A6" w:rsidRPr="003B1E01">
        <w:rPr>
          <w:rFonts w:ascii="UnitPro-Light" w:hAnsi="UnitPro-Light" w:cs="UnitPro-Light"/>
          <w:sz w:val="20"/>
          <w:szCs w:val="20"/>
        </w:rPr>
        <w:t>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51E5FFBD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Pr="00A850D7">
        <w:rPr>
          <w:rFonts w:ascii="UnitPro-Light" w:hAnsi="UnitPro-Light" w:cs="UnitPro-Light"/>
          <w:b/>
          <w:sz w:val="20"/>
          <w:szCs w:val="20"/>
        </w:rPr>
        <w:t>1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ke </w:t>
      </w:r>
      <w:r w:rsidR="006759AB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>č. ZAK</w:t>
      </w:r>
      <w:r w:rsidR="00305EE4" w:rsidRPr="00A850D7">
        <w:rPr>
          <w:rFonts w:ascii="UnitPro-Light" w:hAnsi="UnitPro-Light" w:cs="UnitPro-Light"/>
          <w:b/>
          <w:sz w:val="20"/>
          <w:szCs w:val="20"/>
        </w:rPr>
        <w:t xml:space="preserve"> 18-0020/3.2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305EE4">
        <w:rPr>
          <w:rFonts w:ascii="UnitPro-Light" w:hAnsi="UnitPro-Light" w:cs="UnitPro-Light"/>
          <w:b/>
          <w:sz w:val="20"/>
          <w:szCs w:val="20"/>
        </w:rPr>
        <w:t>12. 3. 2019</w:t>
      </w:r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28D20901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r w:rsidR="00305EE4">
        <w:rPr>
          <w:rFonts w:ascii="UnitPro-Light" w:hAnsi="UnitPro-Light" w:cs="UnitPro-Light"/>
          <w:sz w:val="20"/>
          <w:szCs w:val="20"/>
        </w:rPr>
        <w:t>12. 3. 2019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305EE4">
        <w:rPr>
          <w:rFonts w:ascii="UnitPro-Light" w:hAnsi="UnitPro-Light" w:cs="UnitPro-Light"/>
          <w:sz w:val="20"/>
          <w:szCs w:val="20"/>
        </w:rPr>
        <w:t>rámcovou dohodu</w:t>
      </w:r>
      <w:r w:rsidR="00013D23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 xml:space="preserve">ZAK </w:t>
      </w:r>
      <w:r w:rsidR="00305EE4">
        <w:rPr>
          <w:rFonts w:ascii="UnitPro-Light" w:hAnsi="UnitPro-Light" w:cs="UnitPro-Light"/>
          <w:sz w:val="20"/>
          <w:szCs w:val="20"/>
        </w:rPr>
        <w:t xml:space="preserve">18-0020/3.2 </w:t>
      </w:r>
      <w:r w:rsidRPr="003B1E01">
        <w:rPr>
          <w:rFonts w:ascii="UnitPro-Light" w:hAnsi="UnitPro-Light" w:cs="UnitPro-Light"/>
          <w:sz w:val="20"/>
          <w:szCs w:val="20"/>
        </w:rPr>
        <w:t>„</w:t>
      </w:r>
      <w:r w:rsidR="00305EE4" w:rsidRPr="00A850D7">
        <w:rPr>
          <w:rFonts w:ascii="UnitPro-Light" w:hAnsi="UnitPro-Light" w:cs="UnitPro-Light"/>
          <w:sz w:val="20"/>
          <w:szCs w:val="20"/>
        </w:rPr>
        <w:t xml:space="preserve">Poskytnutí participačních služeb </w:t>
      </w:r>
      <w:r w:rsidR="005438E9">
        <w:rPr>
          <w:rFonts w:ascii="UnitPro-Light" w:hAnsi="UnitPro-Light" w:cs="UnitPro-Light"/>
          <w:sz w:val="20"/>
          <w:szCs w:val="20"/>
        </w:rPr>
        <w:br/>
      </w:r>
      <w:r w:rsidR="00305EE4" w:rsidRPr="00A850D7">
        <w:rPr>
          <w:rFonts w:ascii="UnitPro-Light" w:hAnsi="UnitPro-Light" w:cs="UnitPro-Light"/>
          <w:sz w:val="20"/>
          <w:szCs w:val="20"/>
        </w:rPr>
        <w:t>k přípravě územní studie sídliště Kamýk a okolí budoucí stanice metra D Libuš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4B1E0A57" w:rsidR="00156451" w:rsidRPr="003B1E01" w:rsidRDefault="004A30FA" w:rsidP="00907068">
      <w:pPr>
        <w:pStyle w:val="Odstavecseseznamem"/>
        <w:spacing w:after="120"/>
        <w:ind w:left="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Smluvní st</w:t>
      </w:r>
      <w:r w:rsidRPr="00A850D7">
        <w:rPr>
          <w:rFonts w:ascii="UnitPro-Light" w:hAnsi="UnitPro-Light" w:cs="UnitPro-Light"/>
          <w:sz w:val="20"/>
          <w:szCs w:val="20"/>
        </w:rPr>
        <w:t xml:space="preserve">rany se dohodly, že </w:t>
      </w:r>
      <w:r w:rsidR="00AE5C87" w:rsidRPr="00A850D7">
        <w:rPr>
          <w:rFonts w:ascii="UnitPro-Light" w:hAnsi="UnitPro-Light" w:cs="UnitPro-Light"/>
          <w:sz w:val="20"/>
          <w:szCs w:val="20"/>
        </w:rPr>
        <w:t>č</w:t>
      </w:r>
      <w:r w:rsidRPr="00A850D7">
        <w:rPr>
          <w:rFonts w:ascii="UnitPro-Light" w:hAnsi="UnitPro-Light" w:cs="UnitPro-Light"/>
          <w:sz w:val="20"/>
          <w:szCs w:val="20"/>
        </w:rPr>
        <w:t xml:space="preserve">l. </w:t>
      </w:r>
      <w:r w:rsidR="006759AB" w:rsidRPr="00A850D7">
        <w:rPr>
          <w:rFonts w:ascii="UnitPro-Light" w:hAnsi="UnitPro-Light" w:cs="UnitPro-Light"/>
          <w:sz w:val="20"/>
          <w:szCs w:val="20"/>
        </w:rPr>
        <w:t>I</w:t>
      </w:r>
      <w:r w:rsidR="00A850D7" w:rsidRPr="00A850D7">
        <w:rPr>
          <w:rFonts w:ascii="UnitPro-Light" w:hAnsi="UnitPro-Light" w:cs="UnitPro-Light"/>
          <w:sz w:val="20"/>
          <w:szCs w:val="20"/>
        </w:rPr>
        <w:t>I.</w:t>
      </w:r>
      <w:r w:rsidR="0055783B" w:rsidRPr="003B1E01">
        <w:rPr>
          <w:rFonts w:ascii="UnitPro-Light" w:hAnsi="UnitPro-Light" w:cs="UnitPro-Light"/>
          <w:sz w:val="20"/>
          <w:szCs w:val="20"/>
        </w:rPr>
        <w:t xml:space="preserve"> odst. </w:t>
      </w:r>
      <w:r w:rsidR="00A850D7" w:rsidRPr="00A850D7">
        <w:rPr>
          <w:rFonts w:ascii="UnitPro-Light" w:hAnsi="UnitPro-Light" w:cs="UnitPro-Light"/>
          <w:sz w:val="20"/>
          <w:szCs w:val="20"/>
        </w:rPr>
        <w:t>2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3B1E01">
        <w:rPr>
          <w:rFonts w:ascii="UnitPro-Light" w:hAnsi="UnitPro-Light" w:cs="UnitPro-Light"/>
          <w:sz w:val="20"/>
          <w:szCs w:val="20"/>
        </w:rPr>
        <w:t>s</w:t>
      </w:r>
      <w:r w:rsidR="00071C22" w:rsidRPr="003B1E01">
        <w:rPr>
          <w:rFonts w:ascii="UnitPro-Light" w:hAnsi="UnitPro-Light" w:cs="UnitPro-Light"/>
          <w:sz w:val="20"/>
          <w:szCs w:val="20"/>
        </w:rPr>
        <w:t>e s</w:t>
      </w:r>
      <w:r w:rsidR="00D00F18" w:rsidRPr="003B1E0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3B1E01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0412CE8F" w14:textId="77777777" w:rsidR="00A850D7" w:rsidRPr="00644F6E" w:rsidRDefault="008409D5" w:rsidP="00907068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A850D7">
        <w:rPr>
          <w:rFonts w:ascii="UnitPro-Light" w:hAnsi="UnitPro-Light" w:cs="UnitPro-Light"/>
          <w:sz w:val="20"/>
          <w:szCs w:val="20"/>
        </w:rPr>
        <w:t>„</w:t>
      </w:r>
      <w:r w:rsidR="00A850D7" w:rsidRPr="00A850D7">
        <w:rPr>
          <w:rFonts w:ascii="UnitPro-Light" w:hAnsi="UnitPro-Light" w:cs="UnitPro-Light"/>
          <w:sz w:val="20"/>
          <w:szCs w:val="20"/>
        </w:rPr>
        <w:t>Celková cena za p</w:t>
      </w:r>
      <w:r w:rsidR="00A850D7" w:rsidRPr="00644F6E">
        <w:rPr>
          <w:rFonts w:ascii="UnitPro-Light" w:hAnsi="UnitPro-Light" w:cs="UnitPro-Light"/>
          <w:sz w:val="20"/>
          <w:szCs w:val="20"/>
        </w:rPr>
        <w:t>lnění předmětu smlouvy činí maximálně:</w:t>
      </w:r>
    </w:p>
    <w:p w14:paraId="608AF3F0" w14:textId="2EC6EE41" w:rsidR="00A850D7" w:rsidRPr="00644F6E" w:rsidRDefault="00A850D7" w:rsidP="00644F6E">
      <w:pPr>
        <w:numPr>
          <w:ilvl w:val="0"/>
          <w:numId w:val="13"/>
        </w:numPr>
        <w:spacing w:after="120"/>
        <w:ind w:left="567" w:hanging="425"/>
        <w:jc w:val="both"/>
        <w:rPr>
          <w:rFonts w:ascii="UnitPro-Light" w:hAnsi="UnitPro-Light" w:cs="UnitPro-Light"/>
          <w:sz w:val="20"/>
          <w:szCs w:val="20"/>
        </w:rPr>
      </w:pPr>
      <w:r w:rsidRPr="00644F6E">
        <w:rPr>
          <w:rFonts w:ascii="UnitPro-Light" w:hAnsi="UnitPro-Light" w:cs="UnitPro-Light"/>
          <w:b/>
          <w:sz w:val="20"/>
          <w:szCs w:val="20"/>
        </w:rPr>
        <w:t>1</w:t>
      </w:r>
      <w:r w:rsidR="00644F6E" w:rsidRPr="00644F6E">
        <w:rPr>
          <w:rFonts w:ascii="UnitPro-Light" w:hAnsi="UnitPro-Light" w:cs="UnitPro-Light"/>
          <w:b/>
          <w:sz w:val="20"/>
          <w:szCs w:val="20"/>
        </w:rPr>
        <w:t>73</w:t>
      </w:r>
      <w:r w:rsidRPr="00644F6E">
        <w:rPr>
          <w:rFonts w:ascii="UnitPro-Light" w:hAnsi="UnitPro-Light" w:cs="UnitPro-Light"/>
          <w:b/>
          <w:sz w:val="20"/>
          <w:szCs w:val="20"/>
        </w:rPr>
        <w:t>.</w:t>
      </w:r>
      <w:r w:rsidR="00644F6E" w:rsidRPr="00644F6E">
        <w:rPr>
          <w:rFonts w:ascii="UnitPro-Light" w:hAnsi="UnitPro-Light" w:cs="UnitPro-Light"/>
          <w:b/>
          <w:sz w:val="20"/>
          <w:szCs w:val="20"/>
        </w:rPr>
        <w:t>38</w:t>
      </w:r>
      <w:r w:rsidRPr="00644F6E">
        <w:rPr>
          <w:rFonts w:ascii="UnitPro-Light" w:hAnsi="UnitPro-Light" w:cs="UnitPro-Light"/>
          <w:b/>
          <w:sz w:val="20"/>
          <w:szCs w:val="20"/>
        </w:rPr>
        <w:t>0,- Kč</w:t>
      </w:r>
      <w:r w:rsidRPr="00644F6E">
        <w:rPr>
          <w:rFonts w:ascii="UnitPro-Light" w:hAnsi="UnitPro-Light" w:cs="UnitPro-Light"/>
          <w:sz w:val="20"/>
          <w:szCs w:val="20"/>
        </w:rPr>
        <w:t xml:space="preserve"> (slovy: </w:t>
      </w:r>
      <w:proofErr w:type="spellStart"/>
      <w:r w:rsidRPr="00644F6E">
        <w:rPr>
          <w:rFonts w:ascii="UnitPro-Light" w:hAnsi="UnitPro-Light" w:cs="UnitPro-Light"/>
          <w:sz w:val="20"/>
          <w:szCs w:val="20"/>
        </w:rPr>
        <w:t>jednosto</w:t>
      </w:r>
      <w:r w:rsidR="00644F6E" w:rsidRPr="00644F6E">
        <w:rPr>
          <w:rFonts w:ascii="UnitPro-Light" w:hAnsi="UnitPro-Light" w:cs="UnitPro-Light"/>
          <w:sz w:val="20"/>
          <w:szCs w:val="20"/>
        </w:rPr>
        <w:t>sedmdesáttřitisícetřistaosmdesát</w:t>
      </w:r>
      <w:proofErr w:type="spellEnd"/>
      <w:r w:rsidRPr="00644F6E">
        <w:rPr>
          <w:rFonts w:ascii="UnitPro-Light" w:hAnsi="UnitPro-Light" w:cs="UnitPro-Light"/>
          <w:sz w:val="20"/>
          <w:szCs w:val="20"/>
        </w:rPr>
        <w:t xml:space="preserve"> korun českých).</w:t>
      </w:r>
    </w:p>
    <w:p w14:paraId="20AEF57A" w14:textId="77777777" w:rsidR="00644F6E" w:rsidRDefault="00A850D7" w:rsidP="00644F6E">
      <w:pPr>
        <w:spacing w:after="120"/>
        <w:ind w:left="142"/>
        <w:jc w:val="both"/>
        <w:rPr>
          <w:rFonts w:ascii="UnitPro-Light" w:hAnsi="UnitPro-Light" w:cs="UnitPro-Light"/>
          <w:sz w:val="20"/>
          <w:szCs w:val="20"/>
        </w:rPr>
      </w:pPr>
      <w:r w:rsidRPr="00644F6E">
        <w:rPr>
          <w:rFonts w:ascii="UnitPro-Light" w:hAnsi="UnitPro-Light" w:cs="UnitPro-Light"/>
          <w:sz w:val="20"/>
          <w:szCs w:val="20"/>
        </w:rPr>
        <w:t>Objednatel není povinen vyčerpat celou č</w:t>
      </w:r>
      <w:r w:rsidRPr="00A850D7">
        <w:rPr>
          <w:rFonts w:ascii="UnitPro-Light" w:hAnsi="UnitPro-Light" w:cs="UnitPro-Light"/>
          <w:sz w:val="20"/>
          <w:szCs w:val="20"/>
        </w:rPr>
        <w:t>ástku.</w:t>
      </w:r>
    </w:p>
    <w:p w14:paraId="3D171DFB" w14:textId="5274501D" w:rsidR="00644F6E" w:rsidRDefault="00644F6E" w:rsidP="00644F6E">
      <w:pPr>
        <w:spacing w:after="120"/>
        <w:ind w:left="142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lastRenderedPageBreak/>
        <w:t>Objednatel dále uhradí dodavateli pronájem prostor Kulturního centra Novodvorská, který bude využit pro plnění předmětu smlouvy a to v ceně:</w:t>
      </w:r>
    </w:p>
    <w:p w14:paraId="30CD1761" w14:textId="0F0FD5E6" w:rsidR="001770A6" w:rsidRPr="00644F6E" w:rsidRDefault="00644F6E" w:rsidP="00644F6E">
      <w:pPr>
        <w:pStyle w:val="Odstavecseseznamem"/>
        <w:numPr>
          <w:ilvl w:val="0"/>
          <w:numId w:val="13"/>
        </w:numPr>
        <w:spacing w:after="120"/>
        <w:ind w:hanging="76"/>
        <w:jc w:val="both"/>
        <w:rPr>
          <w:rFonts w:ascii="UnitPro-Light" w:hAnsi="UnitPro-Light" w:cs="UnitPro-Light"/>
          <w:sz w:val="20"/>
          <w:szCs w:val="20"/>
        </w:rPr>
      </w:pPr>
      <w:r w:rsidRPr="00644F6E">
        <w:rPr>
          <w:rFonts w:ascii="UnitPro-Light" w:hAnsi="UnitPro-Light" w:cs="UnitPro-Light"/>
          <w:b/>
          <w:sz w:val="20"/>
          <w:szCs w:val="20"/>
        </w:rPr>
        <w:t>12.000,- Kč</w:t>
      </w:r>
      <w:r>
        <w:rPr>
          <w:rFonts w:ascii="UnitPro-Light" w:hAnsi="UnitPro-Light" w:cs="UnitPro-Light"/>
          <w:sz w:val="20"/>
          <w:szCs w:val="20"/>
        </w:rPr>
        <w:t xml:space="preserve"> </w:t>
      </w:r>
      <w:r w:rsidRPr="00644F6E">
        <w:rPr>
          <w:rFonts w:ascii="UnitPro-Light" w:hAnsi="UnitPro-Light" w:cs="UnitPro-Light"/>
          <w:sz w:val="20"/>
          <w:szCs w:val="20"/>
        </w:rPr>
        <w:t xml:space="preserve">(slovy: </w:t>
      </w:r>
      <w:proofErr w:type="spellStart"/>
      <w:r w:rsidRPr="00644F6E">
        <w:rPr>
          <w:rFonts w:ascii="UnitPro-Light" w:hAnsi="UnitPro-Light" w:cs="UnitPro-Light"/>
          <w:sz w:val="20"/>
          <w:szCs w:val="20"/>
        </w:rPr>
        <w:t>dvanácttisíc</w:t>
      </w:r>
      <w:proofErr w:type="spellEnd"/>
      <w:r w:rsidRPr="00644F6E">
        <w:rPr>
          <w:rFonts w:ascii="UnitPro-Light" w:hAnsi="UnitPro-Light" w:cs="UnitPro-Light"/>
          <w:sz w:val="20"/>
          <w:szCs w:val="20"/>
        </w:rPr>
        <w:t xml:space="preserve"> korun českých) bez DPH, tj. 14.520,- Kč s</w:t>
      </w:r>
      <w:r w:rsidR="0053646D">
        <w:rPr>
          <w:rFonts w:ascii="UnitPro-Light" w:hAnsi="UnitPro-Light" w:cs="UnitPro-Light"/>
          <w:sz w:val="20"/>
          <w:szCs w:val="20"/>
        </w:rPr>
        <w:t> </w:t>
      </w:r>
      <w:r w:rsidRPr="00644F6E">
        <w:rPr>
          <w:rFonts w:ascii="UnitPro-Light" w:hAnsi="UnitPro-Light" w:cs="UnitPro-Light"/>
          <w:sz w:val="20"/>
          <w:szCs w:val="20"/>
        </w:rPr>
        <w:t>DPH</w:t>
      </w:r>
      <w:r w:rsidR="0053646D">
        <w:rPr>
          <w:rFonts w:ascii="UnitPro-Light" w:hAnsi="UnitPro-Light" w:cs="UnitPro-Light"/>
          <w:sz w:val="20"/>
          <w:szCs w:val="20"/>
        </w:rPr>
        <w:t>.</w:t>
      </w:r>
      <w:r w:rsidR="008409D5" w:rsidRPr="00644F6E">
        <w:rPr>
          <w:rFonts w:ascii="UnitPro-Light" w:hAnsi="UnitPro-Light" w:cs="UnitPro-Light"/>
          <w:sz w:val="20"/>
          <w:szCs w:val="20"/>
        </w:rPr>
        <w:t>“</w:t>
      </w:r>
      <w:r w:rsidR="00C2756A" w:rsidRPr="00644F6E">
        <w:rPr>
          <w:rFonts w:ascii="UnitPro-Light" w:hAnsi="UnitPro-Light" w:cs="UnitPro-Light"/>
          <w:sz w:val="20"/>
          <w:szCs w:val="20"/>
        </w:rPr>
        <w:t>.</w:t>
      </w:r>
    </w:p>
    <w:p w14:paraId="3EE4B1F2" w14:textId="77777777" w:rsidR="00907068" w:rsidRPr="00907068" w:rsidRDefault="00907068" w:rsidP="00907068">
      <w:pPr>
        <w:spacing w:after="120"/>
        <w:ind w:left="1134"/>
        <w:jc w:val="both"/>
        <w:rPr>
          <w:rFonts w:ascii="UnitPro-Light" w:hAnsi="UnitPro-Light" w:cs="UnitPro-Light"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1853B466" w:rsidR="00013D23" w:rsidRPr="00907068" w:rsidRDefault="00CB6839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907068">
        <w:rPr>
          <w:rFonts w:ascii="UnitPro-Light" w:hAnsi="UnitPro-Light" w:cs="UnitPro-Light"/>
          <w:sz w:val="20"/>
          <w:szCs w:val="20"/>
        </w:rPr>
        <w:t xml:space="preserve">Smluvní strany výslovně souhlasí s uveřejněním této smlouvy v registru smluv dle zákona č. 340/2015 Sb., </w:t>
      </w:r>
      <w:r w:rsidR="003F1C4C">
        <w:rPr>
          <w:rFonts w:ascii="UnitPro-Light" w:hAnsi="UnitPro-Light" w:cs="UnitPro-Light"/>
          <w:sz w:val="20"/>
          <w:szCs w:val="20"/>
        </w:rPr>
        <w:br/>
      </w:r>
      <w:r w:rsidRPr="00907068">
        <w:rPr>
          <w:rFonts w:ascii="UnitPro-Light" w:hAnsi="UnitPro-Light" w:cs="UnitPro-Light"/>
          <w:sz w:val="20"/>
          <w:szCs w:val="20"/>
        </w:rPr>
        <w:t xml:space="preserve">o zvláštních podmínkách účinnosti některých smluv, uveřejňování těchto smluv a o registru smluv (zákon </w:t>
      </w:r>
      <w:r w:rsidR="003F1C4C">
        <w:rPr>
          <w:rFonts w:ascii="UnitPro-Light" w:hAnsi="UnitPro-Light" w:cs="UnitPro-Light"/>
          <w:sz w:val="20"/>
          <w:szCs w:val="20"/>
        </w:rPr>
        <w:br/>
      </w:r>
      <w:r w:rsidRPr="00907068">
        <w:rPr>
          <w:rFonts w:ascii="UnitPro-Light" w:hAnsi="UnitPro-Light" w:cs="UnitPro-Light"/>
          <w:sz w:val="20"/>
          <w:szCs w:val="20"/>
        </w:rPr>
        <w:t xml:space="preserve">o registru smluv). Objednatel zajistí zveřejnění smlouvy zasláním správci registru smluv nejpozději ve lhůtě </w:t>
      </w:r>
      <w:r w:rsidR="003F1C4C">
        <w:rPr>
          <w:rFonts w:ascii="UnitPro-Light" w:hAnsi="UnitPro-Light" w:cs="UnitPro-Light"/>
          <w:sz w:val="20"/>
          <w:szCs w:val="20"/>
        </w:rPr>
        <w:br/>
      </w:r>
      <w:r w:rsidRPr="00907068">
        <w:rPr>
          <w:rFonts w:ascii="UnitPro-Light" w:hAnsi="UnitPro-Light" w:cs="UnitPro-Light"/>
          <w:sz w:val="20"/>
          <w:szCs w:val="20"/>
        </w:rPr>
        <w:t xml:space="preserve">do 30 dnů od podpisu smlouvy oběma smluvními stranami. Objednatel informuje </w:t>
      </w:r>
      <w:r w:rsidR="00305EE4" w:rsidRPr="00907068">
        <w:rPr>
          <w:rFonts w:ascii="UnitPro-Light" w:hAnsi="UnitPro-Light" w:cs="UnitPro-Light"/>
          <w:sz w:val="20"/>
          <w:szCs w:val="20"/>
        </w:rPr>
        <w:t>dodavat</w:t>
      </w:r>
      <w:r w:rsidRPr="00907068">
        <w:rPr>
          <w:rFonts w:ascii="UnitPro-Light" w:hAnsi="UnitPro-Light" w:cs="UnitPro-Light"/>
          <w:sz w:val="20"/>
          <w:szCs w:val="20"/>
        </w:rPr>
        <w:t xml:space="preserve">ele </w:t>
      </w:r>
      <w:r w:rsidR="005438E9">
        <w:rPr>
          <w:rFonts w:ascii="UnitPro-Light" w:hAnsi="UnitPro-Light" w:cs="UnitPro-Light"/>
          <w:sz w:val="20"/>
          <w:szCs w:val="20"/>
        </w:rPr>
        <w:br/>
      </w:r>
      <w:r w:rsidRPr="00907068">
        <w:rPr>
          <w:rFonts w:ascii="UnitPro-Light" w:hAnsi="UnitPro-Light" w:cs="UnitPro-Light"/>
          <w:sz w:val="20"/>
          <w:szCs w:val="20"/>
        </w:rPr>
        <w:t>o splnění této povinnosti</w:t>
      </w:r>
      <w:r w:rsidR="00013D23" w:rsidRPr="00907068">
        <w:rPr>
          <w:rFonts w:ascii="UnitPro-Light" w:hAnsi="UnitPro-Light" w:cs="UnitPro-Light"/>
          <w:sz w:val="20"/>
          <w:szCs w:val="20"/>
        </w:rPr>
        <w:t>.</w:t>
      </w:r>
    </w:p>
    <w:p w14:paraId="295C86E2" w14:textId="5E3C65D9" w:rsidR="00013D23" w:rsidRPr="00907068" w:rsidRDefault="0055783B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907068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907068">
        <w:rPr>
          <w:rFonts w:ascii="UnitPro-Light" w:hAnsi="UnitPro-Light" w:cs="UnitPro-Light"/>
          <w:sz w:val="20"/>
          <w:szCs w:val="20"/>
        </w:rPr>
        <w:t> tomto dodatku</w:t>
      </w:r>
      <w:r w:rsidR="007B77BE" w:rsidRPr="00907068">
        <w:rPr>
          <w:rFonts w:ascii="UnitPro-Light" w:hAnsi="UnitPro-Light" w:cs="UnitPro-Light"/>
          <w:sz w:val="20"/>
          <w:szCs w:val="20"/>
        </w:rPr>
        <w:t xml:space="preserve"> </w:t>
      </w:r>
      <w:r w:rsidRPr="00907068">
        <w:rPr>
          <w:rFonts w:ascii="UnitPro-Light" w:hAnsi="UnitPro-Light" w:cs="UnitPro-Light"/>
          <w:sz w:val="20"/>
          <w:szCs w:val="20"/>
        </w:rPr>
        <w:t xml:space="preserve">nepovažují za obchodní tajemství </w:t>
      </w:r>
      <w:r w:rsidR="003F1C4C">
        <w:rPr>
          <w:rFonts w:ascii="UnitPro-Light" w:hAnsi="UnitPro-Light" w:cs="UnitPro-Light"/>
          <w:sz w:val="20"/>
          <w:szCs w:val="20"/>
        </w:rPr>
        <w:br/>
      </w:r>
      <w:r w:rsidRPr="00907068">
        <w:rPr>
          <w:rFonts w:ascii="UnitPro-Light" w:hAnsi="UnitPro-Light" w:cs="UnitPro-Light"/>
          <w:sz w:val="20"/>
          <w:szCs w:val="20"/>
        </w:rPr>
        <w:t>ve smyslu ustanovení § 504 občanského zákoníku a udělují svolení k jejich užití a zveřejnění bez stanovení jakýchkoliv dalších podmínek.</w:t>
      </w:r>
    </w:p>
    <w:p w14:paraId="6DC47685" w14:textId="0930D9B9" w:rsidR="00A935CF" w:rsidRPr="00907068" w:rsidRDefault="007B6DBB" w:rsidP="005438E9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907068">
        <w:rPr>
          <w:rFonts w:ascii="UnitPro-Light" w:hAnsi="UnitPro-Light" w:cs="UnitPro-Light"/>
          <w:sz w:val="20"/>
          <w:szCs w:val="20"/>
        </w:rPr>
        <w:t>Dodatek</w:t>
      </w:r>
      <w:r w:rsidR="00C94D31" w:rsidRPr="00907068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907068">
        <w:rPr>
          <w:rFonts w:ascii="UnitPro-Light" w:hAnsi="UnitPro-Light" w:cs="UnitPro-Light"/>
          <w:sz w:val="20"/>
          <w:szCs w:val="20"/>
        </w:rPr>
        <w:t xml:space="preserve"> </w:t>
      </w: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3C3D1BE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305EE4">
        <w:rPr>
          <w:rFonts w:ascii="UnitPro-Light" w:hAnsi="UnitPro-Light" w:cs="UnitPro-Light"/>
          <w:sz w:val="20"/>
          <w:szCs w:val="20"/>
        </w:rPr>
        <w:t>dodavat</w:t>
      </w:r>
      <w:r w:rsidR="001770A6" w:rsidRPr="003B1E01">
        <w:rPr>
          <w:rFonts w:ascii="UnitPro-Light" w:hAnsi="UnitPro-Light" w:cs="UnitPro-Light"/>
          <w:sz w:val="20"/>
          <w:szCs w:val="20"/>
        </w:rPr>
        <w:t>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68B6F18C" w14:textId="2235651F" w:rsidR="00907068" w:rsidRPr="005438E9" w:rsidRDefault="00907068" w:rsidP="005438E9">
      <w:pPr>
        <w:spacing w:after="120"/>
        <w:rPr>
          <w:rFonts w:ascii="UnitPro-Light" w:hAnsi="UnitPro-Light" w:cs="UnitPro-Light"/>
          <w:b/>
          <w:sz w:val="20"/>
          <w:szCs w:val="20"/>
        </w:rPr>
      </w:pPr>
      <w:r w:rsidRPr="005438E9">
        <w:rPr>
          <w:rFonts w:ascii="UnitPro-Light" w:hAnsi="UnitPro-Light" w:cs="UnitPro-Light"/>
          <w:b/>
          <w:sz w:val="20"/>
          <w:szCs w:val="20"/>
        </w:rPr>
        <w:t>Mgr. Adam Švejda</w:t>
      </w:r>
      <w:r w:rsidRPr="005438E9">
        <w:rPr>
          <w:rFonts w:ascii="UnitPro-Light" w:hAnsi="UnitPro-Light" w:cs="UnitPro-Light"/>
          <w:b/>
          <w:sz w:val="20"/>
          <w:szCs w:val="20"/>
        </w:rPr>
        <w:tab/>
      </w:r>
      <w:r w:rsidRPr="005438E9">
        <w:rPr>
          <w:rFonts w:ascii="UnitPro-Light" w:hAnsi="UnitPro-Light" w:cs="UnitPro-Light"/>
          <w:b/>
          <w:sz w:val="20"/>
          <w:szCs w:val="20"/>
        </w:rPr>
        <w:tab/>
        <w:t xml:space="preserve">         </w:t>
      </w:r>
      <w:r w:rsidRPr="005438E9">
        <w:rPr>
          <w:rFonts w:ascii="UnitPro-Light" w:hAnsi="UnitPro-Light" w:cs="UnitPro-Light"/>
          <w:b/>
          <w:sz w:val="20"/>
          <w:szCs w:val="20"/>
        </w:rPr>
        <w:tab/>
      </w:r>
      <w:r w:rsidRPr="005438E9">
        <w:rPr>
          <w:rFonts w:ascii="UnitPro-Light" w:hAnsi="UnitPro-Light" w:cs="UnitPro-Light"/>
          <w:b/>
          <w:sz w:val="20"/>
          <w:szCs w:val="20"/>
        </w:rPr>
        <w:tab/>
      </w:r>
      <w:r w:rsidRPr="005438E9">
        <w:rPr>
          <w:rFonts w:ascii="UnitPro-Light" w:hAnsi="UnitPro-Light" w:cs="UnitPro-Light"/>
          <w:b/>
          <w:sz w:val="20"/>
          <w:szCs w:val="20"/>
        </w:rPr>
        <w:tab/>
      </w:r>
      <w:r w:rsidR="005438E9" w:rsidRPr="005438E9">
        <w:rPr>
          <w:rFonts w:ascii="UnitPro-Light" w:hAnsi="UnitPro-Light" w:cs="UnitPro-Light"/>
          <w:b/>
          <w:sz w:val="20"/>
          <w:szCs w:val="20"/>
        </w:rPr>
        <w:tab/>
      </w:r>
      <w:r w:rsidRPr="005438E9">
        <w:rPr>
          <w:rFonts w:ascii="UnitPro-Light" w:hAnsi="UnitPro-Light" w:cs="UnitPro-Light"/>
          <w:b/>
          <w:sz w:val="20"/>
          <w:szCs w:val="20"/>
        </w:rPr>
        <w:t>Michal Křivohlávek</w:t>
      </w:r>
    </w:p>
    <w:p w14:paraId="4D5D8151" w14:textId="75751C77" w:rsidR="00907068" w:rsidRPr="005438E9" w:rsidRDefault="00907068" w:rsidP="005438E9">
      <w:pPr>
        <w:rPr>
          <w:rFonts w:ascii="UnitPro-Light" w:hAnsi="UnitPro-Light" w:cs="UnitPro-Light"/>
          <w:sz w:val="20"/>
          <w:szCs w:val="20"/>
        </w:rPr>
      </w:pPr>
      <w:r w:rsidRPr="005438E9">
        <w:rPr>
          <w:rFonts w:ascii="UnitPro-Light" w:hAnsi="UnitPro-Light" w:cs="UnitPro-Light"/>
          <w:sz w:val="20"/>
          <w:szCs w:val="20"/>
        </w:rPr>
        <w:t>ředitel Sekce vnějších vztahů</w:t>
      </w:r>
      <w:r w:rsidRPr="005438E9">
        <w:rPr>
          <w:rFonts w:ascii="UnitPro-Light" w:hAnsi="UnitPro-Light" w:cs="UnitPro-Light"/>
          <w:sz w:val="20"/>
          <w:szCs w:val="20"/>
        </w:rPr>
        <w:tab/>
      </w:r>
      <w:r w:rsidRPr="005438E9">
        <w:rPr>
          <w:rFonts w:ascii="UnitPro-Light" w:hAnsi="UnitPro-Light" w:cs="UnitPro-Light"/>
          <w:sz w:val="20"/>
          <w:szCs w:val="20"/>
        </w:rPr>
        <w:tab/>
      </w:r>
      <w:r w:rsidRPr="005438E9">
        <w:rPr>
          <w:rFonts w:ascii="UnitPro-Light" w:hAnsi="UnitPro-Light" w:cs="UnitPro-Light"/>
          <w:sz w:val="20"/>
          <w:szCs w:val="20"/>
        </w:rPr>
        <w:tab/>
      </w:r>
      <w:r w:rsidRPr="005438E9">
        <w:rPr>
          <w:rFonts w:ascii="UnitPro-Light" w:hAnsi="UnitPro-Light" w:cs="UnitPro-Light"/>
          <w:sz w:val="20"/>
          <w:szCs w:val="20"/>
        </w:rPr>
        <w:tab/>
      </w:r>
      <w:r w:rsidR="005438E9">
        <w:rPr>
          <w:rFonts w:ascii="UnitPro-Light" w:hAnsi="UnitPro-Light" w:cs="UnitPro-Light"/>
          <w:sz w:val="20"/>
          <w:szCs w:val="20"/>
        </w:rPr>
        <w:tab/>
      </w:r>
      <w:r w:rsidRPr="005438E9">
        <w:rPr>
          <w:rFonts w:ascii="UnitPro-Light" w:hAnsi="UnitPro-Light" w:cs="UnitPro-Light"/>
          <w:sz w:val="20"/>
          <w:szCs w:val="20"/>
        </w:rPr>
        <w:t>jednatel společnosti AVD s. r. o.</w:t>
      </w:r>
    </w:p>
    <w:p w14:paraId="1736EB20" w14:textId="77777777" w:rsidR="00907068" w:rsidRPr="005438E9" w:rsidRDefault="00907068" w:rsidP="005438E9">
      <w:pPr>
        <w:rPr>
          <w:rFonts w:ascii="UnitPro-Light" w:hAnsi="UnitPro-Light" w:cs="UnitPro-Light"/>
          <w:sz w:val="20"/>
          <w:szCs w:val="20"/>
        </w:rPr>
      </w:pPr>
      <w:r w:rsidRPr="005438E9">
        <w:rPr>
          <w:rFonts w:ascii="UnitPro-Light" w:hAnsi="UnitPro-Light" w:cs="UnitPro-Light"/>
          <w:sz w:val="20"/>
          <w:szCs w:val="20"/>
        </w:rPr>
        <w:t>IPR Praha</w:t>
      </w:r>
    </w:p>
    <w:p w14:paraId="1868CB94" w14:textId="1F53B0EB" w:rsidR="00A935CF" w:rsidRPr="003B1E01" w:rsidRDefault="009A73B5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336848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ECD17B" w14:textId="77777777" w:rsidR="003F1C4C" w:rsidRPr="0053646D" w:rsidRDefault="003F1C4C" w:rsidP="003F1C4C">
        <w:pPr>
          <w:pStyle w:val="Zpat"/>
          <w:jc w:val="right"/>
          <w:rPr>
            <w:rFonts w:ascii="UnitPro-Light" w:hAnsi="UnitPro-Light" w:cs="UnitPro-Light"/>
            <w:sz w:val="20"/>
            <w:szCs w:val="20"/>
          </w:rPr>
        </w:pPr>
        <w:r w:rsidRPr="0053646D">
          <w:rPr>
            <w:rFonts w:ascii="UnitPro-Light" w:hAnsi="UnitPro-Light" w:cs="UnitPro-Light"/>
            <w:sz w:val="20"/>
            <w:szCs w:val="20"/>
          </w:rPr>
          <w:t xml:space="preserve">Stránka </w: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begin"/>
        </w:r>
        <w:r w:rsidRPr="0053646D">
          <w:rPr>
            <w:rFonts w:ascii="UnitPro-Light" w:hAnsi="UnitPro-Light" w:cs="UnitPro-Light"/>
            <w:b/>
            <w:sz w:val="20"/>
            <w:szCs w:val="20"/>
          </w:rPr>
          <w:instrText xml:space="preserve"> PAGE </w:instrTex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separate"/>
        </w:r>
        <w:r w:rsidR="00F66289">
          <w:rPr>
            <w:rFonts w:ascii="UnitPro-Light" w:hAnsi="UnitPro-Light" w:cs="UnitPro-Light"/>
            <w:b/>
            <w:noProof/>
            <w:sz w:val="20"/>
            <w:szCs w:val="20"/>
          </w:rPr>
          <w:t>2</w: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end"/>
        </w:r>
        <w:r w:rsidRPr="0053646D">
          <w:rPr>
            <w:rFonts w:ascii="UnitPro-Light" w:hAnsi="UnitPro-Light" w:cs="UnitPro-Light"/>
            <w:sz w:val="20"/>
            <w:szCs w:val="20"/>
          </w:rPr>
          <w:t xml:space="preserve"> z </w: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begin"/>
        </w:r>
        <w:r w:rsidRPr="0053646D">
          <w:rPr>
            <w:rFonts w:ascii="UnitPro-Light" w:hAnsi="UnitPro-Light" w:cs="UnitPro-Light"/>
            <w:b/>
            <w:sz w:val="20"/>
            <w:szCs w:val="20"/>
          </w:rPr>
          <w:instrText xml:space="preserve"> NUMPAGES \*Arabic </w:instrTex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separate"/>
        </w:r>
        <w:r w:rsidR="00F66289">
          <w:rPr>
            <w:rFonts w:ascii="UnitPro-Light" w:hAnsi="UnitPro-Light" w:cs="UnitPro-Light"/>
            <w:b/>
            <w:noProof/>
            <w:sz w:val="20"/>
            <w:szCs w:val="20"/>
          </w:rPr>
          <w:t>2</w:t>
        </w:r>
        <w:r w:rsidRPr="0053646D">
          <w:rPr>
            <w:rFonts w:ascii="UnitPro-Light" w:hAnsi="UnitPro-Light" w:cs="UnitPro-Light"/>
            <w:b/>
            <w:sz w:val="20"/>
            <w:szCs w:val="20"/>
          </w:rPr>
          <w:fldChar w:fldCharType="end"/>
        </w:r>
      </w:p>
      <w:p w14:paraId="4094CFD1" w14:textId="53F08A09" w:rsidR="00156451" w:rsidRDefault="00F66289">
        <w:pPr>
          <w:pStyle w:val="Zpat"/>
          <w:jc w:val="center"/>
        </w:pP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1A22BB79" w:rsidR="00B971C4" w:rsidRPr="00305EE4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B1E01">
      <w:rPr>
        <w:rFonts w:ascii="UnitPro-Light" w:hAnsi="UnitPro-Light" w:cs="UnitPro-Light"/>
        <w:sz w:val="20"/>
      </w:rPr>
      <w:t xml:space="preserve">č. </w:t>
    </w:r>
    <w:r w:rsidRPr="00305EE4">
      <w:rPr>
        <w:rFonts w:ascii="UnitPro-Light" w:hAnsi="UnitPro-Light" w:cs="UnitPro-Light"/>
        <w:sz w:val="20"/>
      </w:rPr>
      <w:t xml:space="preserve">smlouvy objednatele: </w:t>
    </w:r>
    <w:r w:rsidR="00305EE4" w:rsidRPr="00305EE4">
      <w:rPr>
        <w:rFonts w:ascii="UnitPro-Light" w:hAnsi="UnitPro-Light" w:cs="UnitPro-Light"/>
      </w:rPr>
      <w:t xml:space="preserve">ZAK </w:t>
    </w:r>
    <w:r w:rsidR="00305EE4" w:rsidRPr="00305EE4">
      <w:rPr>
        <w:rFonts w:ascii="UnitPro-Light" w:hAnsi="UnitPro-Light" w:cs="UnitPro-Light"/>
        <w:bCs/>
      </w:rPr>
      <w:t>18-0020/3.2</w:t>
    </w:r>
  </w:p>
  <w:p w14:paraId="0200A13A" w14:textId="51047881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305EE4">
      <w:rPr>
        <w:rFonts w:ascii="UnitPro-Light" w:hAnsi="UnitPro-Light" w:cs="UnitPro-Light"/>
        <w:sz w:val="20"/>
      </w:rPr>
      <w:t xml:space="preserve">č. smlouvy </w:t>
    </w:r>
    <w:r w:rsidR="00305EE4" w:rsidRPr="00305EE4">
      <w:rPr>
        <w:rFonts w:ascii="UnitPro-Light" w:hAnsi="UnitPro-Light" w:cs="UnitPro-Light"/>
        <w:sz w:val="20"/>
      </w:rPr>
      <w:t>dodava</w:t>
    </w:r>
    <w:r w:rsidR="00CE4F42" w:rsidRPr="00305EE4">
      <w:rPr>
        <w:rFonts w:ascii="UnitPro-Light" w:hAnsi="UnitPro-Light" w:cs="UnitPro-Light"/>
        <w:sz w:val="20"/>
      </w:rPr>
      <w:t>t</w:t>
    </w:r>
    <w:r w:rsidRPr="00305EE4">
      <w:rPr>
        <w:rFonts w:ascii="UnitPro-Light" w:hAnsi="UnitPro-Light" w:cs="UnitPro-Light"/>
        <w:sz w:val="20"/>
      </w:rPr>
      <w:t xml:space="preserve">ele: </w:t>
    </w:r>
    <w:r w:rsidR="00305EE4">
      <w:rPr>
        <w:rFonts w:ascii="UnitPro-Light" w:hAnsi="UnitPro-Light" w:cs="UnitPro-Light"/>
        <w:sz w:val="20"/>
      </w:rPr>
      <w:t xml:space="preserve"> 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9BA"/>
    <w:multiLevelType w:val="hybridMultilevel"/>
    <w:tmpl w:val="CCFC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14F51"/>
    <w:multiLevelType w:val="hybridMultilevel"/>
    <w:tmpl w:val="66E831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74ED1"/>
    <w:rsid w:val="000809BD"/>
    <w:rsid w:val="000A5162"/>
    <w:rsid w:val="00156451"/>
    <w:rsid w:val="0016511D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05EE4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3F1C4C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3646D"/>
    <w:rsid w:val="005438E9"/>
    <w:rsid w:val="005571FE"/>
    <w:rsid w:val="0055783B"/>
    <w:rsid w:val="00576F87"/>
    <w:rsid w:val="005839E5"/>
    <w:rsid w:val="005F2BF7"/>
    <w:rsid w:val="005F4F3B"/>
    <w:rsid w:val="00627A32"/>
    <w:rsid w:val="00644F6E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7D665F"/>
    <w:rsid w:val="00835B76"/>
    <w:rsid w:val="008409D5"/>
    <w:rsid w:val="00854BD4"/>
    <w:rsid w:val="00867A1F"/>
    <w:rsid w:val="008952CE"/>
    <w:rsid w:val="009052C7"/>
    <w:rsid w:val="00907068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3A47"/>
    <w:rsid w:val="00A57F4D"/>
    <w:rsid w:val="00A850D7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3C69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66289"/>
    <w:rsid w:val="00F942DD"/>
    <w:rsid w:val="00FD5D2F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B2024-3299-4935-A635-93232265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10</cp:revision>
  <cp:lastPrinted>2019-07-10T07:56:00Z</cp:lastPrinted>
  <dcterms:created xsi:type="dcterms:W3CDTF">2019-07-09T10:14:00Z</dcterms:created>
  <dcterms:modified xsi:type="dcterms:W3CDTF">2019-08-30T12:53:00Z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