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D7B" w:rsidRDefault="00E01BD9" w:rsidP="00656D7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ind w:left="3888" w:hanging="3888"/>
        <w:jc w:val="center"/>
        <w:textAlignment w:val="baseline"/>
        <w:rPr>
          <w:b/>
          <w:sz w:val="28"/>
          <w:szCs w:val="28"/>
        </w:rPr>
      </w:pPr>
      <w:r>
        <w:rPr>
          <w:b/>
          <w:sz w:val="28"/>
          <w:szCs w:val="28"/>
        </w:rPr>
        <w:t>Smlouva o úhradě</w:t>
      </w:r>
      <w:r w:rsidR="00BF65A2">
        <w:rPr>
          <w:b/>
          <w:sz w:val="28"/>
          <w:szCs w:val="28"/>
        </w:rPr>
        <w:t xml:space="preserve"> odebraných</w:t>
      </w:r>
      <w:r>
        <w:rPr>
          <w:b/>
          <w:sz w:val="28"/>
          <w:szCs w:val="28"/>
        </w:rPr>
        <w:t xml:space="preserve"> energi</w:t>
      </w:r>
      <w:r w:rsidR="008702C3">
        <w:rPr>
          <w:b/>
          <w:sz w:val="28"/>
          <w:szCs w:val="28"/>
        </w:rPr>
        <w:t xml:space="preserve">í </w:t>
      </w:r>
    </w:p>
    <w:p w:rsidR="00A91D7F" w:rsidRDefault="00A91D7F" w:rsidP="00656D7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ind w:left="3888" w:hanging="3888"/>
        <w:jc w:val="center"/>
        <w:textAlignment w:val="baseline"/>
        <w:rPr>
          <w:b/>
          <w:sz w:val="28"/>
          <w:szCs w:val="28"/>
        </w:rPr>
      </w:pPr>
      <w:r>
        <w:rPr>
          <w:b/>
          <w:sz w:val="28"/>
          <w:szCs w:val="28"/>
        </w:rPr>
        <w:t>COS 19029</w:t>
      </w:r>
    </w:p>
    <w:p w:rsidR="0020515E" w:rsidRPr="00656D7B" w:rsidRDefault="0020515E" w:rsidP="00656D7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jc w:val="both"/>
        <w:textAlignment w:val="baseline"/>
        <w:rPr>
          <w:sz w:val="20"/>
          <w:szCs w:val="20"/>
        </w:rPr>
      </w:pPr>
    </w:p>
    <w:p w:rsidR="00656D7B" w:rsidRPr="006E076B" w:rsidRDefault="00656D7B" w:rsidP="00656D7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jc w:val="both"/>
        <w:textAlignment w:val="baseline"/>
      </w:pPr>
      <w:r w:rsidRPr="006E076B">
        <w:t xml:space="preserve">kterou </w:t>
      </w:r>
      <w:r w:rsidR="008A0DEB" w:rsidRPr="006E076B">
        <w:t>uzavřely:</w:t>
      </w:r>
    </w:p>
    <w:p w:rsidR="00656D7B" w:rsidRPr="006E076B" w:rsidRDefault="00656D7B" w:rsidP="00656D7B">
      <w:pPr>
        <w:widowControl w:val="0"/>
        <w:overflowPunct w:val="0"/>
        <w:autoSpaceDE w:val="0"/>
        <w:autoSpaceDN w:val="0"/>
        <w:adjustRightInd w:val="0"/>
        <w:ind w:left="144"/>
        <w:textAlignment w:val="baseline"/>
      </w:pPr>
    </w:p>
    <w:p w:rsidR="00656D7B" w:rsidRPr="006E076B" w:rsidRDefault="00656D7B" w:rsidP="00656D7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spacing w:line="360" w:lineRule="auto"/>
        <w:textAlignment w:val="baseline"/>
        <w:rPr>
          <w:b/>
        </w:rPr>
      </w:pPr>
      <w:r w:rsidRPr="006E076B">
        <w:rPr>
          <w:b/>
        </w:rPr>
        <w:t>Střední škola technická, Most</w:t>
      </w:r>
      <w:r w:rsidR="002C7615" w:rsidRPr="006E076B">
        <w:rPr>
          <w:b/>
        </w:rPr>
        <w:t xml:space="preserve">, </w:t>
      </w:r>
      <w:r w:rsidRPr="006E076B">
        <w:rPr>
          <w:b/>
        </w:rPr>
        <w:t>příspěvková organizace</w:t>
      </w:r>
    </w:p>
    <w:p w:rsidR="00656D7B" w:rsidRPr="006E076B" w:rsidRDefault="00656D7B" w:rsidP="00656D7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spacing w:line="360" w:lineRule="auto"/>
        <w:textAlignment w:val="baseline"/>
      </w:pPr>
      <w:r w:rsidRPr="006E076B">
        <w:t>se sídlem Dělnická 21,</w:t>
      </w:r>
      <w:r w:rsidR="00085C35" w:rsidRPr="006E076B">
        <w:t xml:space="preserve"> Velebudice</w:t>
      </w:r>
      <w:r w:rsidR="002662FF" w:rsidRPr="006E076B">
        <w:t>,</w:t>
      </w:r>
      <w:r w:rsidRPr="006E076B">
        <w:t xml:space="preserve"> 434 0</w:t>
      </w:r>
      <w:r w:rsidR="002C7615" w:rsidRPr="006E076B">
        <w:t>1</w:t>
      </w:r>
      <w:r w:rsidRPr="006E076B">
        <w:t xml:space="preserve"> Most </w:t>
      </w:r>
    </w:p>
    <w:p w:rsidR="00656D7B" w:rsidRPr="006E076B" w:rsidRDefault="00656D7B" w:rsidP="00656D7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spacing w:line="360" w:lineRule="auto"/>
        <w:textAlignment w:val="baseline"/>
      </w:pPr>
      <w:r w:rsidRPr="006E076B">
        <w:t xml:space="preserve">zastoupená </w:t>
      </w:r>
      <w:r w:rsidR="00963AA8" w:rsidRPr="006E076B">
        <w:t>PaedDr. Karlem Vokáčem</w:t>
      </w:r>
      <w:r w:rsidRPr="006E076B">
        <w:t>, ředitelem organizace</w:t>
      </w:r>
    </w:p>
    <w:p w:rsidR="0020515E" w:rsidRPr="006E076B" w:rsidRDefault="008A0DEB" w:rsidP="0020515E">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spacing w:line="360" w:lineRule="auto"/>
        <w:textAlignment w:val="baseline"/>
      </w:pPr>
      <w:r w:rsidRPr="006E076B">
        <w:t>Zřizovatel: Ústecký</w:t>
      </w:r>
      <w:r w:rsidR="0020515E" w:rsidRPr="006E076B">
        <w:t xml:space="preserve"> kraj, Krajský úřad Ústeckého kraje, č. </w:t>
      </w:r>
      <w:r w:rsidRPr="006E076B">
        <w:t xml:space="preserve">j. 84/2001 ze dne </w:t>
      </w:r>
      <w:r w:rsidR="0020515E" w:rsidRPr="006E076B">
        <w:t>5.</w:t>
      </w:r>
      <w:r w:rsidRPr="006E076B">
        <w:t xml:space="preserve"> </w:t>
      </w:r>
      <w:r w:rsidR="0020515E" w:rsidRPr="006E076B">
        <w:t>9.</w:t>
      </w:r>
      <w:r w:rsidRPr="006E076B">
        <w:t xml:space="preserve"> </w:t>
      </w:r>
      <w:r w:rsidR="0020515E" w:rsidRPr="006E076B">
        <w:t>2001</w:t>
      </w:r>
    </w:p>
    <w:p w:rsidR="00656D7B" w:rsidRPr="006E076B" w:rsidRDefault="00656D7B" w:rsidP="00656D7B">
      <w:pPr>
        <w:widowControl w:val="0"/>
        <w:tabs>
          <w:tab w:val="left" w:pos="5040"/>
        </w:tabs>
        <w:overflowPunct w:val="0"/>
        <w:autoSpaceDE w:val="0"/>
        <w:autoSpaceDN w:val="0"/>
        <w:adjustRightInd w:val="0"/>
        <w:ind w:left="288" w:hanging="288"/>
        <w:textAlignment w:val="baseline"/>
        <w:rPr>
          <w:b/>
        </w:rPr>
      </w:pPr>
      <w:r w:rsidRPr="006E076B">
        <w:rPr>
          <w:b/>
        </w:rPr>
        <w:t>IČ: 00125423</w:t>
      </w:r>
      <w:r w:rsidRPr="006E076B">
        <w:rPr>
          <w:b/>
        </w:rPr>
        <w:tab/>
        <w:t>bankovní spojení: KB, a.s. Most</w:t>
      </w:r>
    </w:p>
    <w:p w:rsidR="000D5455" w:rsidRPr="006E076B" w:rsidRDefault="00656D7B" w:rsidP="000D5455">
      <w:pPr>
        <w:widowControl w:val="0"/>
        <w:tabs>
          <w:tab w:val="left" w:pos="5040"/>
        </w:tabs>
        <w:overflowPunct w:val="0"/>
        <w:autoSpaceDE w:val="0"/>
        <w:autoSpaceDN w:val="0"/>
        <w:adjustRightInd w:val="0"/>
        <w:ind w:left="288" w:hanging="288"/>
        <w:textAlignment w:val="baseline"/>
        <w:rPr>
          <w:b/>
        </w:rPr>
      </w:pPr>
      <w:r w:rsidRPr="006E076B">
        <w:rPr>
          <w:b/>
        </w:rPr>
        <w:t>DIČ: CZ00125423</w:t>
      </w:r>
      <w:r w:rsidRPr="006E076B">
        <w:rPr>
          <w:b/>
        </w:rPr>
        <w:tab/>
        <w:t xml:space="preserve">číslo účtu: </w:t>
      </w:r>
      <w:r w:rsidR="000D5455" w:rsidRPr="006E076B">
        <w:rPr>
          <w:b/>
        </w:rPr>
        <w:t>30338491/0100</w:t>
      </w:r>
    </w:p>
    <w:p w:rsidR="00656D7B" w:rsidRPr="006E076B" w:rsidRDefault="005C3426" w:rsidP="00656D7B">
      <w:pPr>
        <w:widowControl w:val="0"/>
        <w:tabs>
          <w:tab w:val="left" w:pos="5040"/>
        </w:tabs>
        <w:overflowPunct w:val="0"/>
        <w:autoSpaceDE w:val="0"/>
        <w:autoSpaceDN w:val="0"/>
        <w:adjustRightInd w:val="0"/>
        <w:ind w:left="288" w:hanging="288"/>
        <w:textAlignment w:val="baseline"/>
        <w:rPr>
          <w:b/>
        </w:rPr>
      </w:pPr>
      <w:r w:rsidRPr="006E076B">
        <w:rPr>
          <w:b/>
        </w:rPr>
        <w:t xml:space="preserve"> </w:t>
      </w:r>
    </w:p>
    <w:p w:rsidR="0020515E" w:rsidRPr="006E076B" w:rsidRDefault="00656D7B" w:rsidP="00123CA2">
      <w:pPr>
        <w:widowControl w:val="0"/>
        <w:overflowPunct w:val="0"/>
        <w:autoSpaceDE w:val="0"/>
        <w:autoSpaceDN w:val="0"/>
        <w:adjustRightInd w:val="0"/>
        <w:ind w:left="5040" w:hanging="4896"/>
        <w:jc w:val="center"/>
        <w:textAlignment w:val="baseline"/>
        <w:rPr>
          <w:b/>
        </w:rPr>
      </w:pPr>
      <w:r w:rsidRPr="006E076B">
        <w:rPr>
          <w:b/>
        </w:rPr>
        <w:t>a</w:t>
      </w:r>
    </w:p>
    <w:p w:rsidR="0045509A" w:rsidRPr="006E076B" w:rsidRDefault="0045509A" w:rsidP="0045509A">
      <w:pPr>
        <w:widowControl w:val="0"/>
        <w:overflowPunct w:val="0"/>
        <w:autoSpaceDE w:val="0"/>
        <w:autoSpaceDN w:val="0"/>
        <w:adjustRightInd w:val="0"/>
        <w:ind w:left="5040" w:hanging="4896"/>
        <w:jc w:val="center"/>
        <w:textAlignment w:val="baseline"/>
        <w:rPr>
          <w:b/>
        </w:rPr>
      </w:pPr>
    </w:p>
    <w:p w:rsidR="00AD373B" w:rsidRPr="006E076B" w:rsidRDefault="00AD373B" w:rsidP="00AD373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spacing w:line="360" w:lineRule="auto"/>
        <w:textAlignment w:val="baseline"/>
        <w:rPr>
          <w:b/>
        </w:rPr>
      </w:pPr>
      <w:r w:rsidRPr="006E076B">
        <w:rPr>
          <w:b/>
        </w:rPr>
        <w:t>POSMAYSPOL s.r.o.</w:t>
      </w:r>
    </w:p>
    <w:p w:rsidR="00AD373B" w:rsidRPr="006E076B" w:rsidRDefault="00AD373B" w:rsidP="00AD373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spacing w:line="360" w:lineRule="auto"/>
        <w:textAlignment w:val="baseline"/>
      </w:pPr>
      <w:r w:rsidRPr="006E076B">
        <w:t>se sídlem ČSA 1298, 434 01 Most</w:t>
      </w:r>
    </w:p>
    <w:p w:rsidR="00AD373B" w:rsidRPr="006E076B" w:rsidRDefault="002662FF" w:rsidP="00AD373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spacing w:line="360" w:lineRule="auto"/>
        <w:textAlignment w:val="baseline"/>
        <w:rPr>
          <w:color w:val="000000"/>
          <w:shd w:val="clear" w:color="auto" w:fill="FFFFFF"/>
        </w:rPr>
      </w:pPr>
      <w:r w:rsidRPr="006E076B">
        <w:t>zastoupen</w:t>
      </w:r>
      <w:r w:rsidR="00D9153F">
        <w:t>á</w:t>
      </w:r>
      <w:r w:rsidR="00AD373B" w:rsidRPr="006E076B">
        <w:t xml:space="preserve"> </w:t>
      </w:r>
      <w:proofErr w:type="spellStart"/>
      <w:r w:rsidR="00AD373B" w:rsidRPr="006E076B">
        <w:rPr>
          <w:color w:val="000000"/>
          <w:shd w:val="clear" w:color="auto" w:fill="FFFFFF"/>
        </w:rPr>
        <w:t>Güntherem</w:t>
      </w:r>
      <w:proofErr w:type="spellEnd"/>
      <w:r w:rsidR="00AD373B" w:rsidRPr="006E076B">
        <w:rPr>
          <w:color w:val="000000"/>
          <w:shd w:val="clear" w:color="auto" w:fill="FFFFFF"/>
        </w:rPr>
        <w:t xml:space="preserve"> Mayerem, jednatelem společnosti</w:t>
      </w:r>
    </w:p>
    <w:p w:rsidR="00AD373B" w:rsidRPr="006E076B" w:rsidRDefault="00AD373B" w:rsidP="00AD373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spacing w:line="360" w:lineRule="auto"/>
        <w:textAlignment w:val="baseline"/>
        <w:rPr>
          <w:color w:val="000000"/>
          <w:shd w:val="clear" w:color="auto" w:fill="FFFFFF"/>
        </w:rPr>
      </w:pPr>
      <w:r w:rsidRPr="006E076B">
        <w:rPr>
          <w:color w:val="000000"/>
          <w:shd w:val="clear" w:color="auto" w:fill="FFFFFF"/>
        </w:rPr>
        <w:t>kontakt:</w:t>
      </w:r>
      <w:r w:rsidR="000D5455" w:rsidRPr="006E076B">
        <w:rPr>
          <w:color w:val="000000"/>
          <w:shd w:val="clear" w:color="auto" w:fill="FFFFFF"/>
        </w:rPr>
        <w:t xml:space="preserve"> : +420 602 483 853</w:t>
      </w:r>
      <w:r w:rsidRPr="006E076B">
        <w:rPr>
          <w:color w:val="000000"/>
          <w:shd w:val="clear" w:color="auto" w:fill="FFFFFF"/>
        </w:rPr>
        <w:t xml:space="preserve"> </w:t>
      </w:r>
      <w:r w:rsidR="005C3426" w:rsidRPr="006E076B">
        <w:rPr>
          <w:color w:val="000000"/>
          <w:shd w:val="clear" w:color="auto" w:fill="FFFFFF"/>
        </w:rPr>
        <w:t xml:space="preserve"> </w:t>
      </w:r>
    </w:p>
    <w:p w:rsidR="00AD373B" w:rsidRPr="006E076B" w:rsidRDefault="00AD373B" w:rsidP="00AD373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spacing w:line="360" w:lineRule="auto"/>
        <w:textAlignment w:val="baseline"/>
      </w:pPr>
      <w:r w:rsidRPr="006E076B">
        <w:t>oprávnění k činnosti vydal: Krajský soud v Ústí nad Labem, spisová značka C 21262, zapsáno dne 1. 1. 2005</w:t>
      </w:r>
    </w:p>
    <w:p w:rsidR="00AD373B" w:rsidRPr="006E076B" w:rsidRDefault="00AD373B" w:rsidP="00AD373B">
      <w:pPr>
        <w:widowControl w:val="0"/>
        <w:tabs>
          <w:tab w:val="left" w:pos="5040"/>
        </w:tabs>
        <w:overflowPunct w:val="0"/>
        <w:autoSpaceDE w:val="0"/>
        <w:autoSpaceDN w:val="0"/>
        <w:adjustRightInd w:val="0"/>
        <w:ind w:left="288" w:hanging="288"/>
        <w:textAlignment w:val="baseline"/>
        <w:rPr>
          <w:b/>
        </w:rPr>
      </w:pPr>
      <w:r w:rsidRPr="006E076B">
        <w:rPr>
          <w:b/>
        </w:rPr>
        <w:t>IČ: 27260674</w:t>
      </w:r>
      <w:r w:rsidRPr="006E076B">
        <w:rPr>
          <w:b/>
        </w:rPr>
        <w:tab/>
        <w:t>bankov</w:t>
      </w:r>
      <w:r w:rsidR="009A0327">
        <w:rPr>
          <w:b/>
        </w:rPr>
        <w:t xml:space="preserve">ní spojení: </w:t>
      </w:r>
      <w:r w:rsidR="009A0327" w:rsidRPr="006E076B">
        <w:rPr>
          <w:b/>
        </w:rPr>
        <w:t>KB, a.s. Most</w:t>
      </w:r>
    </w:p>
    <w:p w:rsidR="000D5455" w:rsidRPr="006E076B" w:rsidRDefault="00AD373B" w:rsidP="000D5455">
      <w:pPr>
        <w:widowControl w:val="0"/>
        <w:tabs>
          <w:tab w:val="left" w:pos="5040"/>
        </w:tabs>
        <w:overflowPunct w:val="0"/>
        <w:autoSpaceDE w:val="0"/>
        <w:autoSpaceDN w:val="0"/>
        <w:adjustRightInd w:val="0"/>
        <w:ind w:left="288" w:hanging="288"/>
        <w:textAlignment w:val="baseline"/>
        <w:rPr>
          <w:b/>
        </w:rPr>
      </w:pPr>
      <w:r w:rsidRPr="006E076B">
        <w:rPr>
          <w:b/>
        </w:rPr>
        <w:t>DIČ: CZ27260674</w:t>
      </w:r>
      <w:r w:rsidRPr="006E076B">
        <w:rPr>
          <w:b/>
        </w:rPr>
        <w:tab/>
        <w:t xml:space="preserve">číslo účtu: </w:t>
      </w:r>
      <w:r w:rsidR="000D5455" w:rsidRPr="006E076B">
        <w:rPr>
          <w:b/>
        </w:rPr>
        <w:t>35-9159930227/0100</w:t>
      </w:r>
    </w:p>
    <w:p w:rsidR="00085C35" w:rsidRPr="006E076B" w:rsidRDefault="00085C35" w:rsidP="000D5455">
      <w:pPr>
        <w:widowControl w:val="0"/>
        <w:tabs>
          <w:tab w:val="left" w:pos="5040"/>
        </w:tabs>
        <w:overflowPunct w:val="0"/>
        <w:autoSpaceDE w:val="0"/>
        <w:autoSpaceDN w:val="0"/>
        <w:adjustRightInd w:val="0"/>
        <w:ind w:left="288" w:hanging="288"/>
        <w:textAlignment w:val="baseline"/>
        <w:rPr>
          <w:b/>
        </w:rPr>
      </w:pPr>
    </w:p>
    <w:p w:rsidR="00BF65A2" w:rsidRDefault="00BF65A2" w:rsidP="00BF65A2">
      <w:pPr>
        <w:widowControl w:val="0"/>
        <w:tabs>
          <w:tab w:val="left" w:pos="5040"/>
        </w:tabs>
        <w:overflowPunct w:val="0"/>
        <w:autoSpaceDE w:val="0"/>
        <w:autoSpaceDN w:val="0"/>
        <w:adjustRightInd w:val="0"/>
        <w:textAlignment w:val="baseline"/>
      </w:pPr>
      <w:r>
        <w:t xml:space="preserve">                                                                </w:t>
      </w:r>
    </w:p>
    <w:p w:rsidR="00CE3238" w:rsidRPr="006E076B" w:rsidRDefault="00BF65A2" w:rsidP="00BF65A2">
      <w:pPr>
        <w:widowControl w:val="0"/>
        <w:tabs>
          <w:tab w:val="left" w:pos="5040"/>
        </w:tabs>
        <w:overflowPunct w:val="0"/>
        <w:autoSpaceDE w:val="0"/>
        <w:autoSpaceDN w:val="0"/>
        <w:adjustRightInd w:val="0"/>
        <w:textAlignment w:val="baseline"/>
        <w:rPr>
          <w:b/>
        </w:rPr>
      </w:pPr>
      <w:r>
        <w:t xml:space="preserve">                                                                       </w:t>
      </w:r>
      <w:r w:rsidR="00D67E38" w:rsidRPr="006E076B">
        <w:rPr>
          <w:b/>
        </w:rPr>
        <w:t>I.</w:t>
      </w:r>
    </w:p>
    <w:p w:rsidR="00BF65A2" w:rsidRDefault="00BF65A2" w:rsidP="00D67E38">
      <w:pPr>
        <w:widowControl w:val="0"/>
        <w:overflowPunct w:val="0"/>
        <w:autoSpaceDE w:val="0"/>
        <w:autoSpaceDN w:val="0"/>
        <w:adjustRightInd w:val="0"/>
        <w:jc w:val="both"/>
        <w:textAlignment w:val="baseline"/>
      </w:pPr>
    </w:p>
    <w:p w:rsidR="00D67E38" w:rsidRDefault="00D67E38" w:rsidP="00B233CA">
      <w:pPr>
        <w:pStyle w:val="Odstavecseseznamem"/>
        <w:widowControl w:val="0"/>
        <w:numPr>
          <w:ilvl w:val="0"/>
          <w:numId w:val="2"/>
        </w:numPr>
        <w:overflowPunct w:val="0"/>
        <w:autoSpaceDE w:val="0"/>
        <w:autoSpaceDN w:val="0"/>
        <w:adjustRightInd w:val="0"/>
        <w:jc w:val="both"/>
        <w:textAlignment w:val="baseline"/>
      </w:pPr>
      <w:r w:rsidRPr="006E076B">
        <w:t>Obě smluvní strany se dohodly, že na základě zápisu níže uvedených pozemků do katastru nemovitostí v Ústeckém kraji, okrese Most, v katastrálním území Skyřice, budou náklady za odebranou elektrickou energ</w:t>
      </w:r>
      <w:r w:rsidR="008702C3">
        <w:t>ii, odvod srážkové vody</w:t>
      </w:r>
      <w:r w:rsidR="00D80F3C">
        <w:t>, vodné a stočné</w:t>
      </w:r>
      <w:r w:rsidR="008702C3">
        <w:t xml:space="preserve"> </w:t>
      </w:r>
      <w:r w:rsidRPr="006E076B">
        <w:t>spojené s předmětnými pozemky uplatňovat u majitele pozemků</w:t>
      </w:r>
      <w:r w:rsidR="006E076B" w:rsidRPr="006E076B">
        <w:t>, společnosti POSMAYSPOL</w:t>
      </w:r>
      <w:r w:rsidR="009F76CA" w:rsidRPr="006E076B">
        <w:t xml:space="preserve"> s.r.o.,</w:t>
      </w:r>
      <w:r w:rsidR="00B233CA">
        <w:t xml:space="preserve"> </w:t>
      </w:r>
      <w:r w:rsidR="00D9153F">
        <w:t>ČSA</w:t>
      </w:r>
      <w:r w:rsidR="009F76CA" w:rsidRPr="006E076B">
        <w:t xml:space="preserve"> 1298, 434 01 Most.</w:t>
      </w:r>
    </w:p>
    <w:p w:rsidR="00B233CA" w:rsidRDefault="00B233CA" w:rsidP="00D67E38">
      <w:pPr>
        <w:widowControl w:val="0"/>
        <w:overflowPunct w:val="0"/>
        <w:autoSpaceDE w:val="0"/>
        <w:autoSpaceDN w:val="0"/>
        <w:adjustRightInd w:val="0"/>
        <w:jc w:val="both"/>
        <w:textAlignment w:val="baseline"/>
      </w:pPr>
    </w:p>
    <w:p w:rsidR="00B233CA" w:rsidRPr="00B233CA" w:rsidRDefault="00B233CA" w:rsidP="00B233CA">
      <w:pPr>
        <w:pStyle w:val="Odstavecseseznamem"/>
        <w:widowControl w:val="0"/>
        <w:tabs>
          <w:tab w:val="left" w:pos="284"/>
          <w:tab w:val="left" w:pos="1843"/>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textAlignment w:val="baseline"/>
        <w:rPr>
          <w:vertAlign w:val="superscript"/>
        </w:rPr>
      </w:pPr>
      <w:r w:rsidRPr="006E076B">
        <w:t>St. 157 – zastavěná plocha a nádvoří          2005m</w:t>
      </w:r>
      <w:r w:rsidRPr="00B233CA">
        <w:rPr>
          <w:vertAlign w:val="superscript"/>
        </w:rPr>
        <w:t>2</w:t>
      </w:r>
    </w:p>
    <w:p w:rsidR="00B233CA" w:rsidRPr="00B233CA" w:rsidRDefault="00B233CA" w:rsidP="00B233CA">
      <w:pPr>
        <w:pStyle w:val="Odstavecseseznamem"/>
        <w:widowControl w:val="0"/>
        <w:tabs>
          <w:tab w:val="left" w:pos="284"/>
          <w:tab w:val="left" w:pos="1843"/>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textAlignment w:val="baseline"/>
        <w:rPr>
          <w:vertAlign w:val="superscript"/>
        </w:rPr>
      </w:pPr>
      <w:r w:rsidRPr="006E076B">
        <w:t>St. 158 – zastavěná plocha a nádvoří               85m</w:t>
      </w:r>
      <w:r w:rsidRPr="00B233CA">
        <w:rPr>
          <w:vertAlign w:val="superscript"/>
        </w:rPr>
        <w:t>2</w:t>
      </w:r>
    </w:p>
    <w:p w:rsidR="00B233CA" w:rsidRPr="00B233CA" w:rsidRDefault="00B233CA" w:rsidP="00B233CA">
      <w:pPr>
        <w:pStyle w:val="Odstavecseseznamem"/>
        <w:widowControl w:val="0"/>
        <w:tabs>
          <w:tab w:val="left" w:pos="284"/>
          <w:tab w:val="left" w:pos="1843"/>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textAlignment w:val="baseline"/>
        <w:rPr>
          <w:vertAlign w:val="superscript"/>
        </w:rPr>
      </w:pPr>
      <w:r w:rsidRPr="006E076B">
        <w:t>St. 159 – zastavěná plocha a nádvoří           1140m</w:t>
      </w:r>
      <w:r w:rsidRPr="00B233CA">
        <w:rPr>
          <w:vertAlign w:val="superscript"/>
        </w:rPr>
        <w:t>2</w:t>
      </w:r>
    </w:p>
    <w:p w:rsidR="00B233CA" w:rsidRPr="00B233CA" w:rsidRDefault="00B233CA" w:rsidP="00B233CA">
      <w:pPr>
        <w:pStyle w:val="Odstavecseseznamem"/>
        <w:widowControl w:val="0"/>
        <w:tabs>
          <w:tab w:val="left" w:pos="284"/>
          <w:tab w:val="left" w:pos="1843"/>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textAlignment w:val="baseline"/>
        <w:rPr>
          <w:vertAlign w:val="superscript"/>
        </w:rPr>
      </w:pPr>
      <w:r w:rsidRPr="006E076B">
        <w:t>St. 161 – zastavěná plocha a nádvoří               37m</w:t>
      </w:r>
      <w:r w:rsidRPr="00B233CA">
        <w:rPr>
          <w:vertAlign w:val="superscript"/>
        </w:rPr>
        <w:t>2</w:t>
      </w:r>
    </w:p>
    <w:p w:rsidR="00B233CA" w:rsidRPr="00B233CA" w:rsidRDefault="00B233CA" w:rsidP="00B233CA">
      <w:pPr>
        <w:pStyle w:val="Odstavecseseznamem"/>
        <w:widowControl w:val="0"/>
        <w:tabs>
          <w:tab w:val="left" w:pos="284"/>
          <w:tab w:val="left" w:pos="1843"/>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textAlignment w:val="baseline"/>
        <w:rPr>
          <w:vertAlign w:val="superscript"/>
        </w:rPr>
      </w:pPr>
      <w:r w:rsidRPr="006E076B">
        <w:t>395/15 – ostatní plocha                                 8062m</w:t>
      </w:r>
      <w:r w:rsidRPr="00B233CA">
        <w:rPr>
          <w:vertAlign w:val="superscript"/>
        </w:rPr>
        <w:t>2</w:t>
      </w:r>
    </w:p>
    <w:p w:rsidR="00B233CA" w:rsidRPr="00B233CA" w:rsidRDefault="00B233CA" w:rsidP="00B233CA">
      <w:pPr>
        <w:pStyle w:val="Odstavecseseznamem"/>
        <w:widowControl w:val="0"/>
        <w:tabs>
          <w:tab w:val="left" w:pos="284"/>
          <w:tab w:val="left" w:pos="1843"/>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textAlignment w:val="baseline"/>
        <w:rPr>
          <w:vertAlign w:val="superscript"/>
        </w:rPr>
      </w:pPr>
      <w:r w:rsidRPr="006E076B">
        <w:t>395/16 – ostatní plocha                                 1447m</w:t>
      </w:r>
      <w:r w:rsidRPr="00B233CA">
        <w:rPr>
          <w:vertAlign w:val="superscript"/>
        </w:rPr>
        <w:t>2</w:t>
      </w:r>
    </w:p>
    <w:p w:rsidR="00B233CA" w:rsidRPr="00B233CA" w:rsidRDefault="00B233CA" w:rsidP="00B233CA">
      <w:pPr>
        <w:pStyle w:val="Odstavecseseznamem"/>
        <w:widowControl w:val="0"/>
        <w:tabs>
          <w:tab w:val="left" w:pos="284"/>
          <w:tab w:val="left" w:pos="1843"/>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textAlignment w:val="baseline"/>
        <w:rPr>
          <w:vertAlign w:val="superscript"/>
        </w:rPr>
      </w:pPr>
      <w:r w:rsidRPr="006E076B">
        <w:t>395/17 – ostatní plocha                                 1229m</w:t>
      </w:r>
      <w:r w:rsidRPr="00B233CA">
        <w:rPr>
          <w:vertAlign w:val="superscript"/>
        </w:rPr>
        <w:t>2</w:t>
      </w:r>
    </w:p>
    <w:p w:rsidR="005D1D5C" w:rsidRPr="006E076B" w:rsidRDefault="005D1D5C" w:rsidP="005D1D5C">
      <w:pPr>
        <w:widowControl w:val="0"/>
        <w:overflowPunct w:val="0"/>
        <w:autoSpaceDE w:val="0"/>
        <w:autoSpaceDN w:val="0"/>
        <w:adjustRightInd w:val="0"/>
        <w:jc w:val="both"/>
        <w:textAlignment w:val="baseline"/>
      </w:pPr>
    </w:p>
    <w:p w:rsidR="006E076B" w:rsidRDefault="006E076B" w:rsidP="00B233CA">
      <w:pPr>
        <w:pStyle w:val="Odstavecseseznamem"/>
        <w:widowControl w:val="0"/>
        <w:numPr>
          <w:ilvl w:val="0"/>
          <w:numId w:val="2"/>
        </w:numPr>
        <w:overflowPunct w:val="0"/>
        <w:autoSpaceDE w:val="0"/>
        <w:autoSpaceDN w:val="0"/>
        <w:adjustRightInd w:val="0"/>
        <w:jc w:val="both"/>
        <w:textAlignment w:val="baseline"/>
      </w:pPr>
      <w:r w:rsidRPr="006E076B">
        <w:t>Dále se společnost POSMAYSPOL s.r.o. zavazuje zaplatit celkovou cenu, která bude zvýšena o DPH podle aktuální právní úpravy (Zákon č. 235/2004 Sb., o dani z přidané hodnoty, § 56a odst. 3).</w:t>
      </w:r>
    </w:p>
    <w:p w:rsidR="009A0327" w:rsidRDefault="009A0327" w:rsidP="006E076B">
      <w:pPr>
        <w:widowControl w:val="0"/>
        <w:overflowPunct w:val="0"/>
        <w:autoSpaceDE w:val="0"/>
        <w:autoSpaceDN w:val="0"/>
        <w:adjustRightInd w:val="0"/>
        <w:jc w:val="both"/>
        <w:textAlignment w:val="baseline"/>
      </w:pPr>
    </w:p>
    <w:p w:rsidR="009A0327" w:rsidRDefault="009A0327" w:rsidP="00B233CA">
      <w:pPr>
        <w:pStyle w:val="Odstavecseseznamem"/>
        <w:widowControl w:val="0"/>
        <w:numPr>
          <w:ilvl w:val="0"/>
          <w:numId w:val="2"/>
        </w:numPr>
        <w:overflowPunct w:val="0"/>
        <w:autoSpaceDE w:val="0"/>
        <w:autoSpaceDN w:val="0"/>
        <w:adjustRightInd w:val="0"/>
        <w:jc w:val="both"/>
        <w:textAlignment w:val="baseline"/>
      </w:pPr>
      <w:r>
        <w:lastRenderedPageBreak/>
        <w:t>Úhrada za energie</w:t>
      </w:r>
      <w:r w:rsidR="00A30435">
        <w:t xml:space="preserve"> (vodné, stočné, odvod srážkové vody a elektrick</w:t>
      </w:r>
      <w:r w:rsidR="00D80F3C">
        <w:t>á</w:t>
      </w:r>
      <w:r w:rsidR="00A30435">
        <w:t xml:space="preserve"> energie)</w:t>
      </w:r>
      <w:r w:rsidR="00816901">
        <w:t>,</w:t>
      </w:r>
      <w:r>
        <w:t xml:space="preserve"> bude probíhat na základě faktur s náležitostmi daňového dokladu vystaveného Střední školou technickou, Most, příspěvkovou organizací</w:t>
      </w:r>
      <w:r w:rsidR="00D80F3C">
        <w:t>,</w:t>
      </w:r>
      <w:r>
        <w:t xml:space="preserve"> s</w:t>
      </w:r>
      <w:bookmarkStart w:id="0" w:name="_GoBack"/>
      <w:bookmarkEnd w:id="0"/>
      <w:r>
        <w:t xml:space="preserve"> platností do 14 dnů ode dne vystavení.</w:t>
      </w:r>
    </w:p>
    <w:p w:rsidR="00B233CA" w:rsidRDefault="00B233CA" w:rsidP="00B233CA">
      <w:pPr>
        <w:pStyle w:val="Odstavecseseznamem"/>
      </w:pPr>
    </w:p>
    <w:p w:rsidR="009A0327" w:rsidRDefault="009A0327" w:rsidP="00B233CA">
      <w:pPr>
        <w:pStyle w:val="Odstavecseseznamem"/>
        <w:widowControl w:val="0"/>
        <w:numPr>
          <w:ilvl w:val="0"/>
          <w:numId w:val="2"/>
        </w:numPr>
        <w:overflowPunct w:val="0"/>
        <w:autoSpaceDE w:val="0"/>
        <w:autoSpaceDN w:val="0"/>
        <w:adjustRightInd w:val="0"/>
        <w:jc w:val="both"/>
        <w:textAlignment w:val="baseline"/>
      </w:pPr>
      <w:r>
        <w:t>Faktury budou zasílány poštou na adresu POSMAYSPOL s.r.o., ČSA 1298, 434 01 Most.</w:t>
      </w:r>
    </w:p>
    <w:p w:rsidR="006E076B" w:rsidRDefault="00BF65A2" w:rsidP="009F76CA">
      <w:pPr>
        <w:widowControl w:val="0"/>
        <w:tabs>
          <w:tab w:val="left" w:pos="284"/>
          <w:tab w:val="left" w:pos="1843"/>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ind w:left="284" w:hanging="284"/>
        <w:textAlignment w:val="baseline"/>
        <w:rPr>
          <w:sz w:val="20"/>
          <w:szCs w:val="20"/>
          <w:vertAlign w:val="superscript"/>
        </w:rPr>
      </w:pPr>
      <w:r>
        <w:rPr>
          <w:sz w:val="20"/>
          <w:szCs w:val="20"/>
          <w:vertAlign w:val="superscript"/>
        </w:rPr>
        <w:t xml:space="preserve">    </w:t>
      </w:r>
    </w:p>
    <w:p w:rsidR="00BF65A2" w:rsidRDefault="00BF65A2" w:rsidP="006E076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jc w:val="center"/>
        <w:textAlignment w:val="baseline"/>
        <w:rPr>
          <w:b/>
          <w:sz w:val="28"/>
          <w:szCs w:val="28"/>
        </w:rPr>
      </w:pPr>
      <w:r>
        <w:rPr>
          <w:b/>
          <w:sz w:val="28"/>
          <w:szCs w:val="28"/>
        </w:rPr>
        <w:t>II.</w:t>
      </w:r>
    </w:p>
    <w:p w:rsidR="00BF65A2" w:rsidRDefault="00BF65A2" w:rsidP="006E076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jc w:val="center"/>
        <w:textAlignment w:val="baseline"/>
        <w:rPr>
          <w:b/>
          <w:sz w:val="28"/>
          <w:szCs w:val="28"/>
        </w:rPr>
      </w:pPr>
      <w:r>
        <w:rPr>
          <w:b/>
          <w:sz w:val="28"/>
          <w:szCs w:val="28"/>
        </w:rPr>
        <w:t>DOBA TRVÁNÍ NÁJMU</w:t>
      </w:r>
    </w:p>
    <w:p w:rsidR="00BF65A2" w:rsidRDefault="00BF65A2" w:rsidP="006E076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jc w:val="center"/>
        <w:textAlignment w:val="baseline"/>
        <w:rPr>
          <w:b/>
          <w:sz w:val="28"/>
          <w:szCs w:val="28"/>
        </w:rPr>
      </w:pPr>
    </w:p>
    <w:p w:rsidR="00BF65A2" w:rsidRPr="00BF65A2" w:rsidRDefault="00BF65A2" w:rsidP="00BF65A2">
      <w:pPr>
        <w:widowControl w:val="0"/>
        <w:tabs>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textAlignment w:val="baseline"/>
      </w:pPr>
      <w:r w:rsidRPr="00BF65A2">
        <w:t>Smlouva se uzavírá</w:t>
      </w:r>
      <w:r w:rsidR="00B233CA">
        <w:t xml:space="preserve"> s účinností</w:t>
      </w:r>
      <w:r w:rsidRPr="00BF65A2">
        <w:t xml:space="preserve"> od 1. 9. 2019 na dobu neurčitou</w:t>
      </w:r>
      <w:r w:rsidR="00B233CA">
        <w:t>.</w:t>
      </w:r>
    </w:p>
    <w:p w:rsidR="00BF65A2" w:rsidRDefault="00BF65A2" w:rsidP="006E076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jc w:val="center"/>
        <w:textAlignment w:val="baseline"/>
        <w:rPr>
          <w:b/>
          <w:sz w:val="28"/>
          <w:szCs w:val="28"/>
        </w:rPr>
      </w:pPr>
    </w:p>
    <w:p w:rsidR="006E076B" w:rsidRPr="002C7615" w:rsidRDefault="006E076B" w:rsidP="006E076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jc w:val="center"/>
        <w:textAlignment w:val="baseline"/>
        <w:rPr>
          <w:b/>
          <w:sz w:val="28"/>
          <w:szCs w:val="28"/>
        </w:rPr>
      </w:pPr>
      <w:r w:rsidRPr="002C7615">
        <w:rPr>
          <w:b/>
          <w:sz w:val="28"/>
          <w:szCs w:val="28"/>
        </w:rPr>
        <w:t>II</w:t>
      </w:r>
      <w:r w:rsidR="00BF65A2">
        <w:rPr>
          <w:b/>
          <w:sz w:val="28"/>
          <w:szCs w:val="28"/>
        </w:rPr>
        <w:t>I</w:t>
      </w:r>
      <w:r w:rsidRPr="002C7615">
        <w:rPr>
          <w:b/>
          <w:sz w:val="28"/>
          <w:szCs w:val="28"/>
        </w:rPr>
        <w:t>.</w:t>
      </w:r>
    </w:p>
    <w:p w:rsidR="006E076B" w:rsidRPr="002C7615" w:rsidRDefault="006E076B" w:rsidP="006E076B">
      <w:pPr>
        <w:widowControl w:val="0"/>
        <w:tabs>
          <w:tab w:val="left" w:pos="1296"/>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jc w:val="center"/>
        <w:textAlignment w:val="baseline"/>
        <w:rPr>
          <w:b/>
          <w:sz w:val="28"/>
          <w:szCs w:val="28"/>
        </w:rPr>
      </w:pPr>
      <w:r w:rsidRPr="002C7615">
        <w:rPr>
          <w:b/>
          <w:sz w:val="28"/>
          <w:szCs w:val="28"/>
        </w:rPr>
        <w:t>ZÁVĚREČNÁ UJEDNÁNÍ</w:t>
      </w:r>
    </w:p>
    <w:p w:rsidR="00D67E38" w:rsidRPr="00D67E38" w:rsidRDefault="00D67E38" w:rsidP="00940F24">
      <w:pPr>
        <w:widowControl w:val="0"/>
        <w:tabs>
          <w:tab w:val="left" w:pos="284"/>
          <w:tab w:val="left" w:pos="1843"/>
          <w:tab w:val="left" w:pos="2736"/>
          <w:tab w:val="left" w:pos="4176"/>
          <w:tab w:val="left" w:pos="5616"/>
          <w:tab w:val="left" w:pos="7056"/>
          <w:tab w:val="left" w:pos="8496"/>
          <w:tab w:val="left" w:pos="9936"/>
          <w:tab w:val="left" w:pos="11376"/>
          <w:tab w:val="left" w:pos="12816"/>
          <w:tab w:val="left" w:pos="14256"/>
          <w:tab w:val="left" w:pos="15696"/>
          <w:tab w:val="left" w:pos="17136"/>
          <w:tab w:val="left" w:pos="18576"/>
        </w:tabs>
        <w:overflowPunct w:val="0"/>
        <w:autoSpaceDE w:val="0"/>
        <w:autoSpaceDN w:val="0"/>
        <w:adjustRightInd w:val="0"/>
        <w:jc w:val="both"/>
        <w:textAlignment w:val="baseline"/>
        <w:rPr>
          <w:sz w:val="20"/>
          <w:szCs w:val="20"/>
          <w:vertAlign w:val="superscript"/>
        </w:rPr>
      </w:pPr>
    </w:p>
    <w:p w:rsidR="006E076B" w:rsidRPr="006E076B" w:rsidRDefault="006E076B" w:rsidP="00B233CA">
      <w:pPr>
        <w:pStyle w:val="Bezmezer"/>
        <w:numPr>
          <w:ilvl w:val="0"/>
          <w:numId w:val="3"/>
        </w:numPr>
        <w:jc w:val="both"/>
        <w:rPr>
          <w:szCs w:val="24"/>
        </w:rPr>
      </w:pPr>
      <w:r w:rsidRPr="006E076B">
        <w:rPr>
          <w:szCs w:val="24"/>
        </w:rPr>
        <w:t>Změny a doplňky této smlouvy vyžadují formu pořadově číslovaného písemného dodatku,</w:t>
      </w:r>
      <w:r w:rsidR="00940F24">
        <w:rPr>
          <w:szCs w:val="24"/>
        </w:rPr>
        <w:t xml:space="preserve"> </w:t>
      </w:r>
      <w:r w:rsidRPr="006E076B">
        <w:rPr>
          <w:szCs w:val="24"/>
        </w:rPr>
        <w:t>podepsaného oběma smluvními stranami.</w:t>
      </w:r>
    </w:p>
    <w:p w:rsidR="00940F24" w:rsidRDefault="00940F24" w:rsidP="006E076B">
      <w:pPr>
        <w:pStyle w:val="Bezmezer"/>
        <w:jc w:val="both"/>
        <w:rPr>
          <w:rFonts w:eastAsia="Times New Roman"/>
          <w:szCs w:val="24"/>
          <w:lang w:eastAsia="cs-CZ"/>
        </w:rPr>
      </w:pPr>
    </w:p>
    <w:p w:rsidR="006E076B" w:rsidRPr="006E076B" w:rsidRDefault="006E076B" w:rsidP="00B233CA">
      <w:pPr>
        <w:pStyle w:val="Bezmezer"/>
        <w:numPr>
          <w:ilvl w:val="0"/>
          <w:numId w:val="3"/>
        </w:numPr>
        <w:jc w:val="both"/>
        <w:rPr>
          <w:szCs w:val="24"/>
        </w:rPr>
      </w:pPr>
      <w:r w:rsidRPr="006E076B">
        <w:rPr>
          <w:szCs w:val="24"/>
        </w:rPr>
        <w:t>V případě, že se některé z ustanovení této smlouvy stane neplatným, není tím dotčena platnost ostatních ustanovení. Neplatné ustanovení bude nahrazeno takovým platným ustanovením, které se právně přípustným způsobem co nejvíce přibližuje účelu zamýšlenému oběma smluvními stranami při uzavření smlouvy.</w:t>
      </w:r>
    </w:p>
    <w:p w:rsidR="00940F24" w:rsidRDefault="00940F24" w:rsidP="006E076B">
      <w:pPr>
        <w:jc w:val="both"/>
      </w:pPr>
    </w:p>
    <w:p w:rsidR="006E076B" w:rsidRPr="006E076B" w:rsidRDefault="006E076B" w:rsidP="00B233CA">
      <w:pPr>
        <w:pStyle w:val="Odstavecseseznamem"/>
        <w:numPr>
          <w:ilvl w:val="0"/>
          <w:numId w:val="3"/>
        </w:numPr>
        <w:jc w:val="both"/>
      </w:pPr>
      <w:r w:rsidRPr="006E076B">
        <w:t xml:space="preserve">Tato smlouva je vyhotovena ve dvou vyhotoveních, kdy každý je originálem. Každá smluvní strana obdrží jedno vyhotovení. </w:t>
      </w:r>
    </w:p>
    <w:p w:rsidR="006E076B" w:rsidRPr="006E076B" w:rsidRDefault="006E076B" w:rsidP="006E076B">
      <w:pPr>
        <w:jc w:val="both"/>
      </w:pPr>
    </w:p>
    <w:p w:rsidR="006E076B" w:rsidRPr="006E076B" w:rsidRDefault="006E076B" w:rsidP="00B233CA">
      <w:pPr>
        <w:pStyle w:val="Odstavecseseznamem"/>
        <w:numPr>
          <w:ilvl w:val="0"/>
          <w:numId w:val="3"/>
        </w:numPr>
        <w:jc w:val="both"/>
      </w:pPr>
      <w:r w:rsidRPr="006E076B">
        <w:t>Smluvní strany prohlašují, že tato smlouva tak, jak byla sepsána, odpovídá jejich pravé vůli, že tento úkon činí svobodně a vážně, nikoliv v tísni či za nevýhodných podmínek, veškerá ustanovení smlouvy jsou pro ně určitá a srozumitelná, na důkaz čehož připojují své podpisy.</w:t>
      </w:r>
    </w:p>
    <w:p w:rsidR="006E076B" w:rsidRPr="006E076B" w:rsidRDefault="006E076B" w:rsidP="006E076B">
      <w:pPr>
        <w:jc w:val="both"/>
      </w:pPr>
    </w:p>
    <w:p w:rsidR="006E076B" w:rsidRDefault="00B233CA" w:rsidP="00B233CA">
      <w:pPr>
        <w:pStyle w:val="Odstavecseseznamem"/>
        <w:numPr>
          <w:ilvl w:val="0"/>
          <w:numId w:val="3"/>
        </w:numPr>
        <w:jc w:val="both"/>
      </w:pPr>
      <w: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rsidR="00B233CA" w:rsidRDefault="00B233CA" w:rsidP="00B233CA">
      <w:pPr>
        <w:pStyle w:val="Odstavecseseznamem"/>
      </w:pPr>
    </w:p>
    <w:p w:rsidR="00B233CA" w:rsidRDefault="00B233CA" w:rsidP="00B233CA">
      <w:pPr>
        <w:pStyle w:val="Odstavecseseznamem"/>
        <w:numPr>
          <w:ilvl w:val="0"/>
          <w:numId w:val="3"/>
        </w:numPr>
        <w:jc w:val="both"/>
      </w:pPr>
      <w:r>
        <w:t>Smluvní strany prohlašují, že smlouva neobsahuje žádné obchodní tajemství.</w:t>
      </w:r>
    </w:p>
    <w:p w:rsidR="00B233CA" w:rsidRDefault="00B233CA" w:rsidP="00B233CA">
      <w:pPr>
        <w:pStyle w:val="Odstavecseseznamem"/>
      </w:pPr>
    </w:p>
    <w:p w:rsidR="002C7615" w:rsidRPr="005430D7" w:rsidRDefault="00B233CA" w:rsidP="005430D7">
      <w:pPr>
        <w:pStyle w:val="Odstavecseseznamem"/>
        <w:numPr>
          <w:ilvl w:val="0"/>
          <w:numId w:val="3"/>
        </w:numPr>
        <w:jc w:val="both"/>
      </w:pPr>
      <w:r>
        <w:t>Smluvní strany berou na vědomi, že nebude-li smlouva zveřejněna ani do 3 (tří) měsíců od jejího uzavření, platí, že je zrušena od počátku, s následky případného bezdůvodného obohacení.</w:t>
      </w:r>
    </w:p>
    <w:p w:rsidR="002C7615" w:rsidRPr="00D93305" w:rsidRDefault="002C7615" w:rsidP="002C7615">
      <w:pPr>
        <w:widowControl w:val="0"/>
        <w:tabs>
          <w:tab w:val="left" w:pos="6192"/>
        </w:tabs>
        <w:overflowPunct w:val="0"/>
        <w:autoSpaceDE w:val="0"/>
        <w:autoSpaceDN w:val="0"/>
        <w:adjustRightInd w:val="0"/>
        <w:textAlignment w:val="baseline"/>
        <w:rPr>
          <w:sz w:val="20"/>
          <w:szCs w:val="20"/>
        </w:rPr>
      </w:pPr>
    </w:p>
    <w:p w:rsidR="002C7615" w:rsidRPr="00D93305" w:rsidRDefault="002C7615" w:rsidP="002C7615">
      <w:pPr>
        <w:widowControl w:val="0"/>
        <w:tabs>
          <w:tab w:val="left" w:pos="6192"/>
        </w:tabs>
        <w:overflowPunct w:val="0"/>
        <w:autoSpaceDE w:val="0"/>
        <w:autoSpaceDN w:val="0"/>
        <w:adjustRightInd w:val="0"/>
        <w:textAlignment w:val="baseline"/>
        <w:rPr>
          <w:sz w:val="20"/>
          <w:szCs w:val="20"/>
        </w:rPr>
      </w:pPr>
    </w:p>
    <w:p w:rsidR="002C7615" w:rsidRPr="00B233CA" w:rsidRDefault="002C7615" w:rsidP="002C7615">
      <w:pPr>
        <w:widowControl w:val="0"/>
        <w:tabs>
          <w:tab w:val="left" w:pos="5387"/>
        </w:tabs>
        <w:overflowPunct w:val="0"/>
        <w:autoSpaceDE w:val="0"/>
        <w:autoSpaceDN w:val="0"/>
        <w:adjustRightInd w:val="0"/>
        <w:textAlignment w:val="baseline"/>
        <w:rPr>
          <w:rFonts w:ascii="Arial" w:hAnsi="Arial" w:cs="Arial"/>
        </w:rPr>
      </w:pPr>
      <w:r w:rsidRPr="00B233CA">
        <w:t>V Mostě dne:......</w:t>
      </w:r>
      <w:r w:rsidR="00E322E9">
        <w:t>........</w:t>
      </w:r>
      <w:r w:rsidR="00E322E9">
        <w:tab/>
      </w:r>
      <w:r w:rsidRPr="00B233CA">
        <w:t>V Mostě dne:..............</w:t>
      </w:r>
    </w:p>
    <w:p w:rsidR="002C7615" w:rsidRPr="00B233CA" w:rsidRDefault="002C7615" w:rsidP="002C7615">
      <w:pPr>
        <w:widowControl w:val="0"/>
        <w:tabs>
          <w:tab w:val="left" w:pos="6192"/>
        </w:tabs>
        <w:overflowPunct w:val="0"/>
        <w:autoSpaceDE w:val="0"/>
        <w:autoSpaceDN w:val="0"/>
        <w:adjustRightInd w:val="0"/>
        <w:textAlignment w:val="baseline"/>
      </w:pPr>
    </w:p>
    <w:p w:rsidR="002C7615" w:rsidRPr="00B233CA" w:rsidRDefault="002C7615" w:rsidP="002C7615">
      <w:pPr>
        <w:widowControl w:val="0"/>
        <w:tabs>
          <w:tab w:val="left" w:pos="6192"/>
        </w:tabs>
        <w:overflowPunct w:val="0"/>
        <w:autoSpaceDE w:val="0"/>
        <w:autoSpaceDN w:val="0"/>
        <w:adjustRightInd w:val="0"/>
        <w:textAlignment w:val="baseline"/>
      </w:pPr>
    </w:p>
    <w:p w:rsidR="00E322E9" w:rsidRDefault="002C7615" w:rsidP="002C7615">
      <w:pPr>
        <w:widowControl w:val="0"/>
        <w:tabs>
          <w:tab w:val="left" w:pos="5387"/>
        </w:tabs>
        <w:overflowPunct w:val="0"/>
        <w:autoSpaceDE w:val="0"/>
        <w:autoSpaceDN w:val="0"/>
        <w:adjustRightInd w:val="0"/>
        <w:textAlignment w:val="baseline"/>
      </w:pPr>
      <w:r w:rsidRPr="00B233CA">
        <w:t>Pron</w:t>
      </w:r>
      <w:r w:rsidR="005D1D5C" w:rsidRPr="00B233CA">
        <w:t>ajímatel</w:t>
      </w:r>
      <w:r w:rsidRPr="00B233CA">
        <w:t xml:space="preserve">: </w:t>
      </w:r>
      <w:r w:rsidR="00E322E9">
        <w:tab/>
        <w:t>Nájemce:</w:t>
      </w:r>
    </w:p>
    <w:p w:rsidR="00E322E9" w:rsidRDefault="00E322E9" w:rsidP="002C7615">
      <w:pPr>
        <w:widowControl w:val="0"/>
        <w:tabs>
          <w:tab w:val="left" w:pos="5387"/>
        </w:tabs>
        <w:overflowPunct w:val="0"/>
        <w:autoSpaceDE w:val="0"/>
        <w:autoSpaceDN w:val="0"/>
        <w:adjustRightInd w:val="0"/>
        <w:textAlignment w:val="baseline"/>
      </w:pPr>
    </w:p>
    <w:p w:rsidR="00E322E9" w:rsidRDefault="00E322E9" w:rsidP="002C7615">
      <w:pPr>
        <w:widowControl w:val="0"/>
        <w:tabs>
          <w:tab w:val="left" w:pos="5387"/>
        </w:tabs>
        <w:overflowPunct w:val="0"/>
        <w:autoSpaceDE w:val="0"/>
        <w:autoSpaceDN w:val="0"/>
        <w:adjustRightInd w:val="0"/>
        <w:textAlignment w:val="baseline"/>
      </w:pPr>
    </w:p>
    <w:p w:rsidR="00E322E9" w:rsidRDefault="00E322E9" w:rsidP="002C7615">
      <w:pPr>
        <w:widowControl w:val="0"/>
        <w:tabs>
          <w:tab w:val="left" w:pos="5387"/>
        </w:tabs>
        <w:overflowPunct w:val="0"/>
        <w:autoSpaceDE w:val="0"/>
        <w:autoSpaceDN w:val="0"/>
        <w:adjustRightInd w:val="0"/>
        <w:textAlignment w:val="baseline"/>
      </w:pPr>
    </w:p>
    <w:p w:rsidR="00E322E9" w:rsidRDefault="00E322E9" w:rsidP="002C7615">
      <w:pPr>
        <w:widowControl w:val="0"/>
        <w:tabs>
          <w:tab w:val="left" w:pos="5387"/>
        </w:tabs>
        <w:overflowPunct w:val="0"/>
        <w:autoSpaceDE w:val="0"/>
        <w:autoSpaceDN w:val="0"/>
        <w:adjustRightInd w:val="0"/>
        <w:textAlignment w:val="baseline"/>
      </w:pPr>
    </w:p>
    <w:p w:rsidR="002C7615" w:rsidRPr="00B233CA" w:rsidRDefault="002C7615" w:rsidP="002C7615">
      <w:pPr>
        <w:widowControl w:val="0"/>
        <w:tabs>
          <w:tab w:val="left" w:pos="5387"/>
        </w:tabs>
        <w:overflowPunct w:val="0"/>
        <w:autoSpaceDE w:val="0"/>
        <w:autoSpaceDN w:val="0"/>
        <w:adjustRightInd w:val="0"/>
        <w:textAlignment w:val="baseline"/>
      </w:pPr>
      <w:r w:rsidRPr="00B233CA">
        <w:t>………………………</w:t>
      </w:r>
      <w:r w:rsidR="005D1D5C" w:rsidRPr="00B233CA">
        <w:t>…….</w:t>
      </w:r>
      <w:r w:rsidR="005D1D5C" w:rsidRPr="00B233CA">
        <w:tab/>
      </w:r>
      <w:r w:rsidRPr="00B233CA">
        <w:t>………………………………….</w:t>
      </w:r>
    </w:p>
    <w:p w:rsidR="00E07B91" w:rsidRPr="00B233CA" w:rsidRDefault="00E322E9" w:rsidP="002C7615">
      <w:pPr>
        <w:widowControl w:val="0"/>
        <w:tabs>
          <w:tab w:val="left" w:pos="1134"/>
          <w:tab w:val="left" w:pos="6237"/>
        </w:tabs>
        <w:overflowPunct w:val="0"/>
        <w:autoSpaceDE w:val="0"/>
        <w:autoSpaceDN w:val="0"/>
        <w:adjustRightInd w:val="0"/>
        <w:textAlignment w:val="baseline"/>
      </w:pPr>
      <w:r>
        <w:t xml:space="preserve">     </w:t>
      </w:r>
      <w:r w:rsidR="00963AA8" w:rsidRPr="00B233CA">
        <w:t>PaedDr. Karel Vokáč</w:t>
      </w:r>
      <w:r w:rsidR="005D1D5C" w:rsidRPr="00B233CA">
        <w:t xml:space="preserve">                                                                   </w:t>
      </w:r>
      <w:r w:rsidR="00C32D90" w:rsidRPr="00B233CA">
        <w:rPr>
          <w:color w:val="000000"/>
          <w:shd w:val="clear" w:color="auto" w:fill="FFFFFF"/>
        </w:rPr>
        <w:t>Günther Mayer</w:t>
      </w:r>
    </w:p>
    <w:p w:rsidR="005D1D5C" w:rsidRPr="00B233CA" w:rsidRDefault="005D1D5C" w:rsidP="002C7615">
      <w:pPr>
        <w:widowControl w:val="0"/>
        <w:tabs>
          <w:tab w:val="left" w:pos="1134"/>
          <w:tab w:val="left" w:pos="6237"/>
        </w:tabs>
        <w:overflowPunct w:val="0"/>
        <w:autoSpaceDE w:val="0"/>
        <w:autoSpaceDN w:val="0"/>
        <w:adjustRightInd w:val="0"/>
        <w:textAlignment w:val="baseline"/>
      </w:pPr>
      <w:r w:rsidRPr="00B233CA">
        <w:t xml:space="preserve"> </w:t>
      </w:r>
      <w:r w:rsidR="00E322E9">
        <w:t xml:space="preserve">      </w:t>
      </w:r>
      <w:r w:rsidR="0095411F" w:rsidRPr="00B233CA">
        <w:t>ředitel organizace</w:t>
      </w:r>
      <w:r w:rsidRPr="00B233CA">
        <w:t xml:space="preserve">                                                       </w:t>
      </w:r>
      <w:r w:rsidR="00E322E9">
        <w:t xml:space="preserve">             </w:t>
      </w:r>
      <w:r w:rsidRPr="00B233CA">
        <w:t xml:space="preserve">jednatel </w:t>
      </w:r>
      <w:r w:rsidR="0095411F" w:rsidRPr="00B233CA">
        <w:t>společnosti</w:t>
      </w:r>
      <w:r w:rsidRPr="00B233CA">
        <w:t xml:space="preserve">                                                                       </w:t>
      </w:r>
    </w:p>
    <w:sectPr w:rsidR="005D1D5C" w:rsidRPr="00B233CA" w:rsidSect="005C0927">
      <w:headerReference w:type="default" r:id="rId7"/>
      <w:footerReference w:type="default" r:id="rId8"/>
      <w:headerReference w:type="first" r:id="rId9"/>
      <w:footerReference w:type="first" r:id="rId10"/>
      <w:pgSz w:w="11906" w:h="16838" w:code="9"/>
      <w:pgMar w:top="1134" w:right="1418" w:bottom="568" w:left="1418" w:header="709"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4E0" w:rsidRDefault="00B934E0">
      <w:r>
        <w:separator/>
      </w:r>
    </w:p>
  </w:endnote>
  <w:endnote w:type="continuationSeparator" w:id="0">
    <w:p w:rsidR="00B934E0" w:rsidRDefault="00B9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40" w:rsidRPr="00F01EC0" w:rsidRDefault="00F01EC0" w:rsidP="00B02CBF">
    <w:pPr>
      <w:pStyle w:val="Zpat"/>
      <w:jc w:val="right"/>
      <w:rPr>
        <w:rFonts w:ascii="Arial" w:hAnsi="Arial" w:cs="Arial"/>
        <w:sz w:val="16"/>
        <w:szCs w:val="16"/>
      </w:rPr>
    </w:pPr>
    <w:r w:rsidRPr="00F01EC0">
      <w:rPr>
        <w:rStyle w:val="slostrnky"/>
        <w:rFonts w:ascii="Arial" w:hAnsi="Arial" w:cs="Arial"/>
        <w:sz w:val="16"/>
        <w:szCs w:val="16"/>
      </w:rPr>
      <w:fldChar w:fldCharType="begin"/>
    </w:r>
    <w:r w:rsidRPr="00F01EC0">
      <w:rPr>
        <w:rStyle w:val="slostrnky"/>
        <w:rFonts w:ascii="Arial" w:hAnsi="Arial" w:cs="Arial"/>
        <w:sz w:val="16"/>
        <w:szCs w:val="16"/>
      </w:rPr>
      <w:instrText xml:space="preserve"> PAGE </w:instrText>
    </w:r>
    <w:r w:rsidRPr="00F01EC0">
      <w:rPr>
        <w:rStyle w:val="slostrnky"/>
        <w:rFonts w:ascii="Arial" w:hAnsi="Arial" w:cs="Arial"/>
        <w:sz w:val="16"/>
        <w:szCs w:val="16"/>
      </w:rPr>
      <w:fldChar w:fldCharType="separate"/>
    </w:r>
    <w:r w:rsidR="00A91D7F">
      <w:rPr>
        <w:rStyle w:val="slostrnky"/>
        <w:rFonts w:ascii="Arial" w:hAnsi="Arial" w:cs="Arial"/>
        <w:noProof/>
        <w:sz w:val="16"/>
        <w:szCs w:val="16"/>
      </w:rPr>
      <w:t>2</w:t>
    </w:r>
    <w:r w:rsidRPr="00F01EC0">
      <w:rPr>
        <w:rStyle w:val="slostrnky"/>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6" w:type="pct"/>
      <w:tblInd w:w="-426" w:type="dxa"/>
      <w:tblBorders>
        <w:top w:val="single" w:sz="4" w:space="0" w:color="007002"/>
      </w:tblBorders>
      <w:tblCellMar>
        <w:left w:w="0" w:type="dxa"/>
        <w:right w:w="0" w:type="dxa"/>
      </w:tblCellMar>
      <w:tblLook w:val="01E0" w:firstRow="1" w:lastRow="1" w:firstColumn="1" w:lastColumn="1" w:noHBand="0" w:noVBand="0"/>
    </w:tblPr>
    <w:tblGrid>
      <w:gridCol w:w="3716"/>
      <w:gridCol w:w="5782"/>
    </w:tblGrid>
    <w:tr w:rsidR="00EF099E" w:rsidRPr="00C26F28" w:rsidTr="00AD65FC">
      <w:trPr>
        <w:trHeight w:val="173"/>
      </w:trPr>
      <w:tc>
        <w:tcPr>
          <w:tcW w:w="1956" w:type="pct"/>
          <w:tcBorders>
            <w:top w:val="nil"/>
          </w:tcBorders>
          <w:shd w:val="clear" w:color="auto" w:fill="auto"/>
          <w:tcMar>
            <w:top w:w="57" w:type="dxa"/>
          </w:tcMar>
        </w:tcPr>
        <w:p w:rsidR="00EF099E" w:rsidRPr="00C26F28" w:rsidRDefault="00EF099E" w:rsidP="00F20B6F">
          <w:pPr>
            <w:pStyle w:val="Zpat"/>
            <w:rPr>
              <w:rFonts w:ascii="Arial" w:hAnsi="Arial" w:cs="Arial"/>
              <w:i/>
              <w:color w:val="333333"/>
              <w:sz w:val="16"/>
              <w:szCs w:val="16"/>
            </w:rPr>
          </w:pPr>
        </w:p>
      </w:tc>
      <w:tc>
        <w:tcPr>
          <w:tcW w:w="3044" w:type="pct"/>
          <w:tcBorders>
            <w:top w:val="nil"/>
          </w:tcBorders>
          <w:shd w:val="clear" w:color="auto" w:fill="auto"/>
          <w:tcMar>
            <w:top w:w="57" w:type="dxa"/>
          </w:tcMar>
        </w:tcPr>
        <w:p w:rsidR="00EF099E" w:rsidRPr="00C26F28" w:rsidRDefault="00EF099E" w:rsidP="00C26F28">
          <w:pPr>
            <w:pStyle w:val="Zpat"/>
            <w:spacing w:line="276" w:lineRule="auto"/>
            <w:rPr>
              <w:rFonts w:ascii="Arial" w:hAnsi="Arial" w:cs="Arial"/>
              <w:noProof/>
              <w:sz w:val="14"/>
              <w:szCs w:val="14"/>
            </w:rPr>
          </w:pPr>
        </w:p>
      </w:tc>
    </w:tr>
  </w:tbl>
  <w:p w:rsidR="00C348E9" w:rsidRDefault="00C348E9" w:rsidP="00EF099E">
    <w:pPr>
      <w:pStyle w:val="Zpat"/>
      <w:rPr>
        <w:rFonts w:ascii="Arial" w:hAnsi="Arial" w:cs="Arial"/>
        <w:sz w:val="14"/>
        <w:szCs w:val="14"/>
      </w:rPr>
    </w:pPr>
    <w:r>
      <w:rPr>
        <w:rFonts w:ascii="Arial" w:hAnsi="Arial" w:cs="Arial"/>
        <w:sz w:val="14"/>
        <w:szCs w:val="14"/>
      </w:rPr>
      <w:tab/>
    </w:r>
    <w:r>
      <w:rPr>
        <w:rFonts w:ascii="Arial" w:hAnsi="Arial" w:cs="Arial"/>
        <w:sz w:val="14"/>
        <w:szCs w:val="1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4E0" w:rsidRDefault="00B934E0">
      <w:r>
        <w:separator/>
      </w:r>
    </w:p>
  </w:footnote>
  <w:footnote w:type="continuationSeparator" w:id="0">
    <w:p w:rsidR="00B934E0" w:rsidRDefault="00B934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16C" w:rsidRDefault="0030516C" w:rsidP="0030516C">
    <w:pPr>
      <w:pStyle w:val="Zhlav"/>
      <w:spacing w:before="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insideH w:val="single" w:sz="4" w:space="0" w:color="007002"/>
      </w:tblBorders>
      <w:tblLayout w:type="fixed"/>
      <w:tblCellMar>
        <w:left w:w="0" w:type="dxa"/>
        <w:right w:w="0" w:type="dxa"/>
      </w:tblCellMar>
      <w:tblLook w:val="01E0" w:firstRow="1" w:lastRow="1" w:firstColumn="1" w:lastColumn="1" w:noHBand="0" w:noVBand="0"/>
    </w:tblPr>
    <w:tblGrid>
      <w:gridCol w:w="1179"/>
      <w:gridCol w:w="1567"/>
      <w:gridCol w:w="6324"/>
    </w:tblGrid>
    <w:tr w:rsidR="00EF099E" w:rsidRPr="00C26F28" w:rsidTr="00C26F28">
      <w:trPr>
        <w:trHeight w:val="893"/>
        <w:jc w:val="center"/>
      </w:trPr>
      <w:tc>
        <w:tcPr>
          <w:tcW w:w="650" w:type="pct"/>
          <w:shd w:val="clear" w:color="auto" w:fill="auto"/>
        </w:tcPr>
        <w:p w:rsidR="00EF099E" w:rsidRPr="00C26F28" w:rsidRDefault="00771C99" w:rsidP="00C26F28">
          <w:pPr>
            <w:pStyle w:val="Zhlav"/>
            <w:jc w:val="right"/>
            <w:rPr>
              <w:rFonts w:ascii="Arial" w:hAnsi="Arial" w:cs="Arial"/>
              <w:b/>
              <w:color w:val="008000"/>
              <w:sz w:val="20"/>
              <w:szCs w:val="20"/>
            </w:rPr>
          </w:pPr>
          <w:r w:rsidRPr="00C26F28">
            <w:rPr>
              <w:rFonts w:ascii="Arial" w:hAnsi="Arial" w:cs="Arial"/>
              <w:b/>
              <w:noProof/>
              <w:color w:val="008000"/>
              <w:sz w:val="20"/>
              <w:szCs w:val="20"/>
            </w:rPr>
            <w:drawing>
              <wp:anchor distT="0" distB="0" distL="114300" distR="114300" simplePos="0" relativeHeight="251657728" behindDoc="0" locked="0" layoutInCell="1" allowOverlap="1">
                <wp:simplePos x="0" y="0"/>
                <wp:positionH relativeFrom="margin">
                  <wp:posOffset>-36195</wp:posOffset>
                </wp:positionH>
                <wp:positionV relativeFrom="margin">
                  <wp:posOffset>-36195</wp:posOffset>
                </wp:positionV>
                <wp:extent cx="720090" cy="659130"/>
                <wp:effectExtent l="0" t="0" r="3810" b="7620"/>
                <wp:wrapNone/>
                <wp:docPr id="44" name="obrázek 44" descr="Logo_Páteřní_škola_hl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_Páteřní_škola_hl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6591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4" w:type="pct"/>
          <w:shd w:val="clear" w:color="auto" w:fill="auto"/>
          <w:tcMar>
            <w:top w:w="57" w:type="dxa"/>
            <w:left w:w="28" w:type="dxa"/>
            <w:right w:w="28" w:type="dxa"/>
          </w:tcMar>
        </w:tcPr>
        <w:p w:rsidR="00EF099E" w:rsidRPr="00C26F28" w:rsidRDefault="00771C99" w:rsidP="00C26F28">
          <w:pPr>
            <w:pStyle w:val="Zhlav"/>
            <w:spacing w:after="60"/>
            <w:rPr>
              <w:rFonts w:ascii="Arial" w:hAnsi="Arial" w:cs="Arial"/>
              <w:b/>
              <w:color w:val="008000"/>
              <w:sz w:val="20"/>
              <w:szCs w:val="20"/>
            </w:rPr>
          </w:pPr>
          <w:r>
            <w:rPr>
              <w:noProof/>
            </w:rPr>
            <w:drawing>
              <wp:inline distT="0" distB="0" distL="0" distR="0">
                <wp:extent cx="914400" cy="647700"/>
                <wp:effectExtent l="0" t="0" r="0" b="0"/>
                <wp:docPr id="1" name="obrázek 1" descr="sst_logo_07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_logo_072011"/>
                        <pic:cNvPicPr>
                          <a:picLocks noChangeAspect="1" noChangeArrowheads="1"/>
                        </pic:cNvPicPr>
                      </pic:nvPicPr>
                      <pic:blipFill>
                        <a:blip r:embed="rId2">
                          <a:lum bright="12000"/>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inline>
            </w:drawing>
          </w:r>
        </w:p>
      </w:tc>
      <w:tc>
        <w:tcPr>
          <w:tcW w:w="3541" w:type="pct"/>
          <w:shd w:val="clear" w:color="auto" w:fill="auto"/>
          <w:tcMar>
            <w:left w:w="0" w:type="dxa"/>
          </w:tcMar>
          <w:vAlign w:val="bottom"/>
        </w:tcPr>
        <w:p w:rsidR="00EF099E" w:rsidRPr="00C26F28" w:rsidRDefault="00EF099E" w:rsidP="00C26F28">
          <w:pPr>
            <w:pStyle w:val="Zhlav"/>
            <w:jc w:val="right"/>
            <w:rPr>
              <w:rFonts w:ascii="Arial" w:hAnsi="Arial" w:cs="Arial"/>
              <w:b/>
              <w:color w:val="008000"/>
              <w:spacing w:val="8"/>
              <w:sz w:val="22"/>
              <w:szCs w:val="22"/>
            </w:rPr>
          </w:pPr>
          <w:r w:rsidRPr="00C26F28">
            <w:rPr>
              <w:rFonts w:ascii="Arial" w:hAnsi="Arial" w:cs="Arial"/>
              <w:b/>
              <w:color w:val="008000"/>
              <w:spacing w:val="8"/>
              <w:sz w:val="22"/>
              <w:szCs w:val="22"/>
            </w:rPr>
            <w:t>Střední škola technická, Most, příspěvková organizace</w:t>
          </w:r>
        </w:p>
        <w:p w:rsidR="00EF099E" w:rsidRPr="00C26F28" w:rsidRDefault="00EF099E" w:rsidP="00C26F28">
          <w:pPr>
            <w:pStyle w:val="Zhlav"/>
            <w:spacing w:after="60"/>
            <w:jc w:val="right"/>
            <w:rPr>
              <w:rFonts w:ascii="Calibri" w:hAnsi="Calibri" w:cs="Arial"/>
              <w:sz w:val="20"/>
              <w:szCs w:val="20"/>
            </w:rPr>
          </w:pPr>
          <w:r w:rsidRPr="00C26F28">
            <w:rPr>
              <w:rFonts w:ascii="Arial" w:hAnsi="Arial" w:cs="Arial"/>
              <w:color w:val="008000"/>
              <w:sz w:val="20"/>
              <w:szCs w:val="20"/>
            </w:rPr>
            <w:t>Dělnická 21,</w:t>
          </w:r>
          <w:r w:rsidR="00FF42CE">
            <w:rPr>
              <w:rFonts w:ascii="Arial" w:hAnsi="Arial" w:cs="Arial"/>
              <w:color w:val="008000"/>
              <w:sz w:val="20"/>
              <w:szCs w:val="20"/>
            </w:rPr>
            <w:t xml:space="preserve"> </w:t>
          </w:r>
          <w:r w:rsidR="00085C35">
            <w:rPr>
              <w:rFonts w:ascii="Arial" w:hAnsi="Arial" w:cs="Arial"/>
              <w:color w:val="008000"/>
              <w:sz w:val="20"/>
              <w:szCs w:val="20"/>
            </w:rPr>
            <w:t>Velebudice</w:t>
          </w:r>
          <w:r w:rsidR="002662FF">
            <w:rPr>
              <w:rFonts w:ascii="Arial" w:hAnsi="Arial" w:cs="Arial"/>
              <w:color w:val="008000"/>
              <w:sz w:val="20"/>
              <w:szCs w:val="20"/>
            </w:rPr>
            <w:t>,</w:t>
          </w:r>
          <w:r w:rsidRPr="00C26F28">
            <w:rPr>
              <w:rFonts w:ascii="Arial" w:hAnsi="Arial" w:cs="Arial"/>
              <w:color w:val="008000"/>
              <w:sz w:val="20"/>
              <w:szCs w:val="20"/>
            </w:rPr>
            <w:t xml:space="preserve"> 434 01 Most</w:t>
          </w:r>
        </w:p>
      </w:tc>
    </w:tr>
    <w:tr w:rsidR="00EF099E" w:rsidRPr="0030516C" w:rsidTr="00C26F28">
      <w:trPr>
        <w:trHeight w:val="20"/>
        <w:jc w:val="center"/>
      </w:trPr>
      <w:tc>
        <w:tcPr>
          <w:tcW w:w="650" w:type="pct"/>
          <w:shd w:val="clear" w:color="auto" w:fill="auto"/>
        </w:tcPr>
        <w:p w:rsidR="00EF099E" w:rsidRPr="00C26F28" w:rsidRDefault="00EF099E" w:rsidP="00F20B6F">
          <w:pPr>
            <w:pStyle w:val="Zhlav"/>
            <w:rPr>
              <w:rFonts w:ascii="Arial" w:hAnsi="Arial" w:cs="Arial"/>
              <w:b/>
              <w:color w:val="008000"/>
              <w:sz w:val="20"/>
              <w:szCs w:val="20"/>
            </w:rPr>
          </w:pPr>
        </w:p>
      </w:tc>
      <w:tc>
        <w:tcPr>
          <w:tcW w:w="864" w:type="pct"/>
          <w:shd w:val="clear" w:color="auto" w:fill="auto"/>
          <w:tcMar>
            <w:top w:w="57" w:type="dxa"/>
            <w:left w:w="28" w:type="dxa"/>
            <w:right w:w="28" w:type="dxa"/>
          </w:tcMar>
        </w:tcPr>
        <w:p w:rsidR="00EF099E" w:rsidRDefault="00EF099E" w:rsidP="00C26F28">
          <w:pPr>
            <w:pStyle w:val="Zhlav"/>
            <w:jc w:val="center"/>
          </w:pPr>
        </w:p>
      </w:tc>
      <w:tc>
        <w:tcPr>
          <w:tcW w:w="3541" w:type="pct"/>
          <w:shd w:val="clear" w:color="auto" w:fill="auto"/>
          <w:tcMar>
            <w:left w:w="0" w:type="dxa"/>
          </w:tcMar>
          <w:vAlign w:val="bottom"/>
        </w:tcPr>
        <w:p w:rsidR="00EF099E" w:rsidRDefault="00EF099E" w:rsidP="00C26F28">
          <w:pPr>
            <w:pStyle w:val="Zhlav"/>
            <w:jc w:val="center"/>
          </w:pPr>
        </w:p>
      </w:tc>
    </w:tr>
  </w:tbl>
  <w:p w:rsidR="00F60799" w:rsidRPr="00AB6FA3" w:rsidRDefault="00F60799" w:rsidP="00802930">
    <w:pPr>
      <w:pStyle w:val="Zhlav"/>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1C3DB2"/>
    <w:lvl w:ilvl="0">
      <w:numFmt w:val="bullet"/>
      <w:lvlText w:val="*"/>
      <w:lvlJc w:val="left"/>
    </w:lvl>
  </w:abstractNum>
  <w:abstractNum w:abstractNumId="1" w15:restartNumberingAfterBreak="0">
    <w:nsid w:val="0FA71B3A"/>
    <w:multiLevelType w:val="hybridMultilevel"/>
    <w:tmpl w:val="603E93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B776266"/>
    <w:multiLevelType w:val="hybridMultilevel"/>
    <w:tmpl w:val="3EA6B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6C"/>
    <w:rsid w:val="0000224D"/>
    <w:rsid w:val="00022930"/>
    <w:rsid w:val="00027C5C"/>
    <w:rsid w:val="00031A7D"/>
    <w:rsid w:val="00044AB3"/>
    <w:rsid w:val="0005163D"/>
    <w:rsid w:val="00054B17"/>
    <w:rsid w:val="00057A59"/>
    <w:rsid w:val="000661B1"/>
    <w:rsid w:val="00066F3D"/>
    <w:rsid w:val="000670FE"/>
    <w:rsid w:val="00074796"/>
    <w:rsid w:val="00074F13"/>
    <w:rsid w:val="000766E3"/>
    <w:rsid w:val="00080C78"/>
    <w:rsid w:val="0008281C"/>
    <w:rsid w:val="00085C35"/>
    <w:rsid w:val="000A34F7"/>
    <w:rsid w:val="000B4329"/>
    <w:rsid w:val="000C6893"/>
    <w:rsid w:val="000D3E96"/>
    <w:rsid w:val="000D5455"/>
    <w:rsid w:val="000D7157"/>
    <w:rsid w:val="000E2855"/>
    <w:rsid w:val="000E4A23"/>
    <w:rsid w:val="000F3D28"/>
    <w:rsid w:val="000F7BC2"/>
    <w:rsid w:val="00102741"/>
    <w:rsid w:val="00123CA2"/>
    <w:rsid w:val="0013598D"/>
    <w:rsid w:val="001461BB"/>
    <w:rsid w:val="00151974"/>
    <w:rsid w:val="00155912"/>
    <w:rsid w:val="00156EA6"/>
    <w:rsid w:val="001639C0"/>
    <w:rsid w:val="00164B4D"/>
    <w:rsid w:val="0019416E"/>
    <w:rsid w:val="00195806"/>
    <w:rsid w:val="001B1C60"/>
    <w:rsid w:val="001C42AF"/>
    <w:rsid w:val="001C6FDA"/>
    <w:rsid w:val="001D7634"/>
    <w:rsid w:val="001F4C63"/>
    <w:rsid w:val="002043A4"/>
    <w:rsid w:val="0020515E"/>
    <w:rsid w:val="002106EC"/>
    <w:rsid w:val="00230E26"/>
    <w:rsid w:val="00232BA1"/>
    <w:rsid w:val="00233D08"/>
    <w:rsid w:val="002523ED"/>
    <w:rsid w:val="002546CA"/>
    <w:rsid w:val="002551BB"/>
    <w:rsid w:val="002571AB"/>
    <w:rsid w:val="002662FF"/>
    <w:rsid w:val="00270C43"/>
    <w:rsid w:val="00273A86"/>
    <w:rsid w:val="00274654"/>
    <w:rsid w:val="00274732"/>
    <w:rsid w:val="00274E3E"/>
    <w:rsid w:val="0028127A"/>
    <w:rsid w:val="00287670"/>
    <w:rsid w:val="002900AC"/>
    <w:rsid w:val="002A0E76"/>
    <w:rsid w:val="002A6436"/>
    <w:rsid w:val="002B7561"/>
    <w:rsid w:val="002C0763"/>
    <w:rsid w:val="002C7615"/>
    <w:rsid w:val="002D3725"/>
    <w:rsid w:val="0030516C"/>
    <w:rsid w:val="003176F8"/>
    <w:rsid w:val="00335BFE"/>
    <w:rsid w:val="00346299"/>
    <w:rsid w:val="00350ABF"/>
    <w:rsid w:val="00352B67"/>
    <w:rsid w:val="00376E13"/>
    <w:rsid w:val="00386302"/>
    <w:rsid w:val="003A1088"/>
    <w:rsid w:val="003B1E01"/>
    <w:rsid w:val="003C4AD6"/>
    <w:rsid w:val="003D50B6"/>
    <w:rsid w:val="003E314B"/>
    <w:rsid w:val="003E4DBF"/>
    <w:rsid w:val="003E6205"/>
    <w:rsid w:val="003F2BC8"/>
    <w:rsid w:val="004011E1"/>
    <w:rsid w:val="00404C49"/>
    <w:rsid w:val="00423BCB"/>
    <w:rsid w:val="0042415E"/>
    <w:rsid w:val="004455CD"/>
    <w:rsid w:val="0045205D"/>
    <w:rsid w:val="0045509A"/>
    <w:rsid w:val="00466D53"/>
    <w:rsid w:val="00466E0C"/>
    <w:rsid w:val="0046732A"/>
    <w:rsid w:val="00485917"/>
    <w:rsid w:val="00490ECF"/>
    <w:rsid w:val="0049272D"/>
    <w:rsid w:val="00496C19"/>
    <w:rsid w:val="004B7A12"/>
    <w:rsid w:val="004D6726"/>
    <w:rsid w:val="004E09C8"/>
    <w:rsid w:val="004F542B"/>
    <w:rsid w:val="004F600F"/>
    <w:rsid w:val="005056B5"/>
    <w:rsid w:val="00507C0B"/>
    <w:rsid w:val="00522F7F"/>
    <w:rsid w:val="005430D7"/>
    <w:rsid w:val="00551AF1"/>
    <w:rsid w:val="005727EF"/>
    <w:rsid w:val="00573C0E"/>
    <w:rsid w:val="005818D4"/>
    <w:rsid w:val="00584107"/>
    <w:rsid w:val="00592711"/>
    <w:rsid w:val="00595560"/>
    <w:rsid w:val="005A54DE"/>
    <w:rsid w:val="005B1FE7"/>
    <w:rsid w:val="005C0927"/>
    <w:rsid w:val="005C3426"/>
    <w:rsid w:val="005C4825"/>
    <w:rsid w:val="005D02D4"/>
    <w:rsid w:val="005D1D5C"/>
    <w:rsid w:val="005D7901"/>
    <w:rsid w:val="00602DE9"/>
    <w:rsid w:val="00612DA2"/>
    <w:rsid w:val="006200F0"/>
    <w:rsid w:val="00656D7B"/>
    <w:rsid w:val="00657283"/>
    <w:rsid w:val="00663A8B"/>
    <w:rsid w:val="006825BA"/>
    <w:rsid w:val="006862BF"/>
    <w:rsid w:val="006A008F"/>
    <w:rsid w:val="006A15E6"/>
    <w:rsid w:val="006E076B"/>
    <w:rsid w:val="006F2FC7"/>
    <w:rsid w:val="0070482E"/>
    <w:rsid w:val="00705491"/>
    <w:rsid w:val="00711CD5"/>
    <w:rsid w:val="0072294F"/>
    <w:rsid w:val="0072784D"/>
    <w:rsid w:val="00731CA9"/>
    <w:rsid w:val="00734E81"/>
    <w:rsid w:val="0074233B"/>
    <w:rsid w:val="007533DD"/>
    <w:rsid w:val="00756D6E"/>
    <w:rsid w:val="00766CFD"/>
    <w:rsid w:val="00771C99"/>
    <w:rsid w:val="00774819"/>
    <w:rsid w:val="00782841"/>
    <w:rsid w:val="00786FF3"/>
    <w:rsid w:val="007A3281"/>
    <w:rsid w:val="007A41D9"/>
    <w:rsid w:val="007A5B2E"/>
    <w:rsid w:val="007B39C1"/>
    <w:rsid w:val="007B6590"/>
    <w:rsid w:val="007B793F"/>
    <w:rsid w:val="007C1E75"/>
    <w:rsid w:val="007C3247"/>
    <w:rsid w:val="007E0020"/>
    <w:rsid w:val="007E2D70"/>
    <w:rsid w:val="007E6739"/>
    <w:rsid w:val="007F6640"/>
    <w:rsid w:val="00802930"/>
    <w:rsid w:val="00806F36"/>
    <w:rsid w:val="00807364"/>
    <w:rsid w:val="00810B00"/>
    <w:rsid w:val="00816901"/>
    <w:rsid w:val="0083319E"/>
    <w:rsid w:val="0085119A"/>
    <w:rsid w:val="008612CD"/>
    <w:rsid w:val="00861F1A"/>
    <w:rsid w:val="008702C3"/>
    <w:rsid w:val="008706F1"/>
    <w:rsid w:val="0088170F"/>
    <w:rsid w:val="00883B88"/>
    <w:rsid w:val="008841E5"/>
    <w:rsid w:val="00886D0F"/>
    <w:rsid w:val="008A064C"/>
    <w:rsid w:val="008A0DEB"/>
    <w:rsid w:val="008A4F04"/>
    <w:rsid w:val="008A6E07"/>
    <w:rsid w:val="008C005C"/>
    <w:rsid w:val="008D1140"/>
    <w:rsid w:val="008D2346"/>
    <w:rsid w:val="008E5559"/>
    <w:rsid w:val="008E6632"/>
    <w:rsid w:val="008F4155"/>
    <w:rsid w:val="00902F53"/>
    <w:rsid w:val="00912E72"/>
    <w:rsid w:val="0091399B"/>
    <w:rsid w:val="00915214"/>
    <w:rsid w:val="00940F24"/>
    <w:rsid w:val="009446A2"/>
    <w:rsid w:val="00951CE7"/>
    <w:rsid w:val="0095411F"/>
    <w:rsid w:val="00956498"/>
    <w:rsid w:val="00963AA8"/>
    <w:rsid w:val="00992160"/>
    <w:rsid w:val="009A0327"/>
    <w:rsid w:val="009A77E9"/>
    <w:rsid w:val="009B3F8C"/>
    <w:rsid w:val="009B5373"/>
    <w:rsid w:val="009C1C88"/>
    <w:rsid w:val="009D1AAF"/>
    <w:rsid w:val="009D478D"/>
    <w:rsid w:val="009D6203"/>
    <w:rsid w:val="009F0CAA"/>
    <w:rsid w:val="009F76CA"/>
    <w:rsid w:val="00A1031B"/>
    <w:rsid w:val="00A137B8"/>
    <w:rsid w:val="00A20079"/>
    <w:rsid w:val="00A2632A"/>
    <w:rsid w:val="00A30435"/>
    <w:rsid w:val="00A51782"/>
    <w:rsid w:val="00A61B7B"/>
    <w:rsid w:val="00A73645"/>
    <w:rsid w:val="00A91D7F"/>
    <w:rsid w:val="00A96048"/>
    <w:rsid w:val="00AA5170"/>
    <w:rsid w:val="00AB6FA3"/>
    <w:rsid w:val="00AC35E0"/>
    <w:rsid w:val="00AD373B"/>
    <w:rsid w:val="00AD65FC"/>
    <w:rsid w:val="00AE2BC9"/>
    <w:rsid w:val="00AE6525"/>
    <w:rsid w:val="00B02CBF"/>
    <w:rsid w:val="00B07927"/>
    <w:rsid w:val="00B15CB6"/>
    <w:rsid w:val="00B162C1"/>
    <w:rsid w:val="00B233CA"/>
    <w:rsid w:val="00B417A3"/>
    <w:rsid w:val="00B41F41"/>
    <w:rsid w:val="00B4251F"/>
    <w:rsid w:val="00B52031"/>
    <w:rsid w:val="00B52475"/>
    <w:rsid w:val="00B54207"/>
    <w:rsid w:val="00B6054C"/>
    <w:rsid w:val="00B60931"/>
    <w:rsid w:val="00B60F14"/>
    <w:rsid w:val="00B85CCD"/>
    <w:rsid w:val="00B934E0"/>
    <w:rsid w:val="00B94C1B"/>
    <w:rsid w:val="00BA344F"/>
    <w:rsid w:val="00BB3CED"/>
    <w:rsid w:val="00BC1F75"/>
    <w:rsid w:val="00BC22CE"/>
    <w:rsid w:val="00BF65A2"/>
    <w:rsid w:val="00C04093"/>
    <w:rsid w:val="00C061FF"/>
    <w:rsid w:val="00C07248"/>
    <w:rsid w:val="00C1037A"/>
    <w:rsid w:val="00C17815"/>
    <w:rsid w:val="00C222E1"/>
    <w:rsid w:val="00C26F28"/>
    <w:rsid w:val="00C32D90"/>
    <w:rsid w:val="00C348E9"/>
    <w:rsid w:val="00C34E4D"/>
    <w:rsid w:val="00C54B76"/>
    <w:rsid w:val="00C552E6"/>
    <w:rsid w:val="00C63D13"/>
    <w:rsid w:val="00C70834"/>
    <w:rsid w:val="00C71CF0"/>
    <w:rsid w:val="00C75B90"/>
    <w:rsid w:val="00C84084"/>
    <w:rsid w:val="00C95162"/>
    <w:rsid w:val="00C97A2C"/>
    <w:rsid w:val="00CA2240"/>
    <w:rsid w:val="00CC577A"/>
    <w:rsid w:val="00CC6156"/>
    <w:rsid w:val="00CE0028"/>
    <w:rsid w:val="00CE3238"/>
    <w:rsid w:val="00D00009"/>
    <w:rsid w:val="00D15B56"/>
    <w:rsid w:val="00D3514C"/>
    <w:rsid w:val="00D35C65"/>
    <w:rsid w:val="00D602A3"/>
    <w:rsid w:val="00D646E2"/>
    <w:rsid w:val="00D67AA8"/>
    <w:rsid w:val="00D67E38"/>
    <w:rsid w:val="00D80F3C"/>
    <w:rsid w:val="00D9153F"/>
    <w:rsid w:val="00D96E5F"/>
    <w:rsid w:val="00DA1DA9"/>
    <w:rsid w:val="00DA6C33"/>
    <w:rsid w:val="00DB6AB9"/>
    <w:rsid w:val="00DC59B4"/>
    <w:rsid w:val="00DE6CA4"/>
    <w:rsid w:val="00E01BD9"/>
    <w:rsid w:val="00E07B91"/>
    <w:rsid w:val="00E240F4"/>
    <w:rsid w:val="00E25BCF"/>
    <w:rsid w:val="00E26238"/>
    <w:rsid w:val="00E322E9"/>
    <w:rsid w:val="00E4026D"/>
    <w:rsid w:val="00E50BC8"/>
    <w:rsid w:val="00E55AF9"/>
    <w:rsid w:val="00E644FD"/>
    <w:rsid w:val="00E73C60"/>
    <w:rsid w:val="00E80704"/>
    <w:rsid w:val="00E857EA"/>
    <w:rsid w:val="00E913E8"/>
    <w:rsid w:val="00E94852"/>
    <w:rsid w:val="00EB644E"/>
    <w:rsid w:val="00EC43D6"/>
    <w:rsid w:val="00EE2118"/>
    <w:rsid w:val="00EE2F7D"/>
    <w:rsid w:val="00EF099E"/>
    <w:rsid w:val="00EF27C1"/>
    <w:rsid w:val="00F01EC0"/>
    <w:rsid w:val="00F02C76"/>
    <w:rsid w:val="00F20B6F"/>
    <w:rsid w:val="00F30926"/>
    <w:rsid w:val="00F30A98"/>
    <w:rsid w:val="00F34D76"/>
    <w:rsid w:val="00F35580"/>
    <w:rsid w:val="00F36CBD"/>
    <w:rsid w:val="00F431B6"/>
    <w:rsid w:val="00F44B2A"/>
    <w:rsid w:val="00F45C65"/>
    <w:rsid w:val="00F534CD"/>
    <w:rsid w:val="00F60799"/>
    <w:rsid w:val="00F61E16"/>
    <w:rsid w:val="00F8234B"/>
    <w:rsid w:val="00F82BB5"/>
    <w:rsid w:val="00F85A55"/>
    <w:rsid w:val="00FA1C90"/>
    <w:rsid w:val="00FB2A53"/>
    <w:rsid w:val="00FB7074"/>
    <w:rsid w:val="00FB793A"/>
    <w:rsid w:val="00FC196E"/>
    <w:rsid w:val="00FD200A"/>
    <w:rsid w:val="00FD4E33"/>
    <w:rsid w:val="00FE5F4A"/>
    <w:rsid w:val="00FF0AA2"/>
    <w:rsid w:val="00FF42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6F24C"/>
  <w15:chartTrackingRefBased/>
  <w15:docId w15:val="{317921D3-4E0E-4B9E-884C-0FDF50F9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0516C"/>
    <w:pPr>
      <w:tabs>
        <w:tab w:val="center" w:pos="4536"/>
        <w:tab w:val="right" w:pos="9072"/>
      </w:tabs>
    </w:pPr>
  </w:style>
  <w:style w:type="paragraph" w:styleId="Zpat">
    <w:name w:val="footer"/>
    <w:basedOn w:val="Normln"/>
    <w:rsid w:val="0030516C"/>
    <w:pPr>
      <w:tabs>
        <w:tab w:val="center" w:pos="4536"/>
        <w:tab w:val="right" w:pos="9072"/>
      </w:tabs>
    </w:pPr>
  </w:style>
  <w:style w:type="table" w:styleId="Mkatabulky">
    <w:name w:val="Table Grid"/>
    <w:basedOn w:val="Normlntabulka"/>
    <w:rsid w:val="00305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DA6C33"/>
    <w:rPr>
      <w:color w:val="0000FF"/>
      <w:u w:val="single"/>
    </w:rPr>
  </w:style>
  <w:style w:type="character" w:styleId="Odkaznakoment">
    <w:name w:val="annotation reference"/>
    <w:semiHidden/>
    <w:rsid w:val="007E2D70"/>
    <w:rPr>
      <w:sz w:val="16"/>
      <w:szCs w:val="16"/>
    </w:rPr>
  </w:style>
  <w:style w:type="paragraph" w:styleId="Textkomente">
    <w:name w:val="annotation text"/>
    <w:basedOn w:val="Normln"/>
    <w:semiHidden/>
    <w:rsid w:val="007E2D70"/>
    <w:rPr>
      <w:sz w:val="20"/>
      <w:szCs w:val="20"/>
    </w:rPr>
  </w:style>
  <w:style w:type="paragraph" w:styleId="Pedmtkomente">
    <w:name w:val="annotation subject"/>
    <w:basedOn w:val="Textkomente"/>
    <w:next w:val="Textkomente"/>
    <w:semiHidden/>
    <w:rsid w:val="007E2D70"/>
    <w:rPr>
      <w:b/>
      <w:bCs/>
    </w:rPr>
  </w:style>
  <w:style w:type="paragraph" w:styleId="Textbubliny">
    <w:name w:val="Balloon Text"/>
    <w:basedOn w:val="Normln"/>
    <w:semiHidden/>
    <w:rsid w:val="007E2D70"/>
    <w:rPr>
      <w:rFonts w:ascii="Tahoma" w:hAnsi="Tahoma" w:cs="Tahoma"/>
      <w:sz w:val="16"/>
      <w:szCs w:val="16"/>
    </w:rPr>
  </w:style>
  <w:style w:type="character" w:styleId="slostrnky">
    <w:name w:val="page number"/>
    <w:basedOn w:val="Standardnpsmoodstavce"/>
    <w:rsid w:val="00F01EC0"/>
  </w:style>
  <w:style w:type="paragraph" w:styleId="Bezmezer">
    <w:name w:val="No Spacing"/>
    <w:uiPriority w:val="1"/>
    <w:qFormat/>
    <w:rsid w:val="006E076B"/>
    <w:rPr>
      <w:rFonts w:eastAsia="Calibri"/>
      <w:sz w:val="24"/>
      <w:szCs w:val="22"/>
      <w:lang w:eastAsia="en-US"/>
    </w:rPr>
  </w:style>
  <w:style w:type="paragraph" w:styleId="Odstavecseseznamem">
    <w:name w:val="List Paragraph"/>
    <w:basedOn w:val="Normln"/>
    <w:uiPriority w:val="34"/>
    <w:qFormat/>
    <w:rsid w:val="00B23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1128">
      <w:bodyDiv w:val="1"/>
      <w:marLeft w:val="0"/>
      <w:marRight w:val="0"/>
      <w:marTop w:val="0"/>
      <w:marBottom w:val="0"/>
      <w:divBdr>
        <w:top w:val="none" w:sz="0" w:space="0" w:color="auto"/>
        <w:left w:val="none" w:sz="0" w:space="0" w:color="auto"/>
        <w:bottom w:val="none" w:sz="0" w:space="0" w:color="auto"/>
        <w:right w:val="none" w:sz="0" w:space="0" w:color="auto"/>
      </w:divBdr>
    </w:div>
    <w:div w:id="10785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3476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Hlavičkový dopis</vt:lpstr>
    </vt:vector>
  </TitlesOfParts>
  <Company>SŠT Most</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dopis</dc:title>
  <dc:subject/>
  <dc:creator>Neubertová Hana</dc:creator>
  <cp:keywords/>
  <cp:lastModifiedBy>admin</cp:lastModifiedBy>
  <cp:revision>2</cp:revision>
  <cp:lastPrinted>2019-09-05T07:45:00Z</cp:lastPrinted>
  <dcterms:created xsi:type="dcterms:W3CDTF">2019-09-17T09:05:00Z</dcterms:created>
  <dcterms:modified xsi:type="dcterms:W3CDTF">2019-09-17T09:05:00Z</dcterms:modified>
</cp:coreProperties>
</file>