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74" w:rsidRPr="00A54E10" w:rsidRDefault="00783E74" w:rsidP="00783E74">
      <w:pPr>
        <w:pStyle w:val="hlavika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783E74" w:rsidRPr="00A54E10" w:rsidRDefault="00783E74" w:rsidP="00783E74">
      <w:pPr>
        <w:pStyle w:val="pole"/>
        <w:rPr>
          <w:b/>
        </w:rPr>
        <w:sectPr w:rsidR="00783E74" w:rsidRPr="00A54E10" w:rsidSect="00E04475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783E74" w:rsidRDefault="00783E74" w:rsidP="00783E74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>
        <w:t>prodávajícího</w:t>
      </w:r>
      <w:r w:rsidRPr="00F93A11">
        <w:t>:</w:t>
      </w:r>
      <w:r w:rsidR="000645FD">
        <w:t xml:space="preserve"> 19/SML2671/KSN/MAJ</w:t>
      </w:r>
      <w:r>
        <w:tab/>
      </w:r>
    </w:p>
    <w:p w:rsidR="00783E74" w:rsidRDefault="00783E74" w:rsidP="00783E74">
      <w:pPr>
        <w:pStyle w:val="pole"/>
        <w:tabs>
          <w:tab w:val="clear" w:pos="1701"/>
          <w:tab w:val="left" w:pos="2340"/>
        </w:tabs>
        <w:ind w:left="2340" w:hanging="2340"/>
      </w:pPr>
      <w:r w:rsidRPr="00F93A11">
        <w:t xml:space="preserve">Číslo </w:t>
      </w:r>
      <w:r>
        <w:t>kupujícího</w:t>
      </w:r>
      <w:r w:rsidRPr="00F93A11">
        <w:t>:</w:t>
      </w:r>
      <w:r>
        <w:tab/>
      </w:r>
    </w:p>
    <w:p w:rsidR="00783E74" w:rsidRPr="007B79A8" w:rsidRDefault="00783E74" w:rsidP="00783E74">
      <w:pPr>
        <w:pStyle w:val="przdndek"/>
      </w:pPr>
    </w:p>
    <w:p w:rsidR="00783E74" w:rsidRDefault="00783E74" w:rsidP="00783E74">
      <w:pPr>
        <w:pStyle w:val="nadpis-smlouva"/>
      </w:pPr>
      <w:r>
        <w:t>KUPNÍ Smlouva</w:t>
      </w:r>
      <w:r w:rsidR="00486D66">
        <w:t xml:space="preserve"> </w:t>
      </w:r>
    </w:p>
    <w:p w:rsidR="00783E74" w:rsidRDefault="00783E74" w:rsidP="00783E74">
      <w:pPr>
        <w:spacing w:after="0"/>
        <w:jc w:val="center"/>
      </w:pPr>
      <w:r w:rsidRPr="00A54E10">
        <w:t xml:space="preserve">uzavřená dle ustanovení § </w:t>
      </w:r>
      <w:r>
        <w:t xml:space="preserve">2079 a násl. </w:t>
      </w:r>
      <w:r w:rsidRPr="00A54E10">
        <w:t xml:space="preserve">zákona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 w:rsidR="0083429F">
        <w:t xml:space="preserve"> (dále jen „občanský zákoník“)</w:t>
      </w:r>
    </w:p>
    <w:p w:rsidR="00783E74" w:rsidRDefault="00783E74" w:rsidP="00783E74">
      <w:pPr>
        <w:pStyle w:val="nadpis-bod"/>
      </w:pPr>
      <w: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83E74" w:rsidRPr="004955F8" w:rsidTr="00474C0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83E74" w:rsidRPr="004955F8" w:rsidRDefault="00783E74" w:rsidP="00474C0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783E74" w:rsidRPr="004955F8" w:rsidRDefault="00783E74" w:rsidP="00474C0A">
            <w:pPr>
              <w:spacing w:after="0"/>
              <w:rPr>
                <w:rFonts w:cs="Arial"/>
              </w:rPr>
            </w:pPr>
          </w:p>
        </w:tc>
      </w:tr>
      <w:tr w:rsidR="00783E74" w:rsidRPr="004955F8" w:rsidTr="00474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0"/>
        </w:trPr>
        <w:tc>
          <w:tcPr>
            <w:tcW w:w="9212" w:type="dxa"/>
            <w:gridSpan w:val="2"/>
          </w:tcPr>
          <w:p w:rsidR="00783E74" w:rsidRPr="00C67135" w:rsidRDefault="00783E74" w:rsidP="00474C0A">
            <w:pPr>
              <w:spacing w:after="0"/>
              <w:outlineLvl w:val="0"/>
              <w:rPr>
                <w:rFonts w:eastAsia="Times New Roman" w:cs="Arial"/>
                <w:b/>
                <w:lang w:eastAsia="cs-CZ"/>
              </w:rPr>
            </w:pPr>
            <w:r w:rsidRPr="00C67135">
              <w:rPr>
                <w:rFonts w:eastAsia="Times New Roman" w:cs="Arial"/>
                <w:b/>
                <w:lang w:eastAsia="cs-CZ"/>
              </w:rPr>
              <w:t>Ústecký kraj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se sídlem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>:  Velká Hradební 3118/48, 400 02 Ústí nad Labem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zastoupený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>:  Oldřichem Bubeníčkem, hejtmanem Ústeckého kraje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IČ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>:  70892156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DIČ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>:  CZ70892156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Bankovní spojení</w:t>
            </w:r>
            <w:r w:rsidRPr="00C67135">
              <w:rPr>
                <w:rFonts w:eastAsia="Times New Roman" w:cs="Arial"/>
                <w:lang w:eastAsia="cs-CZ"/>
              </w:rPr>
              <w:tab/>
              <w:t>:  Česká spořitelna, a. s.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 xml:space="preserve"> 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  </w:t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   číslo účtu: 882733379/0800, VS  4</w:t>
            </w:r>
            <w:r w:rsidR="001409B7">
              <w:rPr>
                <w:rFonts w:eastAsia="Times New Roman" w:cs="Arial"/>
                <w:lang w:eastAsia="cs-CZ"/>
              </w:rPr>
              <w:t>59</w:t>
            </w:r>
            <w:bookmarkStart w:id="0" w:name="_GoBack"/>
            <w:bookmarkEnd w:id="0"/>
          </w:p>
          <w:p w:rsidR="00783E74" w:rsidRPr="00C67135" w:rsidRDefault="00783E74" w:rsidP="00474C0A">
            <w:pPr>
              <w:spacing w:after="0"/>
              <w:ind w:left="540"/>
              <w:outlineLvl w:val="0"/>
              <w:rPr>
                <w:rFonts w:eastAsia="Times New Roman" w:cs="Arial"/>
                <w:u w:val="single"/>
                <w:lang w:eastAsia="cs-CZ"/>
              </w:rPr>
            </w:pPr>
            <w:r w:rsidRPr="00C67135">
              <w:rPr>
                <w:rFonts w:eastAsia="Times New Roman" w:cs="Arial"/>
                <w:u w:val="single"/>
                <w:lang w:eastAsia="cs-CZ"/>
              </w:rPr>
              <w:t>Zástupce pro věcná jednání: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Mgr. Ing. Jindřich Šimák, vedoucí odboru majetkového Krajského úřadu Ústeckého kraje</w:t>
            </w:r>
          </w:p>
          <w:p w:rsidR="00783E74" w:rsidRPr="00C67135" w:rsidRDefault="00783E74" w:rsidP="00474C0A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 xml:space="preserve">telefon, </w:t>
            </w:r>
            <w:proofErr w:type="gramStart"/>
            <w:r w:rsidRPr="00C67135">
              <w:rPr>
                <w:rFonts w:eastAsia="Times New Roman" w:cs="Arial"/>
                <w:lang w:eastAsia="cs-CZ"/>
              </w:rPr>
              <w:t>fax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>:  475 657 407</w:t>
            </w:r>
            <w:proofErr w:type="gramEnd"/>
            <w:r w:rsidRPr="00C67135">
              <w:rPr>
                <w:rFonts w:eastAsia="Times New Roman" w:cs="Arial"/>
                <w:lang w:eastAsia="cs-CZ"/>
              </w:rPr>
              <w:t>, 475 200 245</w:t>
            </w:r>
          </w:p>
          <w:p w:rsidR="00783E74" w:rsidRPr="002A5DA8" w:rsidRDefault="00783E74" w:rsidP="00474C0A">
            <w:pPr>
              <w:tabs>
                <w:tab w:val="left" w:pos="567"/>
              </w:tabs>
              <w:spacing w:after="0"/>
              <w:outlineLvl w:val="0"/>
              <w:rPr>
                <w:rFonts w:eastAsia="Times New Roman" w:cs="Arial"/>
                <w:lang w:eastAsia="cs-CZ"/>
              </w:rPr>
            </w:pPr>
            <w:r w:rsidRPr="002A5DA8">
              <w:rPr>
                <w:rFonts w:eastAsia="Times New Roman" w:cs="Arial"/>
                <w:lang w:eastAsia="cs-CZ"/>
              </w:rPr>
              <w:tab/>
              <w:t>e-mail</w:t>
            </w:r>
            <w:r w:rsidRPr="002A5DA8">
              <w:rPr>
                <w:rFonts w:eastAsia="Times New Roman" w:cs="Arial"/>
                <w:lang w:eastAsia="cs-CZ"/>
              </w:rPr>
              <w:tab/>
            </w:r>
            <w:r w:rsidRPr="002A5DA8">
              <w:rPr>
                <w:rFonts w:eastAsia="Times New Roman" w:cs="Arial"/>
                <w:lang w:eastAsia="cs-CZ"/>
              </w:rPr>
              <w:tab/>
            </w:r>
            <w:r w:rsidRPr="002A5DA8">
              <w:rPr>
                <w:rFonts w:eastAsia="Times New Roman" w:cs="Arial"/>
                <w:lang w:eastAsia="cs-CZ"/>
              </w:rPr>
              <w:tab/>
              <w:t xml:space="preserve">:  </w:t>
            </w:r>
            <w:hyperlink r:id="rId14" w:history="1">
              <w:r w:rsidRPr="002A5DA8">
                <w:rPr>
                  <w:rFonts w:eastAsia="Times New Roman" w:cs="Arial"/>
                  <w:lang w:eastAsia="cs-CZ"/>
                </w:rPr>
                <w:t>simak.j@kr-ustecky.cz</w:t>
              </w:r>
            </w:hyperlink>
          </w:p>
          <w:p w:rsidR="00FF4094" w:rsidRPr="002A5DA8" w:rsidRDefault="00FF4094" w:rsidP="00474C0A">
            <w:pPr>
              <w:tabs>
                <w:tab w:val="left" w:pos="567"/>
              </w:tabs>
              <w:spacing w:after="0"/>
              <w:outlineLvl w:val="0"/>
              <w:rPr>
                <w:rFonts w:eastAsia="Times New Roman" w:cs="Arial"/>
                <w:lang w:eastAsia="cs-CZ"/>
              </w:rPr>
            </w:pPr>
            <w:r w:rsidRPr="002A5DA8">
              <w:rPr>
                <w:rFonts w:eastAsia="Times New Roman" w:cs="Arial"/>
                <w:lang w:eastAsia="cs-CZ"/>
              </w:rPr>
              <w:t xml:space="preserve">         datová </w:t>
            </w:r>
            <w:proofErr w:type="gramStart"/>
            <w:r w:rsidRPr="002A5DA8">
              <w:rPr>
                <w:rFonts w:eastAsia="Times New Roman" w:cs="Arial"/>
                <w:lang w:eastAsia="cs-CZ"/>
              </w:rPr>
              <w:t xml:space="preserve">schránka           :  </w:t>
            </w:r>
            <w:r w:rsidR="002A5DA8" w:rsidRPr="002A5DA8">
              <w:rPr>
                <w:rFonts w:eastAsia="Times New Roman" w:cs="Arial"/>
                <w:lang w:eastAsia="cs-CZ"/>
              </w:rPr>
              <w:t>t9zbsva</w:t>
            </w:r>
            <w:proofErr w:type="gramEnd"/>
            <w:r w:rsidRPr="002A5DA8">
              <w:rPr>
                <w:rFonts w:eastAsia="Times New Roman" w:cs="Arial"/>
                <w:lang w:eastAsia="cs-CZ"/>
              </w:rPr>
              <w:t xml:space="preserve"> </w:t>
            </w:r>
          </w:p>
          <w:p w:rsidR="00783E74" w:rsidRPr="004955F8" w:rsidRDefault="00783E74" w:rsidP="002A5DA8">
            <w:pPr>
              <w:rPr>
                <w:rFonts w:cs="Arial"/>
              </w:rPr>
            </w:pPr>
            <w:r w:rsidRPr="004955F8">
              <w:rPr>
                <w:rFonts w:cs="Arial"/>
                <w:i/>
              </w:rPr>
              <w:t xml:space="preserve"> (dále jen „</w:t>
            </w:r>
            <w:r>
              <w:rPr>
                <w:rFonts w:cs="Arial"/>
                <w:i/>
              </w:rPr>
              <w:t>prodávající</w:t>
            </w:r>
            <w:r w:rsidRPr="004955F8">
              <w:rPr>
                <w:rFonts w:cs="Arial"/>
                <w:i/>
              </w:rPr>
              <w:t>“)</w:t>
            </w:r>
          </w:p>
        </w:tc>
      </w:tr>
    </w:tbl>
    <w:p w:rsidR="00783E74" w:rsidRDefault="00783E74" w:rsidP="00783E74">
      <w:pPr>
        <w:rPr>
          <w:rFonts w:cs="Arial"/>
        </w:rPr>
      </w:pPr>
      <w:r>
        <w:rPr>
          <w:rFonts w:cs="Arial"/>
        </w:rPr>
        <w:t>a</w:t>
      </w:r>
    </w:p>
    <w:p w:rsidR="00783E74" w:rsidRPr="001576AD" w:rsidRDefault="00783E74" w:rsidP="00783E74">
      <w:pPr>
        <w:spacing w:after="0"/>
        <w:jc w:val="both"/>
        <w:rPr>
          <w:rFonts w:cs="Arial"/>
          <w:b/>
        </w:rPr>
      </w:pPr>
      <w:r w:rsidRPr="001576AD">
        <w:rPr>
          <w:rFonts w:cs="Arial"/>
          <w:b/>
        </w:rPr>
        <w:t>Kupující: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3E74" w:rsidRPr="004955F8" w:rsidTr="00474C0A">
        <w:trPr>
          <w:trHeight w:val="1265"/>
        </w:trPr>
        <w:tc>
          <w:tcPr>
            <w:tcW w:w="9212" w:type="dxa"/>
          </w:tcPr>
          <w:p w:rsidR="00783E74" w:rsidRPr="008054BE" w:rsidRDefault="00FF4094" w:rsidP="00474C0A">
            <w:pPr>
              <w:tabs>
                <w:tab w:val="left" w:pos="567"/>
                <w:tab w:val="left" w:pos="3420"/>
              </w:tabs>
              <w:spacing w:after="120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Obec Hřensko</w:t>
            </w:r>
          </w:p>
          <w:p w:rsidR="00C76521" w:rsidRPr="00C67135" w:rsidRDefault="00C76521" w:rsidP="00C76521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se sídlem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:  </w:t>
            </w:r>
            <w:r w:rsidR="00FF4094" w:rsidRPr="00FF4094">
              <w:rPr>
                <w:rFonts w:eastAsia="Times New Roman" w:cs="Arial"/>
                <w:lang w:eastAsia="cs-CZ"/>
              </w:rPr>
              <w:t>407 17 Hřensko 71</w:t>
            </w:r>
          </w:p>
          <w:p w:rsidR="00C76521" w:rsidRPr="00C67135" w:rsidRDefault="00C76521" w:rsidP="00C76521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zastoupen</w:t>
            </w:r>
            <w:r w:rsidR="008C73B3">
              <w:rPr>
                <w:rFonts w:eastAsia="Times New Roman" w:cs="Arial"/>
                <w:lang w:eastAsia="cs-CZ"/>
              </w:rPr>
              <w:t>á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:  </w:t>
            </w:r>
            <w:r w:rsidR="00FF4094" w:rsidRPr="00FF4094">
              <w:rPr>
                <w:rStyle w:val="Siln"/>
                <w:b w:val="0"/>
              </w:rPr>
              <w:t>JUDr. Zdeňkem Pánkem</w:t>
            </w:r>
            <w:r w:rsidR="00FF4094" w:rsidRPr="00FF4094">
              <w:rPr>
                <w:b/>
              </w:rPr>
              <w:t>,</w:t>
            </w:r>
            <w:r w:rsidR="00FF4094">
              <w:t xml:space="preserve"> </w:t>
            </w:r>
            <w:r w:rsidR="009851CD">
              <w:rPr>
                <w:rFonts w:eastAsia="Times New Roman" w:cs="Arial"/>
                <w:lang w:eastAsia="cs-CZ"/>
              </w:rPr>
              <w:t xml:space="preserve">starostou </w:t>
            </w:r>
            <w:r w:rsidR="00FF4094">
              <w:rPr>
                <w:rFonts w:eastAsia="Times New Roman" w:cs="Arial"/>
                <w:lang w:eastAsia="cs-CZ"/>
              </w:rPr>
              <w:t>obce</w:t>
            </w:r>
          </w:p>
          <w:p w:rsidR="00C76521" w:rsidRPr="00C67135" w:rsidRDefault="00C76521" w:rsidP="00C76521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IČ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:  </w:t>
            </w:r>
            <w:r w:rsidR="001E13CE">
              <w:t>00261</w:t>
            </w:r>
            <w:r w:rsidR="00FF4094">
              <w:t>351</w:t>
            </w:r>
          </w:p>
          <w:p w:rsidR="00C76521" w:rsidRPr="00C67135" w:rsidRDefault="00C76521" w:rsidP="00C76521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DIČ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:  </w:t>
            </w:r>
            <w:r w:rsidR="001E13CE">
              <w:rPr>
                <w:rFonts w:eastAsia="Times New Roman" w:cs="Arial"/>
                <w:lang w:eastAsia="cs-CZ"/>
              </w:rPr>
              <w:t>CZ00261351</w:t>
            </w:r>
          </w:p>
          <w:p w:rsidR="00C76521" w:rsidRPr="00C67135" w:rsidRDefault="00C76521" w:rsidP="00C76521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>Bankovní spojení</w:t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:  </w:t>
            </w:r>
            <w:r w:rsidR="001E13CE">
              <w:rPr>
                <w:rFonts w:eastAsia="Times New Roman" w:cs="Arial"/>
                <w:lang w:eastAsia="cs-CZ"/>
              </w:rPr>
              <w:t>Komerční banka, a. s.</w:t>
            </w:r>
          </w:p>
          <w:p w:rsidR="00C76521" w:rsidRPr="00C67135" w:rsidRDefault="00C76521" w:rsidP="00C76521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 xml:space="preserve"> 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  </w:t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   číslo účtu: </w:t>
            </w:r>
            <w:r w:rsidR="001E13CE">
              <w:rPr>
                <w:rFonts w:eastAsia="Times New Roman" w:cs="Arial"/>
                <w:lang w:eastAsia="cs-CZ"/>
              </w:rPr>
              <w:t>43-8645470217/0100</w:t>
            </w:r>
          </w:p>
          <w:p w:rsidR="009851CD" w:rsidRPr="008A0C2A" w:rsidRDefault="00C76521" w:rsidP="008A0C2A">
            <w:pPr>
              <w:spacing w:after="0"/>
              <w:ind w:left="540"/>
              <w:outlineLvl w:val="0"/>
              <w:rPr>
                <w:rFonts w:eastAsia="Times New Roman" w:cs="Arial"/>
                <w:u w:val="single"/>
                <w:lang w:eastAsia="cs-CZ"/>
              </w:rPr>
            </w:pPr>
            <w:r w:rsidRPr="00C67135">
              <w:rPr>
                <w:rFonts w:eastAsia="Times New Roman" w:cs="Arial"/>
                <w:u w:val="single"/>
                <w:lang w:eastAsia="cs-CZ"/>
              </w:rPr>
              <w:t>Zástupce pro věcná jednání:</w:t>
            </w:r>
          </w:p>
          <w:p w:rsidR="00C76521" w:rsidRPr="00C67135" w:rsidRDefault="00C76521" w:rsidP="00C76521">
            <w:pPr>
              <w:spacing w:after="0"/>
              <w:ind w:left="54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 xml:space="preserve">telefon, </w:t>
            </w:r>
            <w:proofErr w:type="gramStart"/>
            <w:r w:rsidRPr="00C67135">
              <w:rPr>
                <w:rFonts w:eastAsia="Times New Roman" w:cs="Arial"/>
                <w:lang w:eastAsia="cs-CZ"/>
              </w:rPr>
              <w:t>fax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:  </w:t>
            </w:r>
            <w:r w:rsidR="001E13CE">
              <w:rPr>
                <w:rFonts w:eastAsia="Times New Roman" w:cs="Arial"/>
                <w:lang w:eastAsia="cs-CZ"/>
              </w:rPr>
              <w:t>412 554 021</w:t>
            </w:r>
            <w:proofErr w:type="gramEnd"/>
          </w:p>
          <w:p w:rsidR="00C76521" w:rsidRDefault="00C76521" w:rsidP="00C76521">
            <w:pPr>
              <w:tabs>
                <w:tab w:val="left" w:pos="567"/>
              </w:tabs>
              <w:spacing w:after="0"/>
              <w:outlineLvl w:val="0"/>
              <w:rPr>
                <w:rFonts w:eastAsia="Times New Roman" w:cs="Arial"/>
                <w:lang w:eastAsia="cs-CZ"/>
              </w:rPr>
            </w:pPr>
            <w:r w:rsidRPr="00C67135">
              <w:rPr>
                <w:rFonts w:eastAsia="Times New Roman" w:cs="Arial"/>
                <w:lang w:eastAsia="cs-CZ"/>
              </w:rPr>
              <w:tab/>
              <w:t>e-mail</w:t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</w:r>
            <w:r w:rsidRPr="00C67135">
              <w:rPr>
                <w:rFonts w:eastAsia="Times New Roman" w:cs="Arial"/>
                <w:lang w:eastAsia="cs-CZ"/>
              </w:rPr>
              <w:tab/>
              <w:t xml:space="preserve">:  </w:t>
            </w:r>
            <w:r w:rsidR="001E13CE">
              <w:rPr>
                <w:rFonts w:eastAsia="Times New Roman" w:cs="Arial"/>
                <w:lang w:eastAsia="cs-CZ"/>
              </w:rPr>
              <w:t>urad</w:t>
            </w:r>
            <w:r w:rsidR="001E13CE" w:rsidRPr="001E13CE">
              <w:rPr>
                <w:rFonts w:eastAsia="Times New Roman" w:cs="Arial"/>
                <w:lang w:eastAsia="cs-CZ"/>
              </w:rPr>
              <w:t>@</w:t>
            </w:r>
            <w:r w:rsidR="001E13CE">
              <w:rPr>
                <w:rFonts w:eastAsia="Times New Roman" w:cs="Arial"/>
                <w:lang w:eastAsia="cs-CZ"/>
              </w:rPr>
              <w:t>hrensko.cz</w:t>
            </w:r>
          </w:p>
          <w:p w:rsidR="00FF4094" w:rsidRPr="00C67135" w:rsidRDefault="00FF4094" w:rsidP="00C76521">
            <w:pPr>
              <w:tabs>
                <w:tab w:val="left" w:pos="567"/>
              </w:tabs>
              <w:spacing w:after="0"/>
              <w:outlineLvl w:val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         datová </w:t>
            </w:r>
            <w:proofErr w:type="gramStart"/>
            <w:r>
              <w:rPr>
                <w:rFonts w:eastAsia="Times New Roman" w:cs="Arial"/>
                <w:lang w:eastAsia="cs-CZ"/>
              </w:rPr>
              <w:t xml:space="preserve">schránka           : </w:t>
            </w:r>
            <w:r>
              <w:t>y4rbg7d</w:t>
            </w:r>
            <w:proofErr w:type="gramEnd"/>
          </w:p>
          <w:p w:rsidR="00C76521" w:rsidRDefault="00C76521" w:rsidP="00C76521">
            <w:pPr>
              <w:tabs>
                <w:tab w:val="left" w:pos="567"/>
                <w:tab w:val="left" w:pos="3420"/>
              </w:tabs>
              <w:spacing w:after="120"/>
              <w:rPr>
                <w:rFonts w:eastAsia="Times New Roman" w:cs="Arial"/>
                <w:b/>
                <w:highlight w:val="yellow"/>
                <w:lang w:eastAsia="cs-CZ"/>
              </w:rPr>
            </w:pPr>
            <w:r w:rsidRPr="004955F8">
              <w:rPr>
                <w:rFonts w:cs="Arial"/>
                <w:i/>
              </w:rPr>
              <w:t xml:space="preserve"> (dále jen „</w:t>
            </w:r>
            <w:proofErr w:type="gramStart"/>
            <w:r>
              <w:rPr>
                <w:rFonts w:cs="Arial"/>
                <w:i/>
              </w:rPr>
              <w:t>kupující</w:t>
            </w:r>
            <w:r w:rsidRPr="004955F8">
              <w:rPr>
                <w:rFonts w:cs="Arial"/>
                <w:i/>
              </w:rPr>
              <w:t>“</w:t>
            </w:r>
            <w:r w:rsidR="00A71C63">
              <w:rPr>
                <w:rFonts w:cs="Arial"/>
                <w:i/>
              </w:rPr>
              <w:t xml:space="preserve"> </w:t>
            </w:r>
            <w:r w:rsidRPr="004955F8">
              <w:rPr>
                <w:rFonts w:cs="Arial"/>
                <w:i/>
              </w:rPr>
              <w:t>)</w:t>
            </w:r>
            <w:proofErr w:type="gramEnd"/>
          </w:p>
          <w:p w:rsidR="00783E74" w:rsidRPr="004955F8" w:rsidRDefault="00783E74" w:rsidP="00474C0A">
            <w:pPr>
              <w:rPr>
                <w:rFonts w:cs="Arial"/>
              </w:rPr>
            </w:pPr>
          </w:p>
        </w:tc>
      </w:tr>
      <w:tr w:rsidR="00783E74" w:rsidRPr="004955F8" w:rsidTr="00474C0A">
        <w:tc>
          <w:tcPr>
            <w:tcW w:w="9212" w:type="dxa"/>
          </w:tcPr>
          <w:p w:rsidR="00783E74" w:rsidRDefault="00783E74" w:rsidP="00474C0A">
            <w:pPr>
              <w:widowControl w:val="0"/>
              <w:autoSpaceDE w:val="0"/>
              <w:autoSpaceDN w:val="0"/>
              <w:adjustRightInd w:val="0"/>
              <w:spacing w:before="100" w:after="100"/>
            </w:pPr>
            <w:r w:rsidRPr="002C33DD">
              <w:t>uzavírají níže uv</w:t>
            </w:r>
            <w:r>
              <w:t>edeného dne, měsíce a roku tuto</w:t>
            </w:r>
          </w:p>
          <w:p w:rsidR="001E13CE" w:rsidRDefault="001E13CE" w:rsidP="00474C0A">
            <w:pPr>
              <w:widowControl w:val="0"/>
              <w:autoSpaceDE w:val="0"/>
              <w:autoSpaceDN w:val="0"/>
              <w:adjustRightInd w:val="0"/>
              <w:spacing w:before="100" w:after="100"/>
            </w:pPr>
          </w:p>
          <w:p w:rsidR="00783E74" w:rsidRPr="002A5DA8" w:rsidRDefault="00783E74" w:rsidP="001E13CE">
            <w:pPr>
              <w:pStyle w:val="nadpis-smlouva"/>
            </w:pPr>
            <w:r>
              <w:t>kupní SmlouvU</w:t>
            </w:r>
          </w:p>
        </w:tc>
      </w:tr>
    </w:tbl>
    <w:p w:rsidR="00E926EA" w:rsidRPr="00E926EA" w:rsidRDefault="00E926EA" w:rsidP="004A4798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I.</w:t>
      </w:r>
    </w:p>
    <w:p w:rsidR="00E926EA" w:rsidRPr="00E926EA" w:rsidRDefault="00E926EA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 xml:space="preserve">Předmět </w:t>
      </w:r>
      <w:r w:rsidR="00C30301">
        <w:rPr>
          <w:rFonts w:cs="Arial"/>
          <w:b/>
        </w:rPr>
        <w:t>koupě</w:t>
      </w:r>
    </w:p>
    <w:p w:rsidR="00E926EA" w:rsidRDefault="00ED2102" w:rsidP="00911F56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11F56">
        <w:rPr>
          <w:rFonts w:ascii="Arial" w:hAnsi="Arial" w:cs="Arial"/>
          <w:sz w:val="22"/>
          <w:szCs w:val="22"/>
        </w:rPr>
        <w:tab/>
      </w:r>
      <w:r w:rsidR="00C30301" w:rsidRPr="00C63A07">
        <w:rPr>
          <w:rFonts w:ascii="Arial" w:hAnsi="Arial" w:cs="Arial"/>
          <w:sz w:val="22"/>
          <w:szCs w:val="22"/>
        </w:rPr>
        <w:t>Prodávající</w:t>
      </w:r>
      <w:r w:rsidR="00C63A07" w:rsidRPr="00C63A07">
        <w:rPr>
          <w:rFonts w:ascii="Arial" w:hAnsi="Arial" w:cs="Arial"/>
          <w:sz w:val="22"/>
          <w:szCs w:val="22"/>
        </w:rPr>
        <w:t xml:space="preserve"> je vlastníkem t</w:t>
      </w:r>
      <w:r w:rsidR="008B0F4C">
        <w:rPr>
          <w:rFonts w:ascii="Arial" w:hAnsi="Arial" w:cs="Arial"/>
          <w:sz w:val="22"/>
          <w:szCs w:val="22"/>
        </w:rPr>
        <w:t>ěchto</w:t>
      </w:r>
      <w:r w:rsidR="00E926EA" w:rsidRPr="00C63A07">
        <w:rPr>
          <w:rFonts w:ascii="Arial" w:hAnsi="Arial" w:cs="Arial"/>
          <w:sz w:val="22"/>
          <w:szCs w:val="22"/>
        </w:rPr>
        <w:t xml:space="preserve"> </w:t>
      </w:r>
      <w:r w:rsidR="00E867E3" w:rsidRPr="00C63A07">
        <w:rPr>
          <w:rFonts w:ascii="Arial" w:hAnsi="Arial" w:cs="Arial"/>
          <w:sz w:val="22"/>
          <w:szCs w:val="22"/>
        </w:rPr>
        <w:t>nemovit</w:t>
      </w:r>
      <w:r w:rsidR="008B0F4C">
        <w:rPr>
          <w:rFonts w:ascii="Arial" w:hAnsi="Arial" w:cs="Arial"/>
          <w:sz w:val="22"/>
          <w:szCs w:val="22"/>
        </w:rPr>
        <w:t>ých</w:t>
      </w:r>
      <w:r w:rsidR="00E867E3" w:rsidRPr="00C63A07">
        <w:rPr>
          <w:rFonts w:ascii="Arial" w:hAnsi="Arial" w:cs="Arial"/>
          <w:sz w:val="22"/>
          <w:szCs w:val="22"/>
        </w:rPr>
        <w:t xml:space="preserve"> věc</w:t>
      </w:r>
      <w:r w:rsidR="008B0F4C">
        <w:rPr>
          <w:rFonts w:ascii="Arial" w:hAnsi="Arial" w:cs="Arial"/>
          <w:sz w:val="22"/>
          <w:szCs w:val="22"/>
        </w:rPr>
        <w:t>í</w:t>
      </w:r>
      <w:r w:rsidR="00E926EA" w:rsidRPr="00C63A07">
        <w:rPr>
          <w:rFonts w:ascii="Arial" w:hAnsi="Arial" w:cs="Arial"/>
          <w:sz w:val="22"/>
          <w:szCs w:val="22"/>
        </w:rPr>
        <w:t>:</w:t>
      </w:r>
    </w:p>
    <w:p w:rsidR="00C63A07" w:rsidRPr="00C63A07" w:rsidRDefault="00C63A07" w:rsidP="00C63A07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911F56" w:rsidRDefault="00911F56" w:rsidP="00911F56">
      <w:pPr>
        <w:pStyle w:val="Zkladntext"/>
        <w:ind w:left="705" w:hanging="345"/>
        <w:rPr>
          <w:rFonts w:ascii="Arial" w:hAnsi="Arial" w:cs="Arial"/>
          <w:sz w:val="22"/>
          <w:szCs w:val="22"/>
        </w:rPr>
      </w:pPr>
      <w:r w:rsidRPr="00E0743F">
        <w:rPr>
          <w:rFonts w:ascii="Arial" w:hAnsi="Arial" w:cs="Arial"/>
          <w:b/>
          <w:sz w:val="22"/>
          <w:szCs w:val="22"/>
        </w:rPr>
        <w:t>-</w:t>
      </w:r>
      <w:r w:rsidRPr="00E0743F">
        <w:rPr>
          <w:rFonts w:ascii="Arial" w:hAnsi="Arial" w:cs="Arial"/>
          <w:b/>
          <w:sz w:val="22"/>
          <w:szCs w:val="22"/>
        </w:rPr>
        <w:tab/>
        <w:t xml:space="preserve">pozemek: </w:t>
      </w:r>
      <w:r w:rsidR="00C970BE">
        <w:rPr>
          <w:rFonts w:ascii="Arial" w:hAnsi="Arial" w:cs="Arial"/>
          <w:b/>
          <w:sz w:val="22"/>
          <w:szCs w:val="22"/>
        </w:rPr>
        <w:t>st.</w:t>
      </w:r>
      <w:r w:rsidR="0081257C">
        <w:rPr>
          <w:rFonts w:ascii="Arial" w:hAnsi="Arial" w:cs="Arial"/>
          <w:b/>
          <w:sz w:val="22"/>
          <w:szCs w:val="22"/>
        </w:rPr>
        <w:t xml:space="preserve"> 4</w:t>
      </w:r>
      <w:r w:rsidRPr="00E0743F">
        <w:rPr>
          <w:rFonts w:ascii="Arial" w:hAnsi="Arial" w:cs="Arial"/>
          <w:b/>
          <w:sz w:val="22"/>
          <w:szCs w:val="22"/>
        </w:rPr>
        <w:t xml:space="preserve"> o výměře </w:t>
      </w:r>
      <w:r w:rsidR="0081257C">
        <w:rPr>
          <w:rFonts w:ascii="Arial" w:hAnsi="Arial" w:cs="Arial"/>
          <w:b/>
          <w:sz w:val="22"/>
          <w:szCs w:val="22"/>
        </w:rPr>
        <w:t>939</w:t>
      </w:r>
      <w:r w:rsidRPr="00E0743F">
        <w:rPr>
          <w:rFonts w:ascii="Arial" w:hAnsi="Arial" w:cs="Arial"/>
          <w:b/>
          <w:sz w:val="22"/>
          <w:szCs w:val="22"/>
        </w:rPr>
        <w:t xml:space="preserve"> m</w:t>
      </w:r>
      <w:r w:rsidRPr="00E0743F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E0743F">
        <w:rPr>
          <w:rFonts w:ascii="Arial" w:hAnsi="Arial" w:cs="Arial"/>
          <w:b/>
          <w:sz w:val="22"/>
          <w:szCs w:val="22"/>
        </w:rPr>
        <w:t xml:space="preserve">, </w:t>
      </w:r>
      <w:r w:rsidRPr="0089794F">
        <w:rPr>
          <w:rFonts w:ascii="Arial" w:hAnsi="Arial" w:cs="Arial"/>
          <w:sz w:val="22"/>
          <w:szCs w:val="22"/>
        </w:rPr>
        <w:t xml:space="preserve">druh pozemku: </w:t>
      </w:r>
      <w:r>
        <w:rPr>
          <w:rFonts w:ascii="Arial" w:hAnsi="Arial" w:cs="Arial"/>
          <w:sz w:val="22"/>
          <w:szCs w:val="22"/>
        </w:rPr>
        <w:t>zastavěná plocha a nádvoří</w:t>
      </w:r>
    </w:p>
    <w:p w:rsidR="00911F56" w:rsidRDefault="00911F56" w:rsidP="00911F56">
      <w:pPr>
        <w:pStyle w:val="Zkladntext"/>
        <w:ind w:left="705" w:hanging="34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Součástí je stavba: </w:t>
      </w:r>
      <w:r w:rsidR="0081257C">
        <w:rPr>
          <w:rFonts w:ascii="Arial" w:hAnsi="Arial" w:cs="Arial"/>
          <w:b/>
          <w:sz w:val="22"/>
          <w:szCs w:val="22"/>
        </w:rPr>
        <w:t>Hřensko</w:t>
      </w:r>
      <w:r>
        <w:rPr>
          <w:rFonts w:ascii="Arial" w:hAnsi="Arial" w:cs="Arial"/>
          <w:b/>
          <w:sz w:val="22"/>
          <w:szCs w:val="22"/>
        </w:rPr>
        <w:t xml:space="preserve">, č. p. </w:t>
      </w:r>
      <w:r w:rsidR="0081257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81257C">
        <w:rPr>
          <w:rFonts w:ascii="Arial" w:hAnsi="Arial" w:cs="Arial"/>
          <w:b/>
          <w:sz w:val="22"/>
          <w:szCs w:val="22"/>
        </w:rPr>
        <w:t>bydlení</w:t>
      </w:r>
      <w:r w:rsidR="00DD2D48">
        <w:rPr>
          <w:rFonts w:ascii="Arial" w:hAnsi="Arial" w:cs="Arial"/>
          <w:b/>
          <w:sz w:val="22"/>
          <w:szCs w:val="22"/>
        </w:rPr>
        <w:t>,</w:t>
      </w:r>
    </w:p>
    <w:p w:rsidR="00DD2D48" w:rsidRDefault="00DD2D48" w:rsidP="00DD2D48">
      <w:pPr>
        <w:pStyle w:val="Zkladntext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Stavba stojí na pozemku st. 4</w:t>
      </w:r>
    </w:p>
    <w:p w:rsidR="00911F56" w:rsidRDefault="00911F56" w:rsidP="00911F56">
      <w:pPr>
        <w:pStyle w:val="Zkladntext"/>
        <w:ind w:left="705" w:hanging="345"/>
        <w:rPr>
          <w:rFonts w:ascii="Arial" w:hAnsi="Arial" w:cs="Arial"/>
          <w:sz w:val="22"/>
          <w:szCs w:val="22"/>
        </w:rPr>
      </w:pPr>
      <w:r w:rsidRPr="00E0743F">
        <w:rPr>
          <w:rFonts w:ascii="Arial" w:hAnsi="Arial" w:cs="Arial"/>
          <w:b/>
          <w:sz w:val="22"/>
          <w:szCs w:val="22"/>
        </w:rPr>
        <w:t>-</w:t>
      </w:r>
      <w:r w:rsidRPr="00E0743F">
        <w:rPr>
          <w:rFonts w:ascii="Arial" w:hAnsi="Arial" w:cs="Arial"/>
          <w:b/>
          <w:sz w:val="22"/>
          <w:szCs w:val="22"/>
        </w:rPr>
        <w:tab/>
        <w:t xml:space="preserve">pozemek: p. č. </w:t>
      </w:r>
      <w:r w:rsidR="0081257C">
        <w:rPr>
          <w:rFonts w:ascii="Arial" w:hAnsi="Arial" w:cs="Arial"/>
          <w:b/>
          <w:sz w:val="22"/>
          <w:szCs w:val="22"/>
        </w:rPr>
        <w:t>293</w:t>
      </w:r>
      <w:r w:rsidRPr="00E0743F">
        <w:rPr>
          <w:rFonts w:ascii="Arial" w:hAnsi="Arial" w:cs="Arial"/>
          <w:b/>
          <w:sz w:val="22"/>
          <w:szCs w:val="22"/>
        </w:rPr>
        <w:t xml:space="preserve"> o výměře </w:t>
      </w:r>
      <w:r w:rsidR="0081257C">
        <w:rPr>
          <w:rFonts w:ascii="Arial" w:hAnsi="Arial" w:cs="Arial"/>
          <w:b/>
          <w:sz w:val="22"/>
          <w:szCs w:val="22"/>
        </w:rPr>
        <w:t xml:space="preserve">111 </w:t>
      </w:r>
      <w:r w:rsidRPr="00E0743F">
        <w:rPr>
          <w:rFonts w:ascii="Arial" w:hAnsi="Arial" w:cs="Arial"/>
          <w:b/>
          <w:sz w:val="22"/>
          <w:szCs w:val="22"/>
        </w:rPr>
        <w:t>m</w:t>
      </w:r>
      <w:r w:rsidRPr="00E0743F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E0743F">
        <w:rPr>
          <w:rFonts w:ascii="Arial" w:hAnsi="Arial" w:cs="Arial"/>
          <w:b/>
          <w:sz w:val="22"/>
          <w:szCs w:val="22"/>
        </w:rPr>
        <w:t xml:space="preserve">, </w:t>
      </w:r>
      <w:r w:rsidRPr="0089794F">
        <w:rPr>
          <w:rFonts w:ascii="Arial" w:hAnsi="Arial" w:cs="Arial"/>
          <w:sz w:val="22"/>
          <w:szCs w:val="22"/>
        </w:rPr>
        <w:t xml:space="preserve">druh pozemku: ostatní plocha, způsob využití: </w:t>
      </w:r>
      <w:r w:rsidR="0081257C">
        <w:rPr>
          <w:rFonts w:ascii="Arial" w:hAnsi="Arial" w:cs="Arial"/>
          <w:sz w:val="22"/>
          <w:szCs w:val="22"/>
        </w:rPr>
        <w:t>jiná plocha</w:t>
      </w:r>
    </w:p>
    <w:p w:rsidR="00911F56" w:rsidRDefault="00911F56" w:rsidP="00911F56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 w:rsidRPr="00E0743F">
        <w:rPr>
          <w:rFonts w:ascii="Arial" w:hAnsi="Arial" w:cs="Arial"/>
          <w:b/>
          <w:sz w:val="22"/>
          <w:szCs w:val="22"/>
        </w:rPr>
        <w:t xml:space="preserve">v katastrálním území </w:t>
      </w:r>
      <w:r w:rsidR="0081257C">
        <w:rPr>
          <w:rFonts w:ascii="Arial" w:hAnsi="Arial" w:cs="Arial"/>
          <w:b/>
          <w:sz w:val="22"/>
          <w:szCs w:val="22"/>
        </w:rPr>
        <w:t>Hřensko</w:t>
      </w:r>
      <w:r w:rsidRPr="00C35DB0">
        <w:rPr>
          <w:rFonts w:ascii="Arial" w:hAnsi="Arial" w:cs="Arial"/>
          <w:sz w:val="22"/>
          <w:szCs w:val="22"/>
        </w:rPr>
        <w:t xml:space="preserve">, obec </w:t>
      </w:r>
      <w:r w:rsidR="0081257C">
        <w:rPr>
          <w:rFonts w:ascii="Arial" w:hAnsi="Arial" w:cs="Arial"/>
          <w:sz w:val="22"/>
          <w:szCs w:val="22"/>
        </w:rPr>
        <w:t>Hřensko</w:t>
      </w:r>
      <w:r w:rsidRPr="00C35DB0">
        <w:rPr>
          <w:rFonts w:ascii="Arial" w:hAnsi="Arial" w:cs="Arial"/>
          <w:sz w:val="22"/>
          <w:szCs w:val="22"/>
        </w:rPr>
        <w:t>, zapsaný</w:t>
      </w:r>
      <w:r>
        <w:rPr>
          <w:rFonts w:ascii="Arial" w:hAnsi="Arial" w:cs="Arial"/>
          <w:sz w:val="22"/>
          <w:szCs w:val="22"/>
        </w:rPr>
        <w:t>ch</w:t>
      </w:r>
      <w:r w:rsidRPr="00C35DB0">
        <w:rPr>
          <w:rFonts w:ascii="Arial" w:hAnsi="Arial" w:cs="Arial"/>
          <w:sz w:val="22"/>
          <w:szCs w:val="22"/>
        </w:rPr>
        <w:t xml:space="preserve"> na listu vlastnictví č. </w:t>
      </w:r>
      <w:r>
        <w:rPr>
          <w:rFonts w:ascii="Arial" w:hAnsi="Arial" w:cs="Arial"/>
          <w:sz w:val="22"/>
          <w:szCs w:val="22"/>
        </w:rPr>
        <w:t>27</w:t>
      </w:r>
      <w:r w:rsidR="0081257C">
        <w:rPr>
          <w:rFonts w:ascii="Arial" w:hAnsi="Arial" w:cs="Arial"/>
          <w:sz w:val="22"/>
          <w:szCs w:val="22"/>
        </w:rPr>
        <w:t>2</w:t>
      </w:r>
      <w:r w:rsidRPr="00C35DB0">
        <w:rPr>
          <w:rFonts w:ascii="Arial" w:hAnsi="Arial" w:cs="Arial"/>
          <w:sz w:val="22"/>
          <w:szCs w:val="22"/>
        </w:rPr>
        <w:t xml:space="preserve"> </w:t>
      </w:r>
    </w:p>
    <w:p w:rsidR="00911F56" w:rsidRDefault="00911F56" w:rsidP="00911F56">
      <w:pPr>
        <w:pStyle w:val="Zkladntext"/>
        <w:spacing w:after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 </w:t>
      </w:r>
      <w:r w:rsidRPr="00C35DB0">
        <w:rPr>
          <w:rFonts w:ascii="Arial" w:hAnsi="Arial" w:cs="Arial"/>
          <w:sz w:val="22"/>
          <w:szCs w:val="22"/>
        </w:rPr>
        <w:t xml:space="preserve">vedené u Katastrálního úřadu pro Ústecký kraj Katastrální pracoviště </w:t>
      </w:r>
      <w:r w:rsidR="009336E1">
        <w:rPr>
          <w:rFonts w:ascii="Arial" w:hAnsi="Arial" w:cs="Arial"/>
          <w:sz w:val="22"/>
          <w:szCs w:val="22"/>
        </w:rPr>
        <w:t>Děčín</w:t>
      </w:r>
      <w:r>
        <w:rPr>
          <w:rFonts w:ascii="Arial" w:hAnsi="Arial" w:cs="Arial"/>
          <w:sz w:val="22"/>
          <w:szCs w:val="22"/>
        </w:rPr>
        <w:t xml:space="preserve"> </w:t>
      </w:r>
      <w:r w:rsidRPr="00E0743F">
        <w:rPr>
          <w:rFonts w:ascii="Arial" w:hAnsi="Arial" w:cs="Arial"/>
          <w:b/>
          <w:sz w:val="22"/>
          <w:szCs w:val="22"/>
        </w:rPr>
        <w:t>(dále jako „předmět koupě“)</w:t>
      </w:r>
      <w:r w:rsidRPr="00E0743F">
        <w:rPr>
          <w:rFonts w:ascii="Arial" w:hAnsi="Arial" w:cs="Arial"/>
          <w:sz w:val="22"/>
          <w:szCs w:val="22"/>
        </w:rPr>
        <w:t xml:space="preserve">. </w:t>
      </w:r>
    </w:p>
    <w:p w:rsidR="00911F56" w:rsidRDefault="00911F56" w:rsidP="00911F56">
      <w:pPr>
        <w:pStyle w:val="Zkladntext"/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Předmět koupě je předán k hospodaření příspěvkové organizaci Krajská majetková, příspěvková organizace, Na Schodech 1535/4, Ústí nad Labem-centrum, 40001 Ústí nad Labem, IČO: 00829048.</w:t>
      </w:r>
    </w:p>
    <w:p w:rsidR="00DD2D48" w:rsidRDefault="00911F56" w:rsidP="00D4585F">
      <w:pPr>
        <w:pStyle w:val="Zkladntext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Předmět k</w:t>
      </w:r>
      <w:r w:rsidR="008318D5">
        <w:rPr>
          <w:rFonts w:ascii="Arial" w:hAnsi="Arial" w:cs="Arial"/>
          <w:sz w:val="22"/>
          <w:szCs w:val="22"/>
        </w:rPr>
        <w:t>oup</w:t>
      </w:r>
      <w:r>
        <w:rPr>
          <w:rFonts w:ascii="Arial" w:hAnsi="Arial" w:cs="Arial"/>
          <w:sz w:val="22"/>
          <w:szCs w:val="22"/>
        </w:rPr>
        <w:t>ě včetně jeho součástí a příslušenství je přesně popsán a oceněn ve znaleckém posudku č.</w:t>
      </w:r>
      <w:r w:rsidR="007B5BBD">
        <w:rPr>
          <w:rFonts w:ascii="Arial" w:hAnsi="Arial" w:cs="Arial"/>
          <w:sz w:val="22"/>
          <w:szCs w:val="22"/>
        </w:rPr>
        <w:t xml:space="preserve"> </w:t>
      </w:r>
      <w:r w:rsidR="00DD2D48">
        <w:rPr>
          <w:rFonts w:ascii="Arial" w:hAnsi="Arial" w:cs="Arial"/>
          <w:sz w:val="22"/>
          <w:szCs w:val="22"/>
        </w:rPr>
        <w:t>003/2019</w:t>
      </w:r>
      <w:r w:rsidR="007B5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dne </w:t>
      </w:r>
      <w:r w:rsidR="007B5BBD">
        <w:rPr>
          <w:rFonts w:ascii="Arial" w:hAnsi="Arial" w:cs="Arial"/>
          <w:sz w:val="22"/>
          <w:szCs w:val="22"/>
        </w:rPr>
        <w:t>1</w:t>
      </w:r>
      <w:r w:rsidR="00DD2D48">
        <w:rPr>
          <w:rFonts w:ascii="Arial" w:hAnsi="Arial" w:cs="Arial"/>
          <w:sz w:val="22"/>
          <w:szCs w:val="22"/>
        </w:rPr>
        <w:t>8</w:t>
      </w:r>
      <w:r w:rsidR="007B5BBD">
        <w:rPr>
          <w:rFonts w:ascii="Arial" w:hAnsi="Arial" w:cs="Arial"/>
          <w:sz w:val="22"/>
          <w:szCs w:val="22"/>
        </w:rPr>
        <w:t xml:space="preserve">. </w:t>
      </w:r>
      <w:r w:rsidR="00DD2D48">
        <w:rPr>
          <w:rFonts w:ascii="Arial" w:hAnsi="Arial" w:cs="Arial"/>
          <w:sz w:val="22"/>
          <w:szCs w:val="22"/>
        </w:rPr>
        <w:t>1</w:t>
      </w:r>
      <w:r w:rsidR="007B5BBD">
        <w:rPr>
          <w:rFonts w:ascii="Arial" w:hAnsi="Arial" w:cs="Arial"/>
          <w:sz w:val="22"/>
          <w:szCs w:val="22"/>
        </w:rPr>
        <w:t>. 2019,</w:t>
      </w:r>
      <w:r>
        <w:rPr>
          <w:rFonts w:ascii="Arial" w:hAnsi="Arial" w:cs="Arial"/>
          <w:sz w:val="22"/>
          <w:szCs w:val="22"/>
        </w:rPr>
        <w:t xml:space="preserve"> zpracovaným Ing</w:t>
      </w:r>
      <w:r w:rsidR="007B5BBD">
        <w:rPr>
          <w:rFonts w:ascii="Arial" w:hAnsi="Arial" w:cs="Arial"/>
          <w:sz w:val="22"/>
          <w:szCs w:val="22"/>
        </w:rPr>
        <w:t xml:space="preserve">. </w:t>
      </w:r>
      <w:r w:rsidR="00DD2D48">
        <w:rPr>
          <w:rFonts w:ascii="Arial" w:hAnsi="Arial" w:cs="Arial"/>
          <w:sz w:val="22"/>
          <w:szCs w:val="22"/>
        </w:rPr>
        <w:t xml:space="preserve">Miroslavem </w:t>
      </w:r>
      <w:proofErr w:type="spellStart"/>
      <w:r w:rsidR="00DD2D48">
        <w:rPr>
          <w:rFonts w:ascii="Arial" w:hAnsi="Arial" w:cs="Arial"/>
          <w:sz w:val="22"/>
          <w:szCs w:val="22"/>
        </w:rPr>
        <w:t>Filégrem</w:t>
      </w:r>
      <w:proofErr w:type="spellEnd"/>
      <w:r w:rsidR="008318D5">
        <w:rPr>
          <w:rFonts w:ascii="Arial" w:hAnsi="Arial" w:cs="Arial"/>
          <w:sz w:val="22"/>
          <w:szCs w:val="22"/>
        </w:rPr>
        <w:t xml:space="preserve">. </w:t>
      </w:r>
    </w:p>
    <w:p w:rsidR="006721A8" w:rsidRDefault="006721A8" w:rsidP="008A0C2A">
      <w:pPr>
        <w:pStyle w:val="Zkladntext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K předmětu koupě je vyhotoven Průkaz energetické náročnosti budovy, zpracovaný Ing. Pavlem </w:t>
      </w:r>
      <w:proofErr w:type="spellStart"/>
      <w:r>
        <w:rPr>
          <w:rFonts w:ascii="Arial" w:hAnsi="Arial" w:cs="Arial"/>
          <w:sz w:val="22"/>
          <w:szCs w:val="22"/>
        </w:rPr>
        <w:t>Mordovancem</w:t>
      </w:r>
      <w:proofErr w:type="spellEnd"/>
      <w:r>
        <w:rPr>
          <w:rFonts w:ascii="Arial" w:hAnsi="Arial" w:cs="Arial"/>
          <w:sz w:val="22"/>
          <w:szCs w:val="22"/>
        </w:rPr>
        <w:t xml:space="preserve"> dne </w:t>
      </w:r>
      <w:proofErr w:type="gramStart"/>
      <w:r>
        <w:rPr>
          <w:rFonts w:ascii="Arial" w:hAnsi="Arial" w:cs="Arial"/>
          <w:sz w:val="22"/>
          <w:szCs w:val="22"/>
        </w:rPr>
        <w:t>4.6.2019</w:t>
      </w:r>
      <w:proofErr w:type="gramEnd"/>
      <w:r>
        <w:rPr>
          <w:rFonts w:ascii="Arial" w:hAnsi="Arial" w:cs="Arial"/>
          <w:sz w:val="22"/>
          <w:szCs w:val="22"/>
        </w:rPr>
        <w:t xml:space="preserve"> .</w:t>
      </w:r>
    </w:p>
    <w:p w:rsidR="0045526C" w:rsidRPr="008A0C2A" w:rsidRDefault="00911F56" w:rsidP="008A0C2A">
      <w:pPr>
        <w:pStyle w:val="Zkladntext"/>
        <w:spacing w:after="120"/>
        <w:ind w:left="284" w:hanging="284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6309">
        <w:rPr>
          <w:rFonts w:ascii="Arial" w:hAnsi="Arial" w:cs="Arial"/>
          <w:sz w:val="22"/>
          <w:szCs w:val="22"/>
        </w:rPr>
        <w:t>(dále jako „předmět koupě“).</w:t>
      </w:r>
    </w:p>
    <w:p w:rsidR="00E926EA" w:rsidRPr="00D4585F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D4585F">
        <w:rPr>
          <w:rFonts w:cs="Arial"/>
          <w:b/>
          <w:bCs/>
        </w:rPr>
        <w:t>II.</w:t>
      </w:r>
    </w:p>
    <w:p w:rsidR="00E926EA" w:rsidRPr="00D4585F" w:rsidRDefault="00E926EA" w:rsidP="00C00782">
      <w:pPr>
        <w:spacing w:before="120" w:after="0"/>
        <w:jc w:val="center"/>
        <w:rPr>
          <w:rFonts w:cs="Arial"/>
          <w:b/>
        </w:rPr>
      </w:pPr>
      <w:r w:rsidRPr="00D4585F">
        <w:rPr>
          <w:rFonts w:cs="Arial"/>
          <w:b/>
        </w:rPr>
        <w:t>Projev</w:t>
      </w:r>
      <w:r w:rsidR="0045526C" w:rsidRPr="00D4585F">
        <w:rPr>
          <w:rFonts w:cs="Arial"/>
          <w:b/>
        </w:rPr>
        <w:t>y</w:t>
      </w:r>
      <w:r w:rsidRPr="00D4585F">
        <w:rPr>
          <w:rFonts w:cs="Arial"/>
          <w:b/>
        </w:rPr>
        <w:t xml:space="preserve"> vůle</w:t>
      </w:r>
    </w:p>
    <w:p w:rsidR="008310ED" w:rsidRPr="00D4585F" w:rsidRDefault="008310ED" w:rsidP="008310ED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</w:rPr>
      </w:pPr>
      <w:r w:rsidRPr="00D4585F">
        <w:rPr>
          <w:rFonts w:cs="Arial"/>
        </w:rPr>
        <w:t>Prodávající prodává kupujícímu touto kupní smlouvou do jeho vlastnictví předmět koupě popsan</w:t>
      </w:r>
      <w:r w:rsidR="00715C2E" w:rsidRPr="00D4585F">
        <w:rPr>
          <w:rFonts w:cs="Arial"/>
        </w:rPr>
        <w:t>ý</w:t>
      </w:r>
      <w:r w:rsidRPr="00D4585F">
        <w:rPr>
          <w:rFonts w:cs="Arial"/>
        </w:rPr>
        <w:t xml:space="preserve"> v</w:t>
      </w:r>
      <w:r w:rsidR="00055F63" w:rsidRPr="00D4585F">
        <w:rPr>
          <w:rFonts w:cs="Arial"/>
        </w:rPr>
        <w:t xml:space="preserve"> článku I. </w:t>
      </w:r>
      <w:r w:rsidRPr="00D4585F">
        <w:rPr>
          <w:rFonts w:cs="Arial"/>
        </w:rPr>
        <w:t>této smlouvy se vším právním i faktickým příslušenstvím a součástmi</w:t>
      </w:r>
      <w:r w:rsidRPr="00D4585F">
        <w:rPr>
          <w:rFonts w:cs="Arial"/>
          <w:color w:val="0000FF"/>
        </w:rPr>
        <w:t>,</w:t>
      </w:r>
      <w:r w:rsidRPr="00D4585F">
        <w:rPr>
          <w:rFonts w:cs="Arial"/>
        </w:rPr>
        <w:t xml:space="preserve"> za dohodnutou kupní cenu a kupující prohlašuje, že předmět koupě popsan</w:t>
      </w:r>
      <w:r w:rsidR="00715C2E" w:rsidRPr="00D4585F">
        <w:rPr>
          <w:rFonts w:cs="Arial"/>
        </w:rPr>
        <w:t>ý</w:t>
      </w:r>
      <w:r w:rsidRPr="00D4585F">
        <w:rPr>
          <w:rFonts w:cs="Arial"/>
        </w:rPr>
        <w:t xml:space="preserve"> v</w:t>
      </w:r>
      <w:r w:rsidR="00055F63" w:rsidRPr="00D4585F">
        <w:rPr>
          <w:rFonts w:cs="Arial"/>
        </w:rPr>
        <w:t xml:space="preserve"> článku I. </w:t>
      </w:r>
      <w:r w:rsidRPr="00D4585F">
        <w:rPr>
          <w:rFonts w:cs="Arial"/>
        </w:rPr>
        <w:t>této smlouvy se vším právním i faktickým příslušenstvím a součástmi za dohodnutou kupní cenu od prodávajícího do svého výlučného vlastnictví kupuje.</w:t>
      </w:r>
    </w:p>
    <w:p w:rsidR="00C00782" w:rsidRPr="00D4585F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D4585F">
        <w:rPr>
          <w:rFonts w:cs="Arial"/>
          <w:b/>
          <w:bCs/>
        </w:rPr>
        <w:t>III.</w:t>
      </w:r>
    </w:p>
    <w:p w:rsidR="00C00782" w:rsidRPr="00D4585F" w:rsidRDefault="00C00782" w:rsidP="00C00782">
      <w:pPr>
        <w:spacing w:before="120" w:after="120"/>
        <w:jc w:val="center"/>
        <w:rPr>
          <w:rFonts w:cs="Arial"/>
          <w:b/>
        </w:rPr>
      </w:pPr>
      <w:r w:rsidRPr="00D4585F">
        <w:rPr>
          <w:rFonts w:cs="Arial"/>
          <w:b/>
        </w:rPr>
        <w:t>Kupní cena a platební podmínky</w:t>
      </w:r>
    </w:p>
    <w:p w:rsidR="002706D0" w:rsidRPr="00D4585F" w:rsidRDefault="002706D0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4585F">
        <w:rPr>
          <w:rFonts w:ascii="Arial" w:hAnsi="Arial" w:cs="Arial"/>
          <w:sz w:val="22"/>
          <w:szCs w:val="22"/>
        </w:rPr>
        <w:t xml:space="preserve">Smluvní strany si za převod </w:t>
      </w:r>
      <w:r w:rsidR="009C7E2B" w:rsidRPr="00D4585F">
        <w:rPr>
          <w:rFonts w:ascii="Arial" w:hAnsi="Arial" w:cs="Arial"/>
          <w:sz w:val="22"/>
          <w:szCs w:val="22"/>
        </w:rPr>
        <w:t>nemovitých věcí</w:t>
      </w:r>
      <w:r w:rsidRPr="00D4585F">
        <w:rPr>
          <w:rFonts w:ascii="Arial" w:hAnsi="Arial" w:cs="Arial"/>
          <w:sz w:val="22"/>
          <w:szCs w:val="22"/>
        </w:rPr>
        <w:t>, kter</w:t>
      </w:r>
      <w:r w:rsidR="009C7E2B" w:rsidRPr="00D4585F">
        <w:rPr>
          <w:rFonts w:ascii="Arial" w:hAnsi="Arial" w:cs="Arial"/>
          <w:sz w:val="22"/>
          <w:szCs w:val="22"/>
        </w:rPr>
        <w:t>é jsou</w:t>
      </w:r>
      <w:r w:rsidRPr="00D4585F">
        <w:rPr>
          <w:rFonts w:ascii="Arial" w:hAnsi="Arial" w:cs="Arial"/>
          <w:sz w:val="22"/>
          <w:szCs w:val="22"/>
        </w:rPr>
        <w:t xml:space="preserve"> předmětem </w:t>
      </w:r>
      <w:r w:rsidR="00F75010" w:rsidRPr="00D4585F">
        <w:rPr>
          <w:rFonts w:ascii="Arial" w:hAnsi="Arial" w:cs="Arial"/>
          <w:sz w:val="22"/>
          <w:szCs w:val="22"/>
        </w:rPr>
        <w:t>koupě</w:t>
      </w:r>
      <w:r w:rsidRPr="00D4585F">
        <w:rPr>
          <w:rFonts w:ascii="Arial" w:hAnsi="Arial" w:cs="Arial"/>
          <w:sz w:val="22"/>
          <w:szCs w:val="22"/>
        </w:rPr>
        <w:t>, včetně jej</w:t>
      </w:r>
      <w:r w:rsidR="009C7E2B" w:rsidRPr="00D4585F">
        <w:rPr>
          <w:rFonts w:ascii="Arial" w:hAnsi="Arial" w:cs="Arial"/>
          <w:sz w:val="22"/>
          <w:szCs w:val="22"/>
        </w:rPr>
        <w:t>ich</w:t>
      </w:r>
      <w:r w:rsidRPr="00D4585F">
        <w:rPr>
          <w:rFonts w:ascii="Arial" w:hAnsi="Arial" w:cs="Arial"/>
          <w:sz w:val="22"/>
          <w:szCs w:val="22"/>
        </w:rPr>
        <w:t xml:space="preserve"> součástí a příslušenství, ujednávají </w:t>
      </w:r>
      <w:r w:rsidR="00760254">
        <w:rPr>
          <w:rFonts w:ascii="Arial" w:hAnsi="Arial" w:cs="Arial"/>
          <w:sz w:val="22"/>
          <w:szCs w:val="22"/>
        </w:rPr>
        <w:t xml:space="preserve">celkovou </w:t>
      </w:r>
      <w:r w:rsidRPr="00D4585F">
        <w:rPr>
          <w:rFonts w:ascii="Arial" w:hAnsi="Arial" w:cs="Arial"/>
          <w:sz w:val="22"/>
          <w:szCs w:val="22"/>
        </w:rPr>
        <w:t xml:space="preserve">kupní cenu ve výši </w:t>
      </w:r>
      <w:r w:rsidR="00DD2D48" w:rsidRPr="00DD2D48">
        <w:rPr>
          <w:rFonts w:ascii="Arial" w:hAnsi="Arial" w:cs="Arial"/>
          <w:b/>
          <w:sz w:val="22"/>
          <w:szCs w:val="22"/>
        </w:rPr>
        <w:t>790.</w:t>
      </w:r>
      <w:r w:rsidR="00911F56" w:rsidRPr="00D4585F">
        <w:rPr>
          <w:rFonts w:ascii="Arial" w:hAnsi="Arial" w:cs="Arial"/>
          <w:b/>
          <w:sz w:val="22"/>
          <w:szCs w:val="22"/>
        </w:rPr>
        <w:t>000</w:t>
      </w:r>
      <w:r w:rsidR="009C7E2B" w:rsidRPr="00D4585F">
        <w:rPr>
          <w:rFonts w:ascii="Arial" w:hAnsi="Arial" w:cs="Arial"/>
          <w:b/>
          <w:sz w:val="22"/>
          <w:szCs w:val="22"/>
        </w:rPr>
        <w:t>,-</w:t>
      </w:r>
      <w:r w:rsidR="00ED2102" w:rsidRPr="00D4585F">
        <w:rPr>
          <w:rFonts w:ascii="Arial" w:hAnsi="Arial" w:cs="Arial"/>
          <w:sz w:val="22"/>
          <w:szCs w:val="22"/>
        </w:rPr>
        <w:t xml:space="preserve"> </w:t>
      </w:r>
      <w:r w:rsidRPr="00D4585F">
        <w:rPr>
          <w:rFonts w:ascii="Arial" w:hAnsi="Arial" w:cs="Arial"/>
          <w:b/>
          <w:sz w:val="22"/>
          <w:szCs w:val="22"/>
        </w:rPr>
        <w:t>Kč</w:t>
      </w:r>
      <w:r w:rsidRPr="00D4585F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D2D48">
        <w:rPr>
          <w:rFonts w:ascii="Arial" w:hAnsi="Arial" w:cs="Arial"/>
          <w:sz w:val="22"/>
          <w:szCs w:val="22"/>
        </w:rPr>
        <w:t>sedmsetdevadesáttisíc</w:t>
      </w:r>
      <w:proofErr w:type="spellEnd"/>
      <w:r w:rsidR="00606B4B" w:rsidRPr="00D4585F">
        <w:rPr>
          <w:rFonts w:ascii="Arial" w:hAnsi="Arial" w:cs="Arial"/>
          <w:sz w:val="22"/>
          <w:szCs w:val="22"/>
        </w:rPr>
        <w:t xml:space="preserve"> korun českých</w:t>
      </w:r>
      <w:r w:rsidRPr="00D4585F">
        <w:rPr>
          <w:rFonts w:ascii="Arial" w:hAnsi="Arial" w:cs="Arial"/>
          <w:sz w:val="22"/>
          <w:szCs w:val="22"/>
        </w:rPr>
        <w:t xml:space="preserve">). </w:t>
      </w:r>
    </w:p>
    <w:p w:rsidR="002706D0" w:rsidRPr="00D4585F" w:rsidRDefault="009149BD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4585F">
        <w:rPr>
          <w:rFonts w:ascii="Arial" w:hAnsi="Arial" w:cs="Arial"/>
          <w:sz w:val="22"/>
          <w:szCs w:val="22"/>
        </w:rPr>
        <w:t>Úhrada kupní cen</w:t>
      </w:r>
      <w:r w:rsidR="00D4585F">
        <w:rPr>
          <w:rFonts w:ascii="Arial" w:hAnsi="Arial" w:cs="Arial"/>
          <w:sz w:val="22"/>
          <w:szCs w:val="22"/>
        </w:rPr>
        <w:t>a</w:t>
      </w:r>
      <w:r w:rsidRPr="00D4585F">
        <w:rPr>
          <w:rFonts w:ascii="Arial" w:hAnsi="Arial" w:cs="Arial"/>
          <w:sz w:val="22"/>
          <w:szCs w:val="22"/>
        </w:rPr>
        <w:t xml:space="preserve"> bude provedena bezhotovostní formou převod</w:t>
      </w:r>
      <w:r w:rsidR="00D4585F">
        <w:rPr>
          <w:rFonts w:ascii="Arial" w:hAnsi="Arial" w:cs="Arial"/>
          <w:sz w:val="22"/>
          <w:szCs w:val="22"/>
        </w:rPr>
        <w:t>u</w:t>
      </w:r>
      <w:r w:rsidRPr="00D4585F">
        <w:rPr>
          <w:rFonts w:ascii="Arial" w:hAnsi="Arial" w:cs="Arial"/>
          <w:sz w:val="22"/>
          <w:szCs w:val="22"/>
        </w:rPr>
        <w:t xml:space="preserve"> na bankovní účet prodávajícího </w:t>
      </w:r>
      <w:r w:rsidR="00ED2102" w:rsidRPr="00D4585F">
        <w:rPr>
          <w:rFonts w:ascii="Arial" w:hAnsi="Arial" w:cs="Arial"/>
          <w:sz w:val="22"/>
          <w:szCs w:val="22"/>
        </w:rPr>
        <w:t>do 30 dnů od uzavření smlouvy</w:t>
      </w:r>
      <w:r w:rsidR="002706D0" w:rsidRPr="00D4585F">
        <w:rPr>
          <w:rFonts w:ascii="Arial" w:hAnsi="Arial" w:cs="Arial"/>
          <w:sz w:val="22"/>
          <w:szCs w:val="22"/>
        </w:rPr>
        <w:t xml:space="preserve"> a bude prokázána platným dokladem.</w:t>
      </w:r>
    </w:p>
    <w:p w:rsidR="00C00782" w:rsidRPr="00D4585F" w:rsidRDefault="0093754D" w:rsidP="00427D3B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4585F">
        <w:rPr>
          <w:rFonts w:ascii="Arial" w:hAnsi="Arial" w:cs="Arial"/>
          <w:sz w:val="22"/>
          <w:szCs w:val="22"/>
        </w:rPr>
        <w:t>Pokud kupující neuhradí prodávajícímu řádně a včas celou kupní cenu ve stanoveném termínu bude to považováno za  hrubé porušení této kupní smlouvy a prodávající má právo od této kupní smlouvy odstoupit.</w:t>
      </w:r>
    </w:p>
    <w:p w:rsidR="002D5A89" w:rsidRPr="00D4585F" w:rsidRDefault="002D5A89" w:rsidP="002D5A89">
      <w:pPr>
        <w:spacing w:before="120" w:after="0"/>
        <w:jc w:val="center"/>
        <w:rPr>
          <w:rFonts w:cs="Arial"/>
          <w:b/>
          <w:bCs/>
        </w:rPr>
      </w:pPr>
      <w:r w:rsidRPr="00D4585F">
        <w:rPr>
          <w:rFonts w:cs="Arial"/>
          <w:b/>
          <w:bCs/>
        </w:rPr>
        <w:t>IV.</w:t>
      </w:r>
    </w:p>
    <w:p w:rsidR="002D5A89" w:rsidRPr="00D4585F" w:rsidRDefault="002D5A89" w:rsidP="002D5A89">
      <w:pPr>
        <w:spacing w:before="120" w:after="120"/>
        <w:jc w:val="center"/>
        <w:rPr>
          <w:rFonts w:cs="Arial"/>
          <w:b/>
        </w:rPr>
      </w:pPr>
      <w:r w:rsidRPr="00D4585F">
        <w:rPr>
          <w:rFonts w:cs="Arial"/>
          <w:b/>
        </w:rPr>
        <w:t>Prohlášení smluvních stran</w:t>
      </w:r>
    </w:p>
    <w:p w:rsidR="002D5A89" w:rsidRDefault="002D5A89" w:rsidP="002D5A89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4585F">
        <w:rPr>
          <w:rFonts w:ascii="Arial" w:hAnsi="Arial" w:cs="Arial"/>
          <w:sz w:val="22"/>
          <w:szCs w:val="22"/>
        </w:rPr>
        <w:t>Prodávající prohlašuje, že seznámil kupujícího se stavem předmětu koupě včetně jeho příslušenství a součástí a že na předmětu koupě neváznou žádné dluhy, zástav</w:t>
      </w:r>
      <w:r>
        <w:rPr>
          <w:rFonts w:ascii="Arial" w:hAnsi="Arial" w:cs="Arial"/>
          <w:sz w:val="22"/>
          <w:szCs w:val="22"/>
        </w:rPr>
        <w:t>ní práva, ani jiné právní vady.</w:t>
      </w:r>
      <w:r w:rsidRPr="003B0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Dále </w:t>
      </w:r>
      <w:r w:rsidRPr="00D32AD3">
        <w:rPr>
          <w:rFonts w:ascii="Arial" w:hAnsi="Arial" w:cs="Arial"/>
          <w:sz w:val="22"/>
          <w:szCs w:val="22"/>
        </w:rPr>
        <w:t>prodávající prohlašuje, že je oprávněn nakládat s předmětem koupě, a taktéž prohlašuje, že jeho smluvní volnost není nijak omezena.</w:t>
      </w:r>
    </w:p>
    <w:p w:rsidR="002D5A89" w:rsidRPr="00646797" w:rsidRDefault="002D5A89" w:rsidP="00646797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D4585F">
        <w:rPr>
          <w:rFonts w:ascii="Arial" w:hAnsi="Arial" w:cs="Arial"/>
          <w:sz w:val="22"/>
          <w:szCs w:val="22"/>
        </w:rPr>
        <w:t xml:space="preserve">Kupující prohlašuje, že si předmět koupě řádně prohlédl, že mu je jeho stav dobře znám a že nabývá předmět koupě ve stavu, v jakém se ke dni převodu nachází. Dále kupující prohlašuje, že byl seznámen se znaleckým posudkem uvedeným v článku I. odst. </w:t>
      </w:r>
      <w:r>
        <w:rPr>
          <w:rFonts w:ascii="Arial" w:hAnsi="Arial" w:cs="Arial"/>
          <w:sz w:val="22"/>
          <w:szCs w:val="22"/>
        </w:rPr>
        <w:t>3</w:t>
      </w:r>
      <w:r w:rsidRPr="00D4585F">
        <w:rPr>
          <w:rFonts w:ascii="Arial" w:hAnsi="Arial" w:cs="Arial"/>
          <w:sz w:val="22"/>
          <w:szCs w:val="22"/>
        </w:rPr>
        <w:t>. této smlouvy</w:t>
      </w:r>
      <w:r w:rsidR="00646797">
        <w:rPr>
          <w:rFonts w:ascii="Arial" w:hAnsi="Arial" w:cs="Arial"/>
          <w:sz w:val="22"/>
          <w:szCs w:val="22"/>
        </w:rPr>
        <w:t xml:space="preserve"> a byl seznámen s Průkazem energetické náročnosti budovy uvedeným v čl. I. odst. 4.</w:t>
      </w:r>
    </w:p>
    <w:p w:rsidR="002D5A89" w:rsidRPr="002D5A89" w:rsidRDefault="002D5A89" w:rsidP="002D5A89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Kupující prohlašuje, že byl seznámen se skutečností, že na předmětu koupě vázne Nájemní smlouva ze dne 18. 2. 2009 vč. Dodatku č. 1  nájemní smlouvy nemovitostí </w:t>
      </w:r>
      <w:r w:rsidRPr="002247A5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Pr="002247A5">
        <w:rPr>
          <w:rFonts w:ascii="Arial" w:hAnsi="Arial" w:cs="Arial"/>
          <w:sz w:val="22"/>
          <w:szCs w:val="22"/>
        </w:rPr>
        <w:t>27.</w:t>
      </w:r>
      <w:r w:rsidR="002247A5" w:rsidRPr="002247A5">
        <w:rPr>
          <w:rFonts w:ascii="Arial" w:hAnsi="Arial" w:cs="Arial"/>
          <w:sz w:val="22"/>
          <w:szCs w:val="22"/>
        </w:rPr>
        <w:t>08</w:t>
      </w:r>
      <w:r w:rsidRPr="002247A5">
        <w:rPr>
          <w:rFonts w:ascii="Arial" w:hAnsi="Arial" w:cs="Arial"/>
          <w:sz w:val="22"/>
          <w:szCs w:val="22"/>
        </w:rPr>
        <w:t>. 2010</w:t>
      </w:r>
      <w:proofErr w:type="gramEnd"/>
      <w:r>
        <w:rPr>
          <w:rFonts w:ascii="Arial" w:hAnsi="Arial" w:cs="Arial"/>
          <w:sz w:val="22"/>
          <w:szCs w:val="22"/>
        </w:rPr>
        <w:t xml:space="preserve"> a Dodat</w:t>
      </w:r>
      <w:r w:rsidRPr="002D5A8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 w:rsidRPr="002D5A8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2</w:t>
      </w:r>
      <w:r w:rsidRPr="002D5A89">
        <w:rPr>
          <w:rFonts w:ascii="Arial" w:hAnsi="Arial" w:cs="Arial"/>
          <w:sz w:val="22"/>
          <w:szCs w:val="22"/>
        </w:rPr>
        <w:t xml:space="preserve">  nájemní smlouvy nemovitostí ze dne 1. 9. 2015</w:t>
      </w:r>
      <w:r>
        <w:rPr>
          <w:rFonts w:ascii="Arial" w:hAnsi="Arial" w:cs="Arial"/>
          <w:sz w:val="22"/>
          <w:szCs w:val="22"/>
        </w:rPr>
        <w:t>.</w:t>
      </w:r>
      <w:r w:rsidRPr="002D5A89">
        <w:rPr>
          <w:rFonts w:ascii="Arial" w:hAnsi="Arial" w:cs="Arial"/>
          <w:sz w:val="22"/>
          <w:szCs w:val="22"/>
        </w:rPr>
        <w:t xml:space="preserve"> </w:t>
      </w:r>
    </w:p>
    <w:p w:rsidR="002D5A89" w:rsidRPr="00E926EA" w:rsidRDefault="002D5A89" w:rsidP="002D5A89">
      <w:pPr>
        <w:spacing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V.</w:t>
      </w:r>
    </w:p>
    <w:p w:rsidR="002D5A89" w:rsidRPr="00E926EA" w:rsidRDefault="002D5A89" w:rsidP="002D5A89">
      <w:pPr>
        <w:jc w:val="center"/>
        <w:rPr>
          <w:rFonts w:cs="Arial"/>
          <w:b/>
        </w:rPr>
      </w:pPr>
      <w:r>
        <w:rPr>
          <w:rFonts w:cs="Arial"/>
          <w:b/>
        </w:rPr>
        <w:t>Platnost a účinnost smlouvy</w:t>
      </w:r>
    </w:p>
    <w:p w:rsidR="002D5A89" w:rsidRDefault="002D5A89" w:rsidP="002D5A89">
      <w:pPr>
        <w:pStyle w:val="Zkladntextodsazen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C308C">
        <w:rPr>
          <w:rFonts w:ascii="Arial" w:hAnsi="Arial" w:cs="Arial"/>
          <w:sz w:val="22"/>
          <w:szCs w:val="22"/>
        </w:rPr>
        <w:t>Tato kupní smlouva nabývá platnosti dnem jejího uzavření a tímto dnem jsou smluvní strany svými projevy vůle vázány. Účinnosti nabývá smlouva úplným zaplacením kupní ceny dle čl</w:t>
      </w:r>
      <w:r>
        <w:rPr>
          <w:rFonts w:ascii="Arial" w:hAnsi="Arial" w:cs="Arial"/>
          <w:sz w:val="22"/>
          <w:szCs w:val="22"/>
        </w:rPr>
        <w:t>ánku III. této smlouvy, nejdříve však dnem uveřejněním v registru smluv.</w:t>
      </w:r>
    </w:p>
    <w:p w:rsidR="002D5A89" w:rsidRDefault="002D5A89" w:rsidP="002D5A89">
      <w:pPr>
        <w:pStyle w:val="Zkladntextodsazen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F7703">
        <w:rPr>
          <w:rFonts w:ascii="Arial" w:hAnsi="Arial" w:cs="Arial"/>
          <w:sz w:val="22"/>
          <w:szCs w:val="22"/>
        </w:rPr>
        <w:t xml:space="preserve">V případě, že příslušný katastrální úřad přeruší řízení o povolení vkladu </w:t>
      </w:r>
      <w:r>
        <w:rPr>
          <w:rFonts w:ascii="Arial" w:hAnsi="Arial" w:cs="Arial"/>
          <w:sz w:val="22"/>
          <w:szCs w:val="22"/>
        </w:rPr>
        <w:t xml:space="preserve">vlastnického a předkupního </w:t>
      </w:r>
      <w:r w:rsidRPr="00EF7703">
        <w:rPr>
          <w:rFonts w:ascii="Arial" w:hAnsi="Arial" w:cs="Arial"/>
          <w:sz w:val="22"/>
          <w:szCs w:val="22"/>
        </w:rPr>
        <w:t>práva na základě této smlouvy, zavazují se smluvní strany poskytnout si navzájem součinnost směřující k odstranění veškerých vad podání, jež byly důvodem p</w:t>
      </w:r>
      <w:r>
        <w:rPr>
          <w:rFonts w:ascii="Arial" w:hAnsi="Arial" w:cs="Arial"/>
          <w:sz w:val="22"/>
          <w:szCs w:val="22"/>
        </w:rPr>
        <w:t>řerušení tohoto řízení. Pakliže</w:t>
      </w:r>
      <w:r w:rsidRPr="00EF7703">
        <w:rPr>
          <w:rFonts w:ascii="Arial" w:hAnsi="Arial" w:cs="Arial"/>
          <w:sz w:val="22"/>
          <w:szCs w:val="22"/>
        </w:rPr>
        <w:t xml:space="preserve"> i přes odpovídaj</w:t>
      </w:r>
      <w:r>
        <w:rPr>
          <w:rFonts w:ascii="Arial" w:hAnsi="Arial" w:cs="Arial"/>
          <w:sz w:val="22"/>
          <w:szCs w:val="22"/>
        </w:rPr>
        <w:t>ící úsilí smluvních stran</w:t>
      </w:r>
      <w:r w:rsidRPr="00EF7703">
        <w:rPr>
          <w:rFonts w:ascii="Arial" w:hAnsi="Arial" w:cs="Arial"/>
          <w:sz w:val="22"/>
          <w:szCs w:val="22"/>
        </w:rPr>
        <w:t xml:space="preserve"> bude řízení o povolení vkladu práva vlastnického</w:t>
      </w:r>
      <w:r>
        <w:rPr>
          <w:rFonts w:ascii="Arial" w:hAnsi="Arial" w:cs="Arial"/>
          <w:sz w:val="22"/>
          <w:szCs w:val="22"/>
        </w:rPr>
        <w:t xml:space="preserve"> a předkupního</w:t>
      </w:r>
      <w:r w:rsidRPr="00EF7703">
        <w:rPr>
          <w:rFonts w:ascii="Arial" w:hAnsi="Arial" w:cs="Arial"/>
          <w:sz w:val="22"/>
          <w:szCs w:val="22"/>
        </w:rPr>
        <w:t xml:space="preserve"> na základě této kupní smlouvy zastaveno, popř. příslušný katastrální úřad zamítne vklad vlastnického</w:t>
      </w:r>
      <w:r>
        <w:rPr>
          <w:rFonts w:ascii="Arial" w:hAnsi="Arial" w:cs="Arial"/>
          <w:sz w:val="22"/>
          <w:szCs w:val="22"/>
        </w:rPr>
        <w:t xml:space="preserve"> nebo předkupního práva</w:t>
      </w:r>
      <w:r w:rsidRPr="00EF7703">
        <w:rPr>
          <w:rFonts w:ascii="Arial" w:hAnsi="Arial" w:cs="Arial"/>
          <w:sz w:val="22"/>
          <w:szCs w:val="22"/>
        </w:rPr>
        <w:t xml:space="preserve">, smluvní strany výslovně ujednaly, že uzavřou do deseti dnů od právní moci </w:t>
      </w:r>
      <w:r>
        <w:rPr>
          <w:rFonts w:ascii="Arial" w:hAnsi="Arial" w:cs="Arial"/>
          <w:sz w:val="22"/>
          <w:szCs w:val="22"/>
        </w:rPr>
        <w:t xml:space="preserve">takového </w:t>
      </w:r>
      <w:r w:rsidRPr="00EF7703">
        <w:rPr>
          <w:rFonts w:ascii="Arial" w:hAnsi="Arial" w:cs="Arial"/>
          <w:sz w:val="22"/>
          <w:szCs w:val="22"/>
        </w:rPr>
        <w:t>roz</w:t>
      </w:r>
      <w:r>
        <w:rPr>
          <w:rFonts w:ascii="Arial" w:hAnsi="Arial" w:cs="Arial"/>
          <w:sz w:val="22"/>
          <w:szCs w:val="22"/>
        </w:rPr>
        <w:t>hodnutí na základě této smlouvy</w:t>
      </w:r>
      <w:r w:rsidRPr="00EF7703">
        <w:rPr>
          <w:rFonts w:ascii="Arial" w:hAnsi="Arial" w:cs="Arial"/>
          <w:sz w:val="22"/>
          <w:szCs w:val="22"/>
        </w:rPr>
        <w:t xml:space="preserve"> kupní smlouvu ohledně nemovi</w:t>
      </w:r>
      <w:r>
        <w:rPr>
          <w:rFonts w:ascii="Arial" w:hAnsi="Arial" w:cs="Arial"/>
          <w:sz w:val="22"/>
          <w:szCs w:val="22"/>
        </w:rPr>
        <w:t>tých věcí</w:t>
      </w:r>
      <w:r w:rsidRPr="00EF7703">
        <w:rPr>
          <w:rFonts w:ascii="Arial" w:hAnsi="Arial" w:cs="Arial"/>
          <w:sz w:val="22"/>
          <w:szCs w:val="22"/>
        </w:rPr>
        <w:t>, jež jsou předmětem této kupní smlouvy, za stejnou kupní cenu a za podmínek uvedených v této smlouvě</w:t>
      </w:r>
      <w:r>
        <w:rPr>
          <w:rFonts w:ascii="Arial" w:hAnsi="Arial" w:cs="Arial"/>
          <w:sz w:val="22"/>
          <w:szCs w:val="22"/>
        </w:rPr>
        <w:t xml:space="preserve"> a</w:t>
      </w:r>
      <w:r w:rsidRPr="00EF77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podají</w:t>
      </w:r>
      <w:r w:rsidRPr="00EF77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nový </w:t>
      </w:r>
      <w:r w:rsidRPr="00EF7703">
        <w:rPr>
          <w:rFonts w:ascii="Arial" w:hAnsi="Arial" w:cs="Arial"/>
          <w:sz w:val="22"/>
          <w:szCs w:val="22"/>
        </w:rPr>
        <w:t xml:space="preserve">návrh na vklad vlastnického </w:t>
      </w:r>
      <w:r>
        <w:rPr>
          <w:rFonts w:ascii="Arial" w:hAnsi="Arial" w:cs="Arial"/>
          <w:sz w:val="22"/>
          <w:szCs w:val="22"/>
        </w:rPr>
        <w:t xml:space="preserve">a předkupního práva </w:t>
      </w:r>
      <w:r w:rsidRPr="00EF7703">
        <w:rPr>
          <w:rFonts w:ascii="Arial" w:hAnsi="Arial" w:cs="Arial"/>
          <w:sz w:val="22"/>
          <w:szCs w:val="22"/>
        </w:rPr>
        <w:t>do katastru nemo</w:t>
      </w:r>
      <w:r>
        <w:rPr>
          <w:rFonts w:ascii="Arial" w:hAnsi="Arial" w:cs="Arial"/>
          <w:sz w:val="22"/>
          <w:szCs w:val="22"/>
        </w:rPr>
        <w:t>vitostí. Ty skutečnosti a údaje</w:t>
      </w:r>
      <w:r w:rsidRPr="00EF7703">
        <w:rPr>
          <w:rFonts w:ascii="Arial" w:hAnsi="Arial" w:cs="Arial"/>
          <w:sz w:val="22"/>
          <w:szCs w:val="22"/>
        </w:rPr>
        <w:t xml:space="preserve"> obsažené v této kupní smlouvě, jež byly důvodem pro zastavení řízení, resp. pro zamítnutí vkladu vlastnického </w:t>
      </w:r>
      <w:r>
        <w:rPr>
          <w:rFonts w:ascii="Arial" w:hAnsi="Arial" w:cs="Arial"/>
          <w:sz w:val="22"/>
          <w:szCs w:val="22"/>
        </w:rPr>
        <w:t xml:space="preserve">nebo předkupního práva </w:t>
      </w:r>
      <w:r w:rsidRPr="00EF7703">
        <w:rPr>
          <w:rFonts w:ascii="Arial" w:hAnsi="Arial" w:cs="Arial"/>
          <w:sz w:val="22"/>
          <w:szCs w:val="22"/>
        </w:rPr>
        <w:t xml:space="preserve">pro kupujícího, budou v takovém případě opraveny tak, aby na základě takto opravené smlouvy mohl být proveden vklad vlastnického </w:t>
      </w:r>
      <w:r>
        <w:rPr>
          <w:rFonts w:ascii="Arial" w:hAnsi="Arial" w:cs="Arial"/>
          <w:sz w:val="22"/>
          <w:szCs w:val="22"/>
        </w:rPr>
        <w:t xml:space="preserve">a předkupního práva </w:t>
      </w:r>
      <w:r w:rsidRPr="00EF7703">
        <w:rPr>
          <w:rFonts w:ascii="Arial" w:hAnsi="Arial" w:cs="Arial"/>
          <w:sz w:val="22"/>
          <w:szCs w:val="22"/>
        </w:rPr>
        <w:t xml:space="preserve">pro kupujícího. </w:t>
      </w:r>
    </w:p>
    <w:p w:rsidR="002D5A89" w:rsidRPr="00EE0437" w:rsidRDefault="002D5A89" w:rsidP="002D5A89">
      <w:pPr>
        <w:pStyle w:val="Zkladntextodsazen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sjednávají rozvazovací podmínku, pokud</w:t>
      </w:r>
      <w:r w:rsidRPr="00AC38E7">
        <w:rPr>
          <w:rFonts w:ascii="Arial" w:hAnsi="Arial" w:cs="Arial"/>
          <w:sz w:val="22"/>
          <w:szCs w:val="22"/>
        </w:rPr>
        <w:t xml:space="preserve"> důvodem pro pravomocné rozhodnutí</w:t>
      </w:r>
      <w:r>
        <w:rPr>
          <w:rFonts w:ascii="Arial" w:hAnsi="Arial" w:cs="Arial"/>
          <w:sz w:val="22"/>
          <w:szCs w:val="22"/>
        </w:rPr>
        <w:t xml:space="preserve"> příslušného katastrálního úřadu</w:t>
      </w:r>
      <w:r w:rsidRPr="00AC38E7">
        <w:rPr>
          <w:rFonts w:ascii="Arial" w:hAnsi="Arial" w:cs="Arial"/>
          <w:sz w:val="22"/>
          <w:szCs w:val="22"/>
        </w:rPr>
        <w:t xml:space="preserve"> o zastavení řízení, event. pravomocné rozhodnutí o zamítnutí vkladu vlastnického práva na základě této smlouvy, budou skutečnosti takové povahy, že nebude moci být sepsána opravená kupní s</w:t>
      </w:r>
      <w:r>
        <w:rPr>
          <w:rFonts w:ascii="Arial" w:hAnsi="Arial" w:cs="Arial"/>
          <w:sz w:val="22"/>
          <w:szCs w:val="22"/>
        </w:rPr>
        <w:t>mlouva dle předchozího odstavce</w:t>
      </w:r>
      <w:r w:rsidRPr="00AC38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C38E7">
        <w:rPr>
          <w:rFonts w:ascii="Arial" w:hAnsi="Arial" w:cs="Arial"/>
          <w:sz w:val="22"/>
          <w:szCs w:val="22"/>
        </w:rPr>
        <w:t xml:space="preserve">ak, že právní mocí tohoto rozhodnutí zaniká </w:t>
      </w:r>
      <w:r>
        <w:rPr>
          <w:rFonts w:ascii="Arial" w:hAnsi="Arial" w:cs="Arial"/>
          <w:sz w:val="22"/>
          <w:szCs w:val="22"/>
        </w:rPr>
        <w:t xml:space="preserve">platnost a </w:t>
      </w:r>
      <w:r w:rsidRPr="00AC38E7">
        <w:rPr>
          <w:rFonts w:ascii="Arial" w:hAnsi="Arial" w:cs="Arial"/>
          <w:sz w:val="22"/>
          <w:szCs w:val="22"/>
        </w:rPr>
        <w:t xml:space="preserve">účinnost této kupní smlouvy a </w:t>
      </w:r>
      <w:r>
        <w:rPr>
          <w:rFonts w:ascii="Arial" w:hAnsi="Arial" w:cs="Arial"/>
          <w:sz w:val="22"/>
          <w:szCs w:val="22"/>
        </w:rPr>
        <w:t>smluvní strany</w:t>
      </w:r>
      <w:r w:rsidRPr="00AC38E7">
        <w:rPr>
          <w:rFonts w:ascii="Arial" w:hAnsi="Arial" w:cs="Arial"/>
          <w:sz w:val="22"/>
          <w:szCs w:val="22"/>
        </w:rPr>
        <w:t xml:space="preserve"> si bez zbytečného odkladu vrátí poskytnutá plnění a ponesou si své náklady. </w:t>
      </w:r>
    </w:p>
    <w:p w:rsidR="002D5A89" w:rsidRPr="00E926EA" w:rsidRDefault="002D5A89" w:rsidP="002D5A89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VI</w:t>
      </w:r>
      <w:r w:rsidRPr="00E926EA">
        <w:rPr>
          <w:rFonts w:cs="Arial"/>
          <w:b/>
          <w:bCs/>
        </w:rPr>
        <w:t>.</w:t>
      </w:r>
    </w:p>
    <w:p w:rsidR="002D5A89" w:rsidRPr="00E926EA" w:rsidRDefault="002D5A89" w:rsidP="002D5A89">
      <w:pPr>
        <w:jc w:val="center"/>
        <w:rPr>
          <w:rFonts w:cs="Arial"/>
          <w:b/>
        </w:rPr>
      </w:pPr>
      <w:r w:rsidRPr="00E926EA">
        <w:rPr>
          <w:rFonts w:cs="Arial"/>
          <w:b/>
        </w:rPr>
        <w:t>Nabytí vlastnictví</w:t>
      </w:r>
    </w:p>
    <w:p w:rsidR="002D5A89" w:rsidRPr="00E926EA" w:rsidRDefault="002D5A89" w:rsidP="002D5A89">
      <w:pPr>
        <w:pStyle w:val="Zkladntextodsazen2"/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E926EA">
        <w:rPr>
          <w:rFonts w:ascii="Arial" w:hAnsi="Arial" w:cs="Arial"/>
          <w:sz w:val="22"/>
          <w:szCs w:val="22"/>
        </w:rPr>
        <w:t xml:space="preserve"> nabude vlastnické právo k předmětu </w:t>
      </w:r>
      <w:r>
        <w:rPr>
          <w:rFonts w:ascii="Arial" w:hAnsi="Arial" w:cs="Arial"/>
          <w:sz w:val="22"/>
          <w:szCs w:val="22"/>
        </w:rPr>
        <w:t>koupě zápisem do veřejného seznamu, a to</w:t>
      </w:r>
      <w:r w:rsidRPr="00E926EA">
        <w:rPr>
          <w:rFonts w:ascii="Arial" w:hAnsi="Arial" w:cs="Arial"/>
          <w:sz w:val="22"/>
          <w:szCs w:val="22"/>
        </w:rPr>
        <w:t xml:space="preserve"> vkladem do katastru nemovitostí u Katastrálního úřadu pro</w:t>
      </w:r>
      <w:r>
        <w:rPr>
          <w:rFonts w:ascii="Arial" w:hAnsi="Arial" w:cs="Arial"/>
          <w:sz w:val="22"/>
          <w:szCs w:val="22"/>
        </w:rPr>
        <w:t xml:space="preserve"> Ústecký kraj</w:t>
      </w:r>
      <w:r w:rsidRPr="00E926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Katastrální </w:t>
      </w:r>
      <w:r w:rsidRPr="00E926EA">
        <w:rPr>
          <w:rFonts w:ascii="Arial" w:hAnsi="Arial" w:cs="Arial"/>
          <w:sz w:val="22"/>
          <w:szCs w:val="22"/>
        </w:rPr>
        <w:t>pracoviště</w:t>
      </w:r>
      <w:r>
        <w:rPr>
          <w:rFonts w:ascii="Arial" w:hAnsi="Arial" w:cs="Arial"/>
          <w:sz w:val="22"/>
          <w:szCs w:val="22"/>
        </w:rPr>
        <w:t xml:space="preserve"> Děčín.</w:t>
      </w:r>
    </w:p>
    <w:p w:rsidR="002D5A89" w:rsidRPr="00E926EA" w:rsidRDefault="002D5A89" w:rsidP="002D5A89">
      <w:pPr>
        <w:pStyle w:val="Zkladntextodsazen2"/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926EA">
        <w:rPr>
          <w:rFonts w:ascii="Arial" w:hAnsi="Arial" w:cs="Arial"/>
          <w:sz w:val="22"/>
          <w:szCs w:val="22"/>
        </w:rPr>
        <w:t xml:space="preserve">Na základě této smlouvy podají smluvní strany společný návrh na zahájení řízení o povolení vkladu do katastru nemovitostí. Správní poplatek za podání tohoto návrhu zaplatí </w:t>
      </w:r>
      <w:r>
        <w:rPr>
          <w:rFonts w:ascii="Arial" w:hAnsi="Arial" w:cs="Arial"/>
          <w:sz w:val="22"/>
          <w:szCs w:val="22"/>
        </w:rPr>
        <w:t xml:space="preserve">kupující, </w:t>
      </w:r>
      <w:r w:rsidRPr="00E926EA">
        <w:rPr>
          <w:rFonts w:ascii="Arial" w:hAnsi="Arial" w:cs="Arial"/>
          <w:sz w:val="22"/>
          <w:szCs w:val="22"/>
        </w:rPr>
        <w:t xml:space="preserve">a to tak, že v den podpisu </w:t>
      </w:r>
      <w:r>
        <w:rPr>
          <w:rFonts w:ascii="Arial" w:hAnsi="Arial" w:cs="Arial"/>
          <w:sz w:val="22"/>
          <w:szCs w:val="22"/>
        </w:rPr>
        <w:t>této kupní</w:t>
      </w:r>
      <w:r w:rsidRPr="00E926EA">
        <w:rPr>
          <w:rFonts w:ascii="Arial" w:hAnsi="Arial" w:cs="Arial"/>
          <w:sz w:val="22"/>
          <w:szCs w:val="22"/>
        </w:rPr>
        <w:t xml:space="preserve"> smlouvy předá </w:t>
      </w:r>
      <w:r>
        <w:rPr>
          <w:rFonts w:ascii="Arial" w:hAnsi="Arial" w:cs="Arial"/>
          <w:sz w:val="22"/>
          <w:szCs w:val="22"/>
        </w:rPr>
        <w:t>prodávajícímu</w:t>
      </w:r>
      <w:r w:rsidRPr="00E926EA">
        <w:rPr>
          <w:rFonts w:ascii="Arial" w:hAnsi="Arial" w:cs="Arial"/>
          <w:sz w:val="22"/>
          <w:szCs w:val="22"/>
        </w:rPr>
        <w:t xml:space="preserve"> kolek v hodnotě </w:t>
      </w:r>
      <w:r>
        <w:rPr>
          <w:rFonts w:ascii="Arial" w:hAnsi="Arial" w:cs="Arial"/>
          <w:sz w:val="22"/>
          <w:szCs w:val="22"/>
        </w:rPr>
        <w:t>1.000</w:t>
      </w:r>
      <w:r w:rsidRPr="00E926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E926EA">
        <w:rPr>
          <w:rFonts w:ascii="Arial" w:hAnsi="Arial" w:cs="Arial"/>
          <w:sz w:val="22"/>
          <w:szCs w:val="22"/>
        </w:rPr>
        <w:t xml:space="preserve"> Kč, který bude vylepen na návrh. </w:t>
      </w:r>
      <w:r w:rsidRPr="00CC308C">
        <w:rPr>
          <w:rFonts w:ascii="Arial" w:hAnsi="Arial" w:cs="Arial"/>
          <w:sz w:val="22"/>
          <w:szCs w:val="22"/>
        </w:rPr>
        <w:t>Návrh doručuje katastrálnímu úřadu prodávající poté, kdy tato smlouva nabude účinnosti.</w:t>
      </w:r>
    </w:p>
    <w:p w:rsidR="002D5A89" w:rsidRPr="00427D3B" w:rsidRDefault="002D5A89" w:rsidP="002D5A89">
      <w:pPr>
        <w:pStyle w:val="Zkladntextodsazen2"/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926EA">
        <w:rPr>
          <w:rFonts w:ascii="Arial" w:hAnsi="Arial" w:cs="Arial"/>
          <w:sz w:val="22"/>
          <w:szCs w:val="22"/>
        </w:rPr>
        <w:t xml:space="preserve">Na základě této </w:t>
      </w:r>
      <w:r>
        <w:rPr>
          <w:rFonts w:ascii="Arial" w:hAnsi="Arial" w:cs="Arial"/>
          <w:sz w:val="22"/>
          <w:szCs w:val="22"/>
        </w:rPr>
        <w:t>kupní</w:t>
      </w:r>
      <w:r w:rsidRPr="00E926EA">
        <w:rPr>
          <w:rFonts w:ascii="Arial" w:hAnsi="Arial" w:cs="Arial"/>
          <w:sz w:val="22"/>
          <w:szCs w:val="22"/>
        </w:rPr>
        <w:t xml:space="preserve"> smlouvy zapíše Katastrální úřad pro</w:t>
      </w:r>
      <w:r>
        <w:rPr>
          <w:rFonts w:ascii="Arial" w:hAnsi="Arial" w:cs="Arial"/>
          <w:sz w:val="22"/>
          <w:szCs w:val="22"/>
        </w:rPr>
        <w:t xml:space="preserve"> Ústecký kraj</w:t>
      </w:r>
      <w:r w:rsidRPr="00E926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Katastrální </w:t>
      </w:r>
      <w:r w:rsidRPr="00E926EA">
        <w:rPr>
          <w:rFonts w:ascii="Arial" w:hAnsi="Arial" w:cs="Arial"/>
          <w:sz w:val="22"/>
          <w:szCs w:val="22"/>
        </w:rPr>
        <w:t>pracoviště</w:t>
      </w:r>
      <w:r>
        <w:rPr>
          <w:rFonts w:ascii="Arial" w:hAnsi="Arial" w:cs="Arial"/>
          <w:sz w:val="22"/>
          <w:szCs w:val="22"/>
        </w:rPr>
        <w:t xml:space="preserve"> Děčín</w:t>
      </w:r>
      <w:r w:rsidRPr="00E926EA">
        <w:rPr>
          <w:rFonts w:ascii="Arial" w:hAnsi="Arial" w:cs="Arial"/>
          <w:sz w:val="22"/>
          <w:szCs w:val="22"/>
        </w:rPr>
        <w:t xml:space="preserve"> změn</w:t>
      </w:r>
      <w:r>
        <w:rPr>
          <w:rFonts w:ascii="Arial" w:hAnsi="Arial" w:cs="Arial"/>
          <w:sz w:val="22"/>
          <w:szCs w:val="22"/>
        </w:rPr>
        <w:t>u</w:t>
      </w:r>
      <w:r w:rsidRPr="00E926EA">
        <w:rPr>
          <w:rFonts w:ascii="Arial" w:hAnsi="Arial" w:cs="Arial"/>
          <w:sz w:val="22"/>
          <w:szCs w:val="22"/>
        </w:rPr>
        <w:t xml:space="preserve"> vlastnického práva k předmětu </w:t>
      </w:r>
      <w:r>
        <w:rPr>
          <w:rFonts w:ascii="Arial" w:hAnsi="Arial" w:cs="Arial"/>
          <w:sz w:val="22"/>
          <w:szCs w:val="22"/>
        </w:rPr>
        <w:t>koupě</w:t>
      </w:r>
      <w:r w:rsidRPr="00E926EA">
        <w:rPr>
          <w:rFonts w:ascii="Arial" w:hAnsi="Arial" w:cs="Arial"/>
          <w:sz w:val="22"/>
          <w:szCs w:val="22"/>
        </w:rPr>
        <w:t xml:space="preserve"> podle této smlouvy.</w:t>
      </w:r>
    </w:p>
    <w:p w:rsidR="002D5A89" w:rsidRPr="00E926EA" w:rsidRDefault="002D5A89" w:rsidP="002D5A89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V</w:t>
      </w:r>
      <w:r>
        <w:rPr>
          <w:rFonts w:cs="Arial"/>
          <w:b/>
          <w:bCs/>
        </w:rPr>
        <w:t>III</w:t>
      </w:r>
      <w:r w:rsidRPr="00E926EA">
        <w:rPr>
          <w:rFonts w:cs="Arial"/>
          <w:b/>
          <w:bCs/>
        </w:rPr>
        <w:t>.</w:t>
      </w:r>
    </w:p>
    <w:p w:rsidR="002D5A89" w:rsidRPr="00E926EA" w:rsidRDefault="002D5A89" w:rsidP="002D5A89">
      <w:pPr>
        <w:jc w:val="center"/>
        <w:rPr>
          <w:rFonts w:cs="Arial"/>
          <w:b/>
        </w:rPr>
      </w:pPr>
      <w:r w:rsidRPr="00E926EA">
        <w:rPr>
          <w:rFonts w:cs="Arial"/>
          <w:b/>
        </w:rPr>
        <w:t>Ostatní ujednání</w:t>
      </w:r>
    </w:p>
    <w:p w:rsidR="002D5A89" w:rsidRPr="00931355" w:rsidRDefault="002D5A89" w:rsidP="002D5A89">
      <w:pPr>
        <w:pStyle w:val="Zkladntextodsazen2"/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1355">
        <w:rPr>
          <w:rFonts w:ascii="Arial" w:hAnsi="Arial" w:cs="Arial"/>
          <w:sz w:val="22"/>
          <w:szCs w:val="22"/>
        </w:rPr>
        <w:t>Smluvní strany se dohodly na tom, že kupující má ode dne účinnosti této kupní smlouvy právo vstupu a užívání předmětu koupě.</w:t>
      </w:r>
    </w:p>
    <w:p w:rsidR="002D5A89" w:rsidRDefault="002D5A89" w:rsidP="002D5A89">
      <w:pPr>
        <w:pStyle w:val="Zkladntextodsazen2"/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1355">
        <w:rPr>
          <w:rFonts w:ascii="Arial" w:hAnsi="Arial" w:cs="Arial"/>
          <w:sz w:val="22"/>
          <w:szCs w:val="22"/>
        </w:rPr>
        <w:t>Nebezpečí škody na předmětu koupě přechází na kupujícího dnem účinnosti této kupní smlouvy.</w:t>
      </w:r>
    </w:p>
    <w:p w:rsidR="002D5A89" w:rsidRPr="00EE0437" w:rsidRDefault="002D5A89" w:rsidP="002D5A89">
      <w:pPr>
        <w:pStyle w:val="Zkladntextodsazen2"/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6CA6">
        <w:rPr>
          <w:rFonts w:ascii="Arial" w:hAnsi="Arial" w:cs="Arial"/>
          <w:sz w:val="22"/>
          <w:szCs w:val="22"/>
        </w:rPr>
        <w:t>Prodávající se zavazuje předat kupujícímu předmět koupě nejpozději do 15 dnů ode dne nabytí účinnosti této kupní smlouvy. O předání a převzetí předmětu koupě bude pořízen protokol o předání a převzetí nemovitých věcí podepsaný oběma smluvními stranami.</w:t>
      </w:r>
    </w:p>
    <w:p w:rsidR="002D5A89" w:rsidRPr="00E926EA" w:rsidRDefault="002D5A89" w:rsidP="002D5A89">
      <w:pPr>
        <w:jc w:val="center"/>
        <w:rPr>
          <w:rFonts w:cs="Arial"/>
          <w:b/>
        </w:rPr>
      </w:pPr>
      <w:r>
        <w:rPr>
          <w:rFonts w:cs="Arial"/>
          <w:b/>
          <w:bCs/>
        </w:rPr>
        <w:lastRenderedPageBreak/>
        <w:t>IX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2D5A89" w:rsidRPr="00E926EA" w:rsidRDefault="002D5A89" w:rsidP="002D5A89">
      <w:pPr>
        <w:pStyle w:val="Zkladntext"/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26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Prodávající</w:t>
      </w:r>
      <w:r w:rsidRPr="00E926EA">
        <w:rPr>
          <w:rFonts w:ascii="Arial" w:hAnsi="Arial" w:cs="Arial"/>
          <w:sz w:val="22"/>
          <w:szCs w:val="22"/>
        </w:rPr>
        <w:t xml:space="preserve"> </w:t>
      </w:r>
      <w:r w:rsidRPr="00E926EA">
        <w:rPr>
          <w:rFonts w:ascii="Arial" w:hAnsi="Arial" w:cs="Arial"/>
          <w:bCs/>
          <w:sz w:val="22"/>
          <w:szCs w:val="22"/>
        </w:rPr>
        <w:t>tímto potvrzuje, že:</w:t>
      </w:r>
    </w:p>
    <w:p w:rsidR="002D5A89" w:rsidRPr="00E926EA" w:rsidRDefault="002D5A89" w:rsidP="002D5A89">
      <w:pPr>
        <w:pStyle w:val="Zkladntext"/>
        <w:numPr>
          <w:ilvl w:val="1"/>
          <w:numId w:val="23"/>
        </w:numPr>
        <w:tabs>
          <w:tab w:val="clear" w:pos="1440"/>
          <w:tab w:val="left" w:pos="720"/>
        </w:tabs>
        <w:spacing w:after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záměr kraje prod</w:t>
      </w:r>
      <w:r w:rsidRPr="00E926EA">
        <w:rPr>
          <w:rFonts w:ascii="Arial" w:hAnsi="Arial" w:cs="Arial"/>
          <w:bCs/>
          <w:sz w:val="22"/>
          <w:szCs w:val="22"/>
        </w:rPr>
        <w:t xml:space="preserve">at </w:t>
      </w:r>
      <w:r>
        <w:rPr>
          <w:rFonts w:ascii="Arial" w:hAnsi="Arial" w:cs="Arial"/>
          <w:bCs/>
          <w:sz w:val="22"/>
          <w:szCs w:val="22"/>
        </w:rPr>
        <w:t>předmět koupě</w:t>
      </w:r>
      <w:r w:rsidRPr="00E926E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byl </w:t>
      </w:r>
      <w:r w:rsidRPr="00E926EA">
        <w:rPr>
          <w:rFonts w:ascii="Arial" w:hAnsi="Arial" w:cs="Arial"/>
          <w:bCs/>
          <w:sz w:val="22"/>
          <w:szCs w:val="22"/>
        </w:rPr>
        <w:t>dle § 18 odst. 1 zák</w:t>
      </w:r>
      <w:r>
        <w:rPr>
          <w:rFonts w:ascii="Arial" w:hAnsi="Arial" w:cs="Arial"/>
          <w:bCs/>
          <w:sz w:val="22"/>
          <w:szCs w:val="22"/>
        </w:rPr>
        <w:t>.</w:t>
      </w:r>
      <w:r w:rsidRPr="00E926EA">
        <w:rPr>
          <w:rFonts w:ascii="Arial" w:hAnsi="Arial" w:cs="Arial"/>
          <w:bCs/>
          <w:sz w:val="22"/>
          <w:szCs w:val="22"/>
        </w:rPr>
        <w:t xml:space="preserve"> č. 129/2000 Sb., o krajích (krajské zřízení), ve znění pozdějších předpisů, zveřejněn dne </w:t>
      </w:r>
      <w:r>
        <w:rPr>
          <w:rFonts w:ascii="Arial" w:hAnsi="Arial" w:cs="Arial"/>
          <w:bCs/>
          <w:sz w:val="22"/>
          <w:szCs w:val="22"/>
        </w:rPr>
        <w:t xml:space="preserve">4. 4. 2019 </w:t>
      </w:r>
      <w:r w:rsidRPr="00E926EA">
        <w:rPr>
          <w:rFonts w:ascii="Arial" w:hAnsi="Arial" w:cs="Arial"/>
          <w:bCs/>
          <w:sz w:val="22"/>
          <w:szCs w:val="22"/>
        </w:rPr>
        <w:t xml:space="preserve">po dobu </w:t>
      </w:r>
      <w:r>
        <w:rPr>
          <w:rFonts w:ascii="Arial" w:hAnsi="Arial" w:cs="Arial"/>
          <w:bCs/>
          <w:sz w:val="22"/>
          <w:szCs w:val="22"/>
        </w:rPr>
        <w:t>30</w:t>
      </w:r>
      <w:r w:rsidRPr="00E926EA">
        <w:rPr>
          <w:rFonts w:ascii="Arial" w:hAnsi="Arial" w:cs="Arial"/>
          <w:bCs/>
          <w:sz w:val="22"/>
          <w:szCs w:val="22"/>
        </w:rPr>
        <w:t xml:space="preserve"> dnů před projednáním v Zastupitelstvu Ústeckého kraje na úřední desce krajského úřadu;</w:t>
      </w:r>
    </w:p>
    <w:p w:rsidR="002D5A89" w:rsidRPr="00CC46C4" w:rsidRDefault="002D5A89" w:rsidP="002D5A89">
      <w:pPr>
        <w:pStyle w:val="Zkladntext"/>
        <w:numPr>
          <w:ilvl w:val="1"/>
          <w:numId w:val="23"/>
        </w:numPr>
        <w:tabs>
          <w:tab w:val="clear" w:pos="1440"/>
          <w:tab w:val="left" w:pos="720"/>
        </w:tabs>
        <w:spacing w:after="120"/>
        <w:ind w:left="720"/>
        <w:rPr>
          <w:rFonts w:ascii="Arial" w:hAnsi="Arial" w:cs="Arial"/>
          <w:bCs/>
          <w:sz w:val="22"/>
          <w:szCs w:val="22"/>
        </w:rPr>
      </w:pPr>
      <w:r w:rsidRPr="00E926EA">
        <w:rPr>
          <w:rFonts w:ascii="Arial" w:hAnsi="Arial" w:cs="Arial"/>
          <w:sz w:val="22"/>
          <w:szCs w:val="22"/>
        </w:rPr>
        <w:t xml:space="preserve">o převodu </w:t>
      </w:r>
      <w:r w:rsidRPr="00715C2E">
        <w:rPr>
          <w:rFonts w:ascii="Arial" w:hAnsi="Arial" w:cs="Arial"/>
          <w:sz w:val="22"/>
          <w:szCs w:val="22"/>
        </w:rPr>
        <w:t>nemovit</w:t>
      </w:r>
      <w:r w:rsidR="003B4E31">
        <w:rPr>
          <w:rFonts w:ascii="Arial" w:hAnsi="Arial" w:cs="Arial"/>
          <w:sz w:val="22"/>
          <w:szCs w:val="22"/>
        </w:rPr>
        <w:t>ých</w:t>
      </w:r>
      <w:r w:rsidRPr="00715C2E">
        <w:rPr>
          <w:rFonts w:ascii="Arial" w:hAnsi="Arial" w:cs="Arial"/>
          <w:sz w:val="22"/>
          <w:szCs w:val="22"/>
        </w:rPr>
        <w:t xml:space="preserve"> věc</w:t>
      </w:r>
      <w:r w:rsidR="003B4E31">
        <w:rPr>
          <w:rFonts w:ascii="Arial" w:hAnsi="Arial" w:cs="Arial"/>
          <w:sz w:val="22"/>
          <w:szCs w:val="22"/>
        </w:rPr>
        <w:t>í</w:t>
      </w:r>
      <w:r w:rsidRPr="00E926EA">
        <w:rPr>
          <w:rFonts w:ascii="Arial" w:hAnsi="Arial" w:cs="Arial"/>
          <w:sz w:val="22"/>
          <w:szCs w:val="22"/>
        </w:rPr>
        <w:t xml:space="preserve"> bylo rozhodnuto Zastupitelstv</w:t>
      </w:r>
      <w:r>
        <w:rPr>
          <w:rFonts w:ascii="Arial" w:hAnsi="Arial" w:cs="Arial"/>
          <w:sz w:val="22"/>
          <w:szCs w:val="22"/>
        </w:rPr>
        <w:t>em</w:t>
      </w:r>
      <w:r w:rsidRPr="00E926EA">
        <w:rPr>
          <w:rFonts w:ascii="Arial" w:hAnsi="Arial" w:cs="Arial"/>
          <w:sz w:val="22"/>
          <w:szCs w:val="22"/>
        </w:rPr>
        <w:t xml:space="preserve"> Ústeckého kraje </w:t>
      </w:r>
      <w:r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E926EA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060/20Z/2019</w:t>
      </w:r>
      <w:r w:rsidRPr="00E926EA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24. 6. 2019.</w:t>
      </w:r>
    </w:p>
    <w:p w:rsidR="002D5A89" w:rsidRPr="00E926EA" w:rsidRDefault="002D5A89" w:rsidP="002D5A89">
      <w:pPr>
        <w:pStyle w:val="Zkladntext"/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E926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Kupující</w:t>
      </w:r>
      <w:r w:rsidRPr="00E926EA">
        <w:rPr>
          <w:rFonts w:ascii="Arial" w:hAnsi="Arial" w:cs="Arial"/>
          <w:sz w:val="22"/>
          <w:szCs w:val="22"/>
        </w:rPr>
        <w:t xml:space="preserve"> </w:t>
      </w:r>
      <w:r w:rsidRPr="00E926EA">
        <w:rPr>
          <w:rFonts w:ascii="Arial" w:hAnsi="Arial" w:cs="Arial"/>
          <w:bCs/>
          <w:sz w:val="22"/>
          <w:szCs w:val="22"/>
        </w:rPr>
        <w:t>tímto potvrzuje, že:</w:t>
      </w:r>
    </w:p>
    <w:p w:rsidR="002D5A89" w:rsidRPr="00CC46C4" w:rsidRDefault="002D5A89" w:rsidP="002D5A89">
      <w:pPr>
        <w:pStyle w:val="Zkladntext"/>
        <w:numPr>
          <w:ilvl w:val="0"/>
          <w:numId w:val="36"/>
        </w:numPr>
        <w:tabs>
          <w:tab w:val="clear" w:pos="1440"/>
        </w:tabs>
        <w:spacing w:after="120"/>
        <w:ind w:left="567" w:hanging="283"/>
        <w:rPr>
          <w:rFonts w:ascii="Arial" w:hAnsi="Arial" w:cs="Arial"/>
          <w:bCs/>
          <w:sz w:val="22"/>
          <w:szCs w:val="22"/>
        </w:rPr>
      </w:pPr>
      <w:r w:rsidRPr="00E926EA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nabytí</w:t>
      </w:r>
      <w:r w:rsidRPr="00E926EA">
        <w:rPr>
          <w:rFonts w:ascii="Arial" w:hAnsi="Arial" w:cs="Arial"/>
          <w:sz w:val="22"/>
          <w:szCs w:val="22"/>
        </w:rPr>
        <w:t xml:space="preserve"> </w:t>
      </w:r>
      <w:r w:rsidRPr="00715C2E">
        <w:rPr>
          <w:rFonts w:ascii="Arial" w:hAnsi="Arial" w:cs="Arial"/>
          <w:sz w:val="22"/>
          <w:szCs w:val="22"/>
        </w:rPr>
        <w:t>nemovit</w:t>
      </w:r>
      <w:r>
        <w:rPr>
          <w:rFonts w:ascii="Arial" w:hAnsi="Arial" w:cs="Arial"/>
          <w:sz w:val="22"/>
          <w:szCs w:val="22"/>
        </w:rPr>
        <w:t>ých</w:t>
      </w:r>
      <w:r w:rsidRPr="00715C2E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í</w:t>
      </w:r>
      <w:r w:rsidRPr="00E926EA">
        <w:rPr>
          <w:rFonts w:ascii="Arial" w:hAnsi="Arial" w:cs="Arial"/>
          <w:sz w:val="22"/>
          <w:szCs w:val="22"/>
        </w:rPr>
        <w:t xml:space="preserve"> bylo rozhodnuto Zastupitelstv</w:t>
      </w:r>
      <w:r>
        <w:rPr>
          <w:rFonts w:ascii="Arial" w:hAnsi="Arial" w:cs="Arial"/>
          <w:sz w:val="22"/>
          <w:szCs w:val="22"/>
        </w:rPr>
        <w:t>em</w:t>
      </w:r>
      <w:r w:rsidRPr="00E926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obce Hřensko usnesením </w:t>
      </w:r>
      <w:r>
        <w:rPr>
          <w:rFonts w:ascii="Arial" w:hAnsi="Arial" w:cs="Arial"/>
          <w:sz w:val="22"/>
          <w:szCs w:val="22"/>
        </w:rPr>
        <w:br/>
      </w:r>
      <w:r w:rsidRPr="00E926EA">
        <w:rPr>
          <w:rFonts w:ascii="Arial" w:hAnsi="Arial" w:cs="Arial"/>
          <w:sz w:val="22"/>
          <w:szCs w:val="22"/>
        </w:rPr>
        <w:t xml:space="preserve">č. </w:t>
      </w:r>
      <w:r w:rsidR="00DE766A">
        <w:rPr>
          <w:rFonts w:ascii="Arial" w:hAnsi="Arial" w:cs="Arial"/>
          <w:sz w:val="22"/>
          <w:szCs w:val="22"/>
        </w:rPr>
        <w:t>42/3/2019</w:t>
      </w:r>
      <w:r w:rsidRPr="00E926EA">
        <w:rPr>
          <w:rFonts w:ascii="Arial" w:hAnsi="Arial" w:cs="Arial"/>
          <w:sz w:val="22"/>
          <w:szCs w:val="22"/>
        </w:rPr>
        <w:t xml:space="preserve"> ze dne </w:t>
      </w:r>
      <w:r w:rsidR="00DE766A">
        <w:rPr>
          <w:rFonts w:ascii="Arial" w:hAnsi="Arial" w:cs="Arial"/>
          <w:sz w:val="22"/>
          <w:szCs w:val="22"/>
        </w:rPr>
        <w:t>13. března 2019.</w:t>
      </w:r>
    </w:p>
    <w:p w:rsidR="002D5A89" w:rsidRPr="00E926EA" w:rsidRDefault="002D5A89" w:rsidP="002D5A89">
      <w:pPr>
        <w:pStyle w:val="Zkladntext"/>
        <w:widowControl w:val="0"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E926EA">
        <w:rPr>
          <w:rFonts w:ascii="Arial" w:hAnsi="Arial" w:cs="Arial"/>
          <w:sz w:val="22"/>
          <w:szCs w:val="22"/>
        </w:rPr>
        <w:t xml:space="preserve">Tuto smlouvu lze měnit či doplňovat </w:t>
      </w:r>
      <w:r>
        <w:rPr>
          <w:rFonts w:ascii="Arial" w:hAnsi="Arial" w:cs="Arial"/>
          <w:sz w:val="22"/>
          <w:szCs w:val="22"/>
        </w:rPr>
        <w:t xml:space="preserve">pouze </w:t>
      </w:r>
      <w:r w:rsidRPr="00E926EA">
        <w:rPr>
          <w:rFonts w:ascii="Arial" w:hAnsi="Arial" w:cs="Arial"/>
          <w:sz w:val="22"/>
          <w:szCs w:val="22"/>
        </w:rPr>
        <w:t xml:space="preserve">po dohodě smluvních stran formou písemných a číslovaných dodatků. </w:t>
      </w:r>
    </w:p>
    <w:p w:rsidR="002D5A89" w:rsidRPr="00E926EA" w:rsidRDefault="002D5A89" w:rsidP="002D5A89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E926EA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</w:t>
      </w:r>
      <w:r w:rsidRPr="00326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právními předpisy upravujícími hospodaření územních samosprávných celků</w:t>
      </w:r>
      <w:r w:rsidRPr="00E926EA">
        <w:rPr>
          <w:rFonts w:ascii="Arial" w:hAnsi="Arial" w:cs="Arial"/>
          <w:sz w:val="22"/>
          <w:szCs w:val="22"/>
        </w:rPr>
        <w:t>.</w:t>
      </w:r>
    </w:p>
    <w:p w:rsidR="002D5A89" w:rsidRDefault="002D5A89" w:rsidP="002D5A89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551E13">
        <w:rPr>
          <w:rFonts w:ascii="Arial" w:hAnsi="Arial" w:cs="Arial"/>
          <w:sz w:val="22"/>
          <w:szCs w:val="22"/>
        </w:rPr>
        <w:t>Tato smlouva je provedena v</w:t>
      </w:r>
      <w:r>
        <w:rPr>
          <w:rFonts w:ascii="Arial" w:hAnsi="Arial" w:cs="Arial"/>
          <w:sz w:val="22"/>
          <w:szCs w:val="22"/>
        </w:rPr>
        <w:t>e</w:t>
      </w:r>
      <w:r w:rsidRPr="00551E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551E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vyhotoveních s platností originálu, přičemž</w:t>
      </w:r>
      <w:r w:rsidRPr="00551E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prodávající a kupující obdrží 1 vyhotovení </w:t>
      </w:r>
      <w:r w:rsidRPr="00551E1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1 vyhotovení</w:t>
      </w:r>
      <w:r w:rsidRPr="00551E13">
        <w:rPr>
          <w:rFonts w:ascii="Arial" w:hAnsi="Arial" w:cs="Arial"/>
          <w:sz w:val="22"/>
          <w:szCs w:val="22"/>
        </w:rPr>
        <w:t xml:space="preserve"> je určeno pro potřeby katastrálního úřadu. Prvopis smlouvy obsahuje úřední ověření podpis</w:t>
      </w:r>
      <w:r>
        <w:rPr>
          <w:rFonts w:ascii="Arial" w:hAnsi="Arial" w:cs="Arial"/>
          <w:sz w:val="22"/>
          <w:szCs w:val="22"/>
        </w:rPr>
        <w:t>ů</w:t>
      </w:r>
      <w:r w:rsidRPr="00551E13">
        <w:rPr>
          <w:rFonts w:ascii="Arial" w:hAnsi="Arial" w:cs="Arial"/>
          <w:sz w:val="22"/>
          <w:szCs w:val="22"/>
        </w:rPr>
        <w:t xml:space="preserve"> smluvních stran.</w:t>
      </w:r>
    </w:p>
    <w:p w:rsidR="002D5A89" w:rsidRPr="00551E13" w:rsidRDefault="002D5A89" w:rsidP="002D5A89">
      <w:pPr>
        <w:pStyle w:val="Zkladntext"/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Kupující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prodávající, který zároveň zajistí, aby informace o uveřejnění této smlouvy byla zaslána kupujícímu na e-mail: </w:t>
      </w:r>
      <w:r w:rsidR="001E13CE" w:rsidRPr="001E13CE">
        <w:rPr>
          <w:rFonts w:ascii="Arial" w:hAnsi="Arial" w:cs="Arial"/>
          <w:sz w:val="22"/>
          <w:szCs w:val="22"/>
        </w:rPr>
        <w:t>urad@hrensko.cz</w:t>
      </w:r>
    </w:p>
    <w:p w:rsidR="002D5A89" w:rsidRPr="008A6F4E" w:rsidRDefault="002D5A89" w:rsidP="002D5A89">
      <w:pPr>
        <w:spacing w:after="0"/>
        <w:jc w:val="center"/>
        <w:rPr>
          <w:rFonts w:cs="Arial"/>
          <w:b/>
        </w:rPr>
      </w:pPr>
      <w:r w:rsidRPr="00715C2E">
        <w:rPr>
          <w:rFonts w:cs="Arial"/>
          <w:b/>
        </w:rPr>
        <w:t>X.</w:t>
      </w:r>
    </w:p>
    <w:p w:rsidR="002D5A89" w:rsidRPr="008A6F4E" w:rsidRDefault="002D5A89" w:rsidP="002D5A89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2D5A89" w:rsidRDefault="002D5A89" w:rsidP="002D5A89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4069A8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kupující</w:t>
      </w:r>
      <w:r w:rsidRPr="004069A8">
        <w:rPr>
          <w:rFonts w:ascii="Arial" w:hAnsi="Arial" w:cs="Arial"/>
          <w:sz w:val="22"/>
          <w:szCs w:val="22"/>
        </w:rPr>
        <w:t xml:space="preserve">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ascii="Arial" w:hAnsi="Arial" w:cs="Arial"/>
          <w:sz w:val="22"/>
          <w:szCs w:val="22"/>
        </w:rPr>
        <w:t>,</w:t>
      </w:r>
      <w:r w:rsidRPr="004069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důkaz čehož připojují své podpisy.</w:t>
      </w:r>
    </w:p>
    <w:p w:rsidR="002D5A89" w:rsidRPr="000C0F08" w:rsidRDefault="002D5A89" w:rsidP="002D5A89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D5A89" w:rsidRPr="00CB22B7" w:rsidTr="004C0CB4">
        <w:tc>
          <w:tcPr>
            <w:tcW w:w="4606" w:type="dxa"/>
          </w:tcPr>
          <w:p w:rsidR="002D5A89" w:rsidRPr="00CB22B7" w:rsidRDefault="002D5A89" w:rsidP="004C0C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>
              <w:rPr>
                <w:rFonts w:cs="Arial"/>
              </w:rPr>
              <w:t> Ústí nad Labem</w:t>
            </w:r>
            <w:r w:rsidRPr="00CB22B7">
              <w:rPr>
                <w:rFonts w:cs="Arial"/>
              </w:rPr>
              <w:t xml:space="preserve"> dne …………………</w:t>
            </w:r>
          </w:p>
          <w:p w:rsidR="002D5A89" w:rsidRDefault="002D5A89" w:rsidP="004C0C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2D5A89" w:rsidRPr="00CB22B7" w:rsidRDefault="002D5A89" w:rsidP="004C0C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2D5A89" w:rsidRPr="00CB22B7" w:rsidRDefault="002D5A89" w:rsidP="002D5A8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Hřensku </w:t>
            </w:r>
            <w:r w:rsidRPr="00CB22B7">
              <w:rPr>
                <w:rFonts w:cs="Arial"/>
              </w:rPr>
              <w:t>dne ………</w:t>
            </w:r>
            <w:r>
              <w:rPr>
                <w:rFonts w:cs="Arial"/>
              </w:rPr>
              <w:t>……</w:t>
            </w:r>
            <w:r w:rsidRPr="00CB22B7">
              <w:rPr>
                <w:rFonts w:cs="Arial"/>
              </w:rPr>
              <w:t>……</w:t>
            </w:r>
            <w:proofErr w:type="gramStart"/>
            <w:r w:rsidRPr="00CB22B7">
              <w:rPr>
                <w:rFonts w:cs="Arial"/>
              </w:rPr>
              <w:t>…..</w:t>
            </w:r>
            <w:proofErr w:type="gramEnd"/>
          </w:p>
        </w:tc>
      </w:tr>
      <w:tr w:rsidR="002D5A89" w:rsidRPr="00CB22B7" w:rsidTr="004C0CB4">
        <w:tc>
          <w:tcPr>
            <w:tcW w:w="4606" w:type="dxa"/>
          </w:tcPr>
          <w:p w:rsidR="002D5A89" w:rsidRPr="00CB22B7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CB22B7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2D5A89" w:rsidRPr="00CB22B7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CB22B7">
              <w:rPr>
                <w:rFonts w:cs="Arial"/>
              </w:rPr>
              <w:t>………………………………………</w:t>
            </w:r>
          </w:p>
        </w:tc>
      </w:tr>
      <w:tr w:rsidR="002D5A89" w:rsidRPr="00CB22B7" w:rsidTr="004C0CB4">
        <w:tc>
          <w:tcPr>
            <w:tcW w:w="4606" w:type="dxa"/>
          </w:tcPr>
          <w:p w:rsidR="002D5A89" w:rsidRPr="00CB22B7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2D5A89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CB22B7">
              <w:rPr>
                <w:rFonts w:cs="Arial"/>
              </w:rPr>
              <w:t>Ústecký kraj</w:t>
            </w:r>
            <w:r>
              <w:rPr>
                <w:rFonts w:cs="Arial"/>
              </w:rPr>
              <w:t xml:space="preserve">                                                       </w:t>
            </w:r>
          </w:p>
          <w:p w:rsidR="002D5A89" w:rsidRPr="00CB22B7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Oldřich Bubeníček </w:t>
            </w:r>
          </w:p>
          <w:p w:rsidR="002D5A89" w:rsidRPr="00CB22B7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hejtman Ústeckého kraje</w:t>
            </w:r>
          </w:p>
        </w:tc>
        <w:tc>
          <w:tcPr>
            <w:tcW w:w="4606" w:type="dxa"/>
          </w:tcPr>
          <w:p w:rsidR="002D5A89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2D5A89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Obec Hřensko</w:t>
            </w:r>
          </w:p>
          <w:p w:rsidR="002D5A89" w:rsidRDefault="002D5A89" w:rsidP="004C0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JUDr. Zdeněk Pánek</w:t>
            </w:r>
          </w:p>
          <w:p w:rsidR="002D5A89" w:rsidRPr="00CB22B7" w:rsidRDefault="002D5A89" w:rsidP="002D5A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starosta obce Hřensko</w:t>
            </w:r>
          </w:p>
        </w:tc>
      </w:tr>
    </w:tbl>
    <w:p w:rsidR="002D5A89" w:rsidRDefault="002D5A89" w:rsidP="002D5A89"/>
    <w:p w:rsidR="005826D7" w:rsidRDefault="005826D7" w:rsidP="002D5A89">
      <w:pPr>
        <w:spacing w:before="120" w:after="0"/>
        <w:jc w:val="center"/>
      </w:pPr>
    </w:p>
    <w:sectPr w:rsidR="005826D7" w:rsidSect="00D84F62">
      <w:headerReference w:type="defaul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D8" w:rsidRDefault="004E1DD8">
      <w:r>
        <w:separator/>
      </w:r>
    </w:p>
  </w:endnote>
  <w:endnote w:type="continuationSeparator" w:id="0">
    <w:p w:rsidR="004E1DD8" w:rsidRDefault="004E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74" w:rsidRPr="005C4CB5" w:rsidRDefault="009851CD" w:rsidP="00E04475">
    <w:pPr>
      <w:pStyle w:val="slostrany"/>
      <w:rPr>
        <w:szCs w:val="16"/>
      </w:rPr>
    </w:pPr>
    <w:r>
      <w:t>Von</w:t>
    </w:r>
    <w:r w:rsidR="00C237E4">
      <w:tab/>
    </w:r>
    <w:r w:rsidR="00C237E4">
      <w:tab/>
    </w:r>
    <w:r w:rsidR="00C237E4">
      <w:tab/>
    </w:r>
    <w:r w:rsidR="00C237E4">
      <w:tab/>
    </w:r>
    <w:r w:rsidR="00C237E4">
      <w:tab/>
    </w:r>
    <w:r w:rsidR="00C237E4">
      <w:tab/>
    </w:r>
    <w:r w:rsidR="00C237E4">
      <w:tab/>
    </w:r>
    <w:r w:rsidR="00C237E4">
      <w:tab/>
    </w:r>
    <w:r w:rsidR="00C237E4">
      <w:tab/>
    </w:r>
    <w:r w:rsidR="00C237E4">
      <w:tab/>
    </w:r>
    <w:r w:rsidR="00C237E4">
      <w:tab/>
    </w:r>
    <w:r w:rsidR="00783E74" w:rsidRPr="00BB624C">
      <w:t xml:space="preserve">strana </w:t>
    </w:r>
    <w:r w:rsidR="0028025E">
      <w:fldChar w:fldCharType="begin"/>
    </w:r>
    <w:r w:rsidR="00F7400D">
      <w:instrText xml:space="preserve"> PAGE </w:instrText>
    </w:r>
    <w:r w:rsidR="0028025E">
      <w:fldChar w:fldCharType="separate"/>
    </w:r>
    <w:r w:rsidR="001409B7">
      <w:rPr>
        <w:noProof/>
      </w:rPr>
      <w:t>4</w:t>
    </w:r>
    <w:r w:rsidR="0028025E">
      <w:rPr>
        <w:noProof/>
      </w:rPr>
      <w:fldChar w:fldCharType="end"/>
    </w:r>
    <w:r w:rsidR="00783E74" w:rsidRPr="00BB624C">
      <w:t xml:space="preserve"> /</w:t>
    </w:r>
    <w:r w:rsidR="00783E74">
      <w:t xml:space="preserve"> </w:t>
    </w:r>
    <w:r w:rsidR="0028025E">
      <w:fldChar w:fldCharType="begin"/>
    </w:r>
    <w:r w:rsidR="00F7400D">
      <w:instrText xml:space="preserve"> NUMPAGES </w:instrText>
    </w:r>
    <w:r w:rsidR="0028025E">
      <w:fldChar w:fldCharType="separate"/>
    </w:r>
    <w:r w:rsidR="001409B7">
      <w:rPr>
        <w:noProof/>
      </w:rPr>
      <w:t>4</w:t>
    </w:r>
    <w:r w:rsidR="002802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D8" w:rsidRDefault="004E1DD8">
      <w:r>
        <w:separator/>
      </w:r>
    </w:p>
  </w:footnote>
  <w:footnote w:type="continuationSeparator" w:id="0">
    <w:p w:rsidR="004E1DD8" w:rsidRDefault="004E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74" w:rsidRPr="00933A64" w:rsidRDefault="00783E74" w:rsidP="006F61CC">
    <w:pPr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678" w:rsidRPr="00933A64" w:rsidRDefault="00A60721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0935EA" wp14:editId="576617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A6A99"/>
    <w:multiLevelType w:val="hybridMultilevel"/>
    <w:tmpl w:val="FD6E2FD6"/>
    <w:lvl w:ilvl="0" w:tplc="151E8CE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9C6F11"/>
    <w:multiLevelType w:val="hybridMultilevel"/>
    <w:tmpl w:val="38CEB226"/>
    <w:lvl w:ilvl="0" w:tplc="566019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547FE"/>
    <w:multiLevelType w:val="hybridMultilevel"/>
    <w:tmpl w:val="4680F3B2"/>
    <w:lvl w:ilvl="0" w:tplc="634CDBC2">
      <w:start w:val="1"/>
      <w:numFmt w:val="upperRoman"/>
      <w:lvlText w:val="%1."/>
      <w:lvlJc w:val="left"/>
      <w:pPr>
        <w:tabs>
          <w:tab w:val="num" w:pos="2340"/>
        </w:tabs>
        <w:ind w:left="234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C25A9"/>
    <w:multiLevelType w:val="hybridMultilevel"/>
    <w:tmpl w:val="18305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E32D3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4" w15:restartNumberingAfterBreak="0">
    <w:nsid w:val="6B1D1232"/>
    <w:multiLevelType w:val="multilevel"/>
    <w:tmpl w:val="2B72148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2."/>
      <w:lvlJc w:val="left"/>
      <w:pPr>
        <w:tabs>
          <w:tab w:val="num" w:pos="1247"/>
        </w:tabs>
        <w:ind w:left="1247" w:hanging="6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5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0D20AA"/>
    <w:multiLevelType w:val="multilevel"/>
    <w:tmpl w:val="2B3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7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08" w:hanging="180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23"/>
  </w:num>
  <w:num w:numId="5">
    <w:abstractNumId w:val="2"/>
  </w:num>
  <w:num w:numId="6">
    <w:abstractNumId w:val="6"/>
  </w:num>
  <w:num w:numId="7">
    <w:abstractNumId w:val="22"/>
  </w:num>
  <w:num w:numId="8">
    <w:abstractNumId w:val="20"/>
  </w:num>
  <w:num w:numId="9">
    <w:abstractNumId w:val="14"/>
  </w:num>
  <w:num w:numId="10">
    <w:abstractNumId w:val="15"/>
  </w:num>
  <w:num w:numId="11">
    <w:abstractNumId w:val="3"/>
  </w:num>
  <w:num w:numId="12">
    <w:abstractNumId w:val="27"/>
  </w:num>
  <w:num w:numId="13">
    <w:abstractNumId w:val="7"/>
  </w:num>
  <w:num w:numId="14">
    <w:abstractNumId w:val="21"/>
  </w:num>
  <w:num w:numId="15">
    <w:abstractNumId w:val="10"/>
  </w:num>
  <w:num w:numId="16">
    <w:abstractNumId w:val="17"/>
  </w:num>
  <w:num w:numId="17">
    <w:abstractNumId w:val="28"/>
  </w:num>
  <w:num w:numId="18">
    <w:abstractNumId w:val="25"/>
  </w:num>
  <w:num w:numId="19">
    <w:abstractNumId w:val="30"/>
  </w:num>
  <w:num w:numId="20">
    <w:abstractNumId w:val="1"/>
  </w:num>
  <w:num w:numId="21">
    <w:abstractNumId w:val="26"/>
  </w:num>
  <w:num w:numId="22">
    <w:abstractNumId w:val="29"/>
  </w:num>
  <w:num w:numId="23">
    <w:abstractNumId w:val="19"/>
  </w:num>
  <w:num w:numId="24">
    <w:abstractNumId w:val="16"/>
  </w:num>
  <w:num w:numId="25">
    <w:abstractNumId w:val="13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24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475"/>
    <w:rsid w:val="00000680"/>
    <w:rsid w:val="00002596"/>
    <w:rsid w:val="00010898"/>
    <w:rsid w:val="000209E2"/>
    <w:rsid w:val="00022DFF"/>
    <w:rsid w:val="00024255"/>
    <w:rsid w:val="0002460F"/>
    <w:rsid w:val="00025FE9"/>
    <w:rsid w:val="0003176D"/>
    <w:rsid w:val="00034771"/>
    <w:rsid w:val="00034F18"/>
    <w:rsid w:val="0003582B"/>
    <w:rsid w:val="00041779"/>
    <w:rsid w:val="000454E6"/>
    <w:rsid w:val="00045629"/>
    <w:rsid w:val="00053286"/>
    <w:rsid w:val="000544A3"/>
    <w:rsid w:val="000548AA"/>
    <w:rsid w:val="00055F63"/>
    <w:rsid w:val="00061D3A"/>
    <w:rsid w:val="000645FD"/>
    <w:rsid w:val="0007629E"/>
    <w:rsid w:val="00082D94"/>
    <w:rsid w:val="0009195B"/>
    <w:rsid w:val="00094EDC"/>
    <w:rsid w:val="00096CA6"/>
    <w:rsid w:val="000971B1"/>
    <w:rsid w:val="000A04AE"/>
    <w:rsid w:val="000A2C18"/>
    <w:rsid w:val="000A75F0"/>
    <w:rsid w:val="000B2D54"/>
    <w:rsid w:val="000C0E44"/>
    <w:rsid w:val="000C0EBB"/>
    <w:rsid w:val="000C0F08"/>
    <w:rsid w:val="000C1FF3"/>
    <w:rsid w:val="000C6067"/>
    <w:rsid w:val="000C743F"/>
    <w:rsid w:val="000D0659"/>
    <w:rsid w:val="000D2308"/>
    <w:rsid w:val="000E2F6F"/>
    <w:rsid w:val="000E392E"/>
    <w:rsid w:val="000F00F3"/>
    <w:rsid w:val="000F246F"/>
    <w:rsid w:val="000F7A50"/>
    <w:rsid w:val="00105378"/>
    <w:rsid w:val="001252EF"/>
    <w:rsid w:val="00130CA8"/>
    <w:rsid w:val="00133A5E"/>
    <w:rsid w:val="001344D1"/>
    <w:rsid w:val="001409B7"/>
    <w:rsid w:val="00145163"/>
    <w:rsid w:val="00146C64"/>
    <w:rsid w:val="001477DD"/>
    <w:rsid w:val="00153125"/>
    <w:rsid w:val="00153484"/>
    <w:rsid w:val="00153EE2"/>
    <w:rsid w:val="00155B7D"/>
    <w:rsid w:val="0015696D"/>
    <w:rsid w:val="0015707B"/>
    <w:rsid w:val="001657A7"/>
    <w:rsid w:val="001722D9"/>
    <w:rsid w:val="001779DA"/>
    <w:rsid w:val="0019590A"/>
    <w:rsid w:val="001A0077"/>
    <w:rsid w:val="001A7345"/>
    <w:rsid w:val="001C0F2A"/>
    <w:rsid w:val="001C365F"/>
    <w:rsid w:val="001C466C"/>
    <w:rsid w:val="001D0A33"/>
    <w:rsid w:val="001D0CD9"/>
    <w:rsid w:val="001D2043"/>
    <w:rsid w:val="001D2317"/>
    <w:rsid w:val="001D4614"/>
    <w:rsid w:val="001D6727"/>
    <w:rsid w:val="001E13CE"/>
    <w:rsid w:val="001E2571"/>
    <w:rsid w:val="001E44C7"/>
    <w:rsid w:val="001E4715"/>
    <w:rsid w:val="001E5751"/>
    <w:rsid w:val="001F1BCB"/>
    <w:rsid w:val="001F24B2"/>
    <w:rsid w:val="001F38DE"/>
    <w:rsid w:val="00201BC4"/>
    <w:rsid w:val="00205BEF"/>
    <w:rsid w:val="0022216B"/>
    <w:rsid w:val="002247A5"/>
    <w:rsid w:val="00231FF2"/>
    <w:rsid w:val="00240F10"/>
    <w:rsid w:val="002438F8"/>
    <w:rsid w:val="00247089"/>
    <w:rsid w:val="00255D19"/>
    <w:rsid w:val="002565D9"/>
    <w:rsid w:val="0026465E"/>
    <w:rsid w:val="00264769"/>
    <w:rsid w:val="002706D0"/>
    <w:rsid w:val="00270ED9"/>
    <w:rsid w:val="0028025E"/>
    <w:rsid w:val="0028663B"/>
    <w:rsid w:val="002902E9"/>
    <w:rsid w:val="002A2B3F"/>
    <w:rsid w:val="002A5DA8"/>
    <w:rsid w:val="002B05AF"/>
    <w:rsid w:val="002B0779"/>
    <w:rsid w:val="002B5B2F"/>
    <w:rsid w:val="002C17D5"/>
    <w:rsid w:val="002C2D14"/>
    <w:rsid w:val="002C7444"/>
    <w:rsid w:val="002D5A89"/>
    <w:rsid w:val="002E0751"/>
    <w:rsid w:val="002E2189"/>
    <w:rsid w:val="002E27D5"/>
    <w:rsid w:val="002E4D5F"/>
    <w:rsid w:val="002E56C7"/>
    <w:rsid w:val="002F155A"/>
    <w:rsid w:val="002F3C46"/>
    <w:rsid w:val="0030295D"/>
    <w:rsid w:val="00302DA8"/>
    <w:rsid w:val="00306928"/>
    <w:rsid w:val="00312A51"/>
    <w:rsid w:val="0031495D"/>
    <w:rsid w:val="003202BA"/>
    <w:rsid w:val="00326540"/>
    <w:rsid w:val="00333701"/>
    <w:rsid w:val="00350321"/>
    <w:rsid w:val="00355E5A"/>
    <w:rsid w:val="00355FCD"/>
    <w:rsid w:val="003610D2"/>
    <w:rsid w:val="00363015"/>
    <w:rsid w:val="00363213"/>
    <w:rsid w:val="003648C4"/>
    <w:rsid w:val="00367510"/>
    <w:rsid w:val="003702E2"/>
    <w:rsid w:val="0037211A"/>
    <w:rsid w:val="00372A3F"/>
    <w:rsid w:val="0037619E"/>
    <w:rsid w:val="00386A67"/>
    <w:rsid w:val="00393E31"/>
    <w:rsid w:val="003951BA"/>
    <w:rsid w:val="003A1892"/>
    <w:rsid w:val="003A3985"/>
    <w:rsid w:val="003A3C85"/>
    <w:rsid w:val="003A4419"/>
    <w:rsid w:val="003B0902"/>
    <w:rsid w:val="003B4E31"/>
    <w:rsid w:val="003C1BD3"/>
    <w:rsid w:val="003C5F4E"/>
    <w:rsid w:val="003C72EB"/>
    <w:rsid w:val="003E594D"/>
    <w:rsid w:val="003F5444"/>
    <w:rsid w:val="00402DBA"/>
    <w:rsid w:val="004069A8"/>
    <w:rsid w:val="00407421"/>
    <w:rsid w:val="004103D3"/>
    <w:rsid w:val="004139BD"/>
    <w:rsid w:val="00414AA6"/>
    <w:rsid w:val="004229E2"/>
    <w:rsid w:val="00427D3B"/>
    <w:rsid w:val="0043018C"/>
    <w:rsid w:val="00430FC3"/>
    <w:rsid w:val="00436ABA"/>
    <w:rsid w:val="00442B49"/>
    <w:rsid w:val="0045526C"/>
    <w:rsid w:val="00457E0C"/>
    <w:rsid w:val="004834EC"/>
    <w:rsid w:val="00484666"/>
    <w:rsid w:val="00486D66"/>
    <w:rsid w:val="004948AC"/>
    <w:rsid w:val="00495454"/>
    <w:rsid w:val="004955F8"/>
    <w:rsid w:val="00497615"/>
    <w:rsid w:val="00497DD3"/>
    <w:rsid w:val="004A0543"/>
    <w:rsid w:val="004A0EC0"/>
    <w:rsid w:val="004A2E27"/>
    <w:rsid w:val="004A3014"/>
    <w:rsid w:val="004A4798"/>
    <w:rsid w:val="004B6B93"/>
    <w:rsid w:val="004C0FB5"/>
    <w:rsid w:val="004C10A6"/>
    <w:rsid w:val="004C4B70"/>
    <w:rsid w:val="004D3884"/>
    <w:rsid w:val="004D42C0"/>
    <w:rsid w:val="004D6F7B"/>
    <w:rsid w:val="004E1DD8"/>
    <w:rsid w:val="004E371B"/>
    <w:rsid w:val="004E3E0E"/>
    <w:rsid w:val="004E5E53"/>
    <w:rsid w:val="004E6AC7"/>
    <w:rsid w:val="004F02F4"/>
    <w:rsid w:val="004F7A92"/>
    <w:rsid w:val="00502DE7"/>
    <w:rsid w:val="00510B74"/>
    <w:rsid w:val="00524EFC"/>
    <w:rsid w:val="0052692D"/>
    <w:rsid w:val="005301CA"/>
    <w:rsid w:val="0054044C"/>
    <w:rsid w:val="00542FE2"/>
    <w:rsid w:val="00551E13"/>
    <w:rsid w:val="00554E4D"/>
    <w:rsid w:val="005554AE"/>
    <w:rsid w:val="005604C0"/>
    <w:rsid w:val="00562EF5"/>
    <w:rsid w:val="00564185"/>
    <w:rsid w:val="00566906"/>
    <w:rsid w:val="00567184"/>
    <w:rsid w:val="005721FD"/>
    <w:rsid w:val="00575D5A"/>
    <w:rsid w:val="00581B78"/>
    <w:rsid w:val="00582672"/>
    <w:rsid w:val="005826D7"/>
    <w:rsid w:val="0058375A"/>
    <w:rsid w:val="00585BA0"/>
    <w:rsid w:val="00590DB5"/>
    <w:rsid w:val="005938E2"/>
    <w:rsid w:val="005A339D"/>
    <w:rsid w:val="005A3591"/>
    <w:rsid w:val="005A63D2"/>
    <w:rsid w:val="005A71E8"/>
    <w:rsid w:val="005B08EB"/>
    <w:rsid w:val="005B3E8A"/>
    <w:rsid w:val="005B5021"/>
    <w:rsid w:val="005B7FFD"/>
    <w:rsid w:val="005C12DE"/>
    <w:rsid w:val="005C6F42"/>
    <w:rsid w:val="005C758A"/>
    <w:rsid w:val="005D0D03"/>
    <w:rsid w:val="005D20F7"/>
    <w:rsid w:val="005E0DB1"/>
    <w:rsid w:val="005E18FC"/>
    <w:rsid w:val="005E1ACB"/>
    <w:rsid w:val="005E4F59"/>
    <w:rsid w:val="005F217C"/>
    <w:rsid w:val="005F6ECB"/>
    <w:rsid w:val="00604464"/>
    <w:rsid w:val="00606B4B"/>
    <w:rsid w:val="00610C4E"/>
    <w:rsid w:val="00617B94"/>
    <w:rsid w:val="00620E11"/>
    <w:rsid w:val="00621729"/>
    <w:rsid w:val="00626215"/>
    <w:rsid w:val="0063253D"/>
    <w:rsid w:val="00635E9C"/>
    <w:rsid w:val="00636A6A"/>
    <w:rsid w:val="00637322"/>
    <w:rsid w:val="0064116A"/>
    <w:rsid w:val="00644621"/>
    <w:rsid w:val="00646797"/>
    <w:rsid w:val="00654741"/>
    <w:rsid w:val="00657799"/>
    <w:rsid w:val="00660BF5"/>
    <w:rsid w:val="00665895"/>
    <w:rsid w:val="006663B6"/>
    <w:rsid w:val="00670245"/>
    <w:rsid w:val="00671305"/>
    <w:rsid w:val="006721A8"/>
    <w:rsid w:val="00672465"/>
    <w:rsid w:val="0067321B"/>
    <w:rsid w:val="00673B0A"/>
    <w:rsid w:val="0068084D"/>
    <w:rsid w:val="00683281"/>
    <w:rsid w:val="00686681"/>
    <w:rsid w:val="00687DFB"/>
    <w:rsid w:val="00692D9D"/>
    <w:rsid w:val="00693107"/>
    <w:rsid w:val="00693FE8"/>
    <w:rsid w:val="006943D2"/>
    <w:rsid w:val="00697AD3"/>
    <w:rsid w:val="006A1748"/>
    <w:rsid w:val="006A6648"/>
    <w:rsid w:val="006A6A37"/>
    <w:rsid w:val="006B5771"/>
    <w:rsid w:val="006B649B"/>
    <w:rsid w:val="006B6CA2"/>
    <w:rsid w:val="006C1ACA"/>
    <w:rsid w:val="006C1BEB"/>
    <w:rsid w:val="006C2C9B"/>
    <w:rsid w:val="006C3585"/>
    <w:rsid w:val="006C4450"/>
    <w:rsid w:val="006C68E2"/>
    <w:rsid w:val="006D2049"/>
    <w:rsid w:val="006D29DD"/>
    <w:rsid w:val="006D6CDB"/>
    <w:rsid w:val="006E0586"/>
    <w:rsid w:val="006E7F8F"/>
    <w:rsid w:val="006F61CC"/>
    <w:rsid w:val="007031B4"/>
    <w:rsid w:val="00705EE7"/>
    <w:rsid w:val="00710E51"/>
    <w:rsid w:val="00715C2E"/>
    <w:rsid w:val="007220E2"/>
    <w:rsid w:val="00723C7E"/>
    <w:rsid w:val="007315E9"/>
    <w:rsid w:val="007331F4"/>
    <w:rsid w:val="00733E37"/>
    <w:rsid w:val="00737BDA"/>
    <w:rsid w:val="00741F30"/>
    <w:rsid w:val="00760254"/>
    <w:rsid w:val="007604B3"/>
    <w:rsid w:val="0076303F"/>
    <w:rsid w:val="00764B0A"/>
    <w:rsid w:val="007700E2"/>
    <w:rsid w:val="00771775"/>
    <w:rsid w:val="00772E58"/>
    <w:rsid w:val="007744FB"/>
    <w:rsid w:val="0077470C"/>
    <w:rsid w:val="007753FD"/>
    <w:rsid w:val="00780EBF"/>
    <w:rsid w:val="007820BF"/>
    <w:rsid w:val="00783D9C"/>
    <w:rsid w:val="00783E74"/>
    <w:rsid w:val="00785D13"/>
    <w:rsid w:val="007923BB"/>
    <w:rsid w:val="00793CFC"/>
    <w:rsid w:val="00794E29"/>
    <w:rsid w:val="0079500F"/>
    <w:rsid w:val="00797415"/>
    <w:rsid w:val="007B03BC"/>
    <w:rsid w:val="007B0BA8"/>
    <w:rsid w:val="007B1B99"/>
    <w:rsid w:val="007B27ED"/>
    <w:rsid w:val="007B5BBD"/>
    <w:rsid w:val="007B7B85"/>
    <w:rsid w:val="007B7F10"/>
    <w:rsid w:val="007C0C07"/>
    <w:rsid w:val="007C236B"/>
    <w:rsid w:val="007C2548"/>
    <w:rsid w:val="007C2773"/>
    <w:rsid w:val="007C656E"/>
    <w:rsid w:val="007D51B8"/>
    <w:rsid w:val="007E2D3F"/>
    <w:rsid w:val="007E6309"/>
    <w:rsid w:val="007F02F6"/>
    <w:rsid w:val="007F3ADC"/>
    <w:rsid w:val="007F3D93"/>
    <w:rsid w:val="007F76ED"/>
    <w:rsid w:val="00800678"/>
    <w:rsid w:val="008033BC"/>
    <w:rsid w:val="00803A4F"/>
    <w:rsid w:val="00803F9C"/>
    <w:rsid w:val="008054BE"/>
    <w:rsid w:val="0081257C"/>
    <w:rsid w:val="0082062F"/>
    <w:rsid w:val="00821825"/>
    <w:rsid w:val="008310ED"/>
    <w:rsid w:val="008318D5"/>
    <w:rsid w:val="0083429F"/>
    <w:rsid w:val="008348E2"/>
    <w:rsid w:val="0083618D"/>
    <w:rsid w:val="008459C7"/>
    <w:rsid w:val="0085056F"/>
    <w:rsid w:val="00850D06"/>
    <w:rsid w:val="0085484B"/>
    <w:rsid w:val="00856229"/>
    <w:rsid w:val="00861DFE"/>
    <w:rsid w:val="0086780C"/>
    <w:rsid w:val="0086791D"/>
    <w:rsid w:val="00871CB9"/>
    <w:rsid w:val="00872097"/>
    <w:rsid w:val="00872DBE"/>
    <w:rsid w:val="00884F4A"/>
    <w:rsid w:val="00885E2A"/>
    <w:rsid w:val="008A0C2A"/>
    <w:rsid w:val="008A1F8B"/>
    <w:rsid w:val="008A48C6"/>
    <w:rsid w:val="008A7E31"/>
    <w:rsid w:val="008B0F4C"/>
    <w:rsid w:val="008B2429"/>
    <w:rsid w:val="008B35ED"/>
    <w:rsid w:val="008C4FF2"/>
    <w:rsid w:val="008C50E9"/>
    <w:rsid w:val="008C5879"/>
    <w:rsid w:val="008C64B1"/>
    <w:rsid w:val="008C6A61"/>
    <w:rsid w:val="008C729E"/>
    <w:rsid w:val="008C73B3"/>
    <w:rsid w:val="008D0C83"/>
    <w:rsid w:val="008D0E5D"/>
    <w:rsid w:val="008D3318"/>
    <w:rsid w:val="008D4126"/>
    <w:rsid w:val="008E5930"/>
    <w:rsid w:val="008F14FB"/>
    <w:rsid w:val="008F5ACA"/>
    <w:rsid w:val="008F7E50"/>
    <w:rsid w:val="008F7ECB"/>
    <w:rsid w:val="0090135E"/>
    <w:rsid w:val="0090395B"/>
    <w:rsid w:val="00911F56"/>
    <w:rsid w:val="009149BD"/>
    <w:rsid w:val="009267EA"/>
    <w:rsid w:val="009336E1"/>
    <w:rsid w:val="009369D9"/>
    <w:rsid w:val="0093754D"/>
    <w:rsid w:val="009426F6"/>
    <w:rsid w:val="00943C78"/>
    <w:rsid w:val="00951A35"/>
    <w:rsid w:val="00953CB9"/>
    <w:rsid w:val="00954FED"/>
    <w:rsid w:val="009571F2"/>
    <w:rsid w:val="0096110A"/>
    <w:rsid w:val="009640CB"/>
    <w:rsid w:val="009720AC"/>
    <w:rsid w:val="00977B64"/>
    <w:rsid w:val="009851CD"/>
    <w:rsid w:val="00997D9A"/>
    <w:rsid w:val="009A6EB7"/>
    <w:rsid w:val="009A7C51"/>
    <w:rsid w:val="009B145D"/>
    <w:rsid w:val="009B65AC"/>
    <w:rsid w:val="009B7B10"/>
    <w:rsid w:val="009C0DDD"/>
    <w:rsid w:val="009C6E07"/>
    <w:rsid w:val="009C7E2B"/>
    <w:rsid w:val="009D1966"/>
    <w:rsid w:val="009D4D2B"/>
    <w:rsid w:val="009D60DB"/>
    <w:rsid w:val="009E154A"/>
    <w:rsid w:val="009E2607"/>
    <w:rsid w:val="009E2B9C"/>
    <w:rsid w:val="009E5C42"/>
    <w:rsid w:val="009F19AA"/>
    <w:rsid w:val="009F2CDB"/>
    <w:rsid w:val="00A02F56"/>
    <w:rsid w:val="00A07CF2"/>
    <w:rsid w:val="00A15589"/>
    <w:rsid w:val="00A21991"/>
    <w:rsid w:val="00A22C16"/>
    <w:rsid w:val="00A302DB"/>
    <w:rsid w:val="00A30B86"/>
    <w:rsid w:val="00A315C0"/>
    <w:rsid w:val="00A330A7"/>
    <w:rsid w:val="00A376A6"/>
    <w:rsid w:val="00A40ACB"/>
    <w:rsid w:val="00A45FEA"/>
    <w:rsid w:val="00A50678"/>
    <w:rsid w:val="00A5418A"/>
    <w:rsid w:val="00A565C8"/>
    <w:rsid w:val="00A60721"/>
    <w:rsid w:val="00A71C63"/>
    <w:rsid w:val="00A7221F"/>
    <w:rsid w:val="00A7438D"/>
    <w:rsid w:val="00A803B8"/>
    <w:rsid w:val="00A856DB"/>
    <w:rsid w:val="00A92460"/>
    <w:rsid w:val="00A92622"/>
    <w:rsid w:val="00A92788"/>
    <w:rsid w:val="00A94608"/>
    <w:rsid w:val="00A94BB1"/>
    <w:rsid w:val="00AA0C56"/>
    <w:rsid w:val="00AA19D9"/>
    <w:rsid w:val="00AB0F14"/>
    <w:rsid w:val="00AB440C"/>
    <w:rsid w:val="00AB5436"/>
    <w:rsid w:val="00AB7EE4"/>
    <w:rsid w:val="00AC1F36"/>
    <w:rsid w:val="00AD15F6"/>
    <w:rsid w:val="00AE058E"/>
    <w:rsid w:val="00AE10EF"/>
    <w:rsid w:val="00AE142E"/>
    <w:rsid w:val="00AE2425"/>
    <w:rsid w:val="00AF44B6"/>
    <w:rsid w:val="00AF4E60"/>
    <w:rsid w:val="00AF7873"/>
    <w:rsid w:val="00B00097"/>
    <w:rsid w:val="00B0164F"/>
    <w:rsid w:val="00B07D39"/>
    <w:rsid w:val="00B11A01"/>
    <w:rsid w:val="00B12930"/>
    <w:rsid w:val="00B13055"/>
    <w:rsid w:val="00B1486A"/>
    <w:rsid w:val="00B14F5B"/>
    <w:rsid w:val="00B32BE0"/>
    <w:rsid w:val="00B40BE6"/>
    <w:rsid w:val="00B45025"/>
    <w:rsid w:val="00B47390"/>
    <w:rsid w:val="00B7248A"/>
    <w:rsid w:val="00B729DB"/>
    <w:rsid w:val="00B75CF1"/>
    <w:rsid w:val="00B80048"/>
    <w:rsid w:val="00B86FBE"/>
    <w:rsid w:val="00B90390"/>
    <w:rsid w:val="00BA5EF4"/>
    <w:rsid w:val="00BB0429"/>
    <w:rsid w:val="00BB2937"/>
    <w:rsid w:val="00BB36EC"/>
    <w:rsid w:val="00BB6696"/>
    <w:rsid w:val="00BC2DA2"/>
    <w:rsid w:val="00BC3696"/>
    <w:rsid w:val="00BC47F3"/>
    <w:rsid w:val="00BC4930"/>
    <w:rsid w:val="00BC604D"/>
    <w:rsid w:val="00BC7782"/>
    <w:rsid w:val="00BD0494"/>
    <w:rsid w:val="00BD0D1C"/>
    <w:rsid w:val="00BD3D37"/>
    <w:rsid w:val="00BD7BD9"/>
    <w:rsid w:val="00BE13F1"/>
    <w:rsid w:val="00BE20E8"/>
    <w:rsid w:val="00BE4DFD"/>
    <w:rsid w:val="00BF10DC"/>
    <w:rsid w:val="00BF7FC5"/>
    <w:rsid w:val="00C00782"/>
    <w:rsid w:val="00C13115"/>
    <w:rsid w:val="00C15656"/>
    <w:rsid w:val="00C15B9B"/>
    <w:rsid w:val="00C22797"/>
    <w:rsid w:val="00C237E4"/>
    <w:rsid w:val="00C2592E"/>
    <w:rsid w:val="00C259EA"/>
    <w:rsid w:val="00C26580"/>
    <w:rsid w:val="00C2753F"/>
    <w:rsid w:val="00C30301"/>
    <w:rsid w:val="00C3298D"/>
    <w:rsid w:val="00C334C3"/>
    <w:rsid w:val="00C34EFB"/>
    <w:rsid w:val="00C43F7C"/>
    <w:rsid w:val="00C4731F"/>
    <w:rsid w:val="00C47A72"/>
    <w:rsid w:val="00C50ACC"/>
    <w:rsid w:val="00C50C3D"/>
    <w:rsid w:val="00C63A07"/>
    <w:rsid w:val="00C64462"/>
    <w:rsid w:val="00C76521"/>
    <w:rsid w:val="00C7747F"/>
    <w:rsid w:val="00C81573"/>
    <w:rsid w:val="00C970BE"/>
    <w:rsid w:val="00CA2E57"/>
    <w:rsid w:val="00CA6E87"/>
    <w:rsid w:val="00CA7AA6"/>
    <w:rsid w:val="00CB22B7"/>
    <w:rsid w:val="00CB272C"/>
    <w:rsid w:val="00CB2863"/>
    <w:rsid w:val="00CB4576"/>
    <w:rsid w:val="00CB717C"/>
    <w:rsid w:val="00CB7268"/>
    <w:rsid w:val="00CB74F4"/>
    <w:rsid w:val="00CC09B4"/>
    <w:rsid w:val="00CC0ABD"/>
    <w:rsid w:val="00CC308C"/>
    <w:rsid w:val="00CC31C8"/>
    <w:rsid w:val="00CC46C4"/>
    <w:rsid w:val="00CC4749"/>
    <w:rsid w:val="00CC5E7F"/>
    <w:rsid w:val="00CE264C"/>
    <w:rsid w:val="00CE2A3C"/>
    <w:rsid w:val="00CF5EFC"/>
    <w:rsid w:val="00CF6392"/>
    <w:rsid w:val="00CF7E68"/>
    <w:rsid w:val="00D04561"/>
    <w:rsid w:val="00D061B1"/>
    <w:rsid w:val="00D06518"/>
    <w:rsid w:val="00D06A79"/>
    <w:rsid w:val="00D10FC0"/>
    <w:rsid w:val="00D140A2"/>
    <w:rsid w:val="00D1435A"/>
    <w:rsid w:val="00D16478"/>
    <w:rsid w:val="00D17FC4"/>
    <w:rsid w:val="00D206BF"/>
    <w:rsid w:val="00D262D0"/>
    <w:rsid w:val="00D30F90"/>
    <w:rsid w:val="00D312A8"/>
    <w:rsid w:val="00D31B9F"/>
    <w:rsid w:val="00D32AD3"/>
    <w:rsid w:val="00D4585F"/>
    <w:rsid w:val="00D53392"/>
    <w:rsid w:val="00D53854"/>
    <w:rsid w:val="00D54611"/>
    <w:rsid w:val="00D6141C"/>
    <w:rsid w:val="00D760FA"/>
    <w:rsid w:val="00D803FB"/>
    <w:rsid w:val="00D80677"/>
    <w:rsid w:val="00D8426D"/>
    <w:rsid w:val="00D84F62"/>
    <w:rsid w:val="00D87A5D"/>
    <w:rsid w:val="00D94225"/>
    <w:rsid w:val="00DA0A3F"/>
    <w:rsid w:val="00DA2456"/>
    <w:rsid w:val="00DA3982"/>
    <w:rsid w:val="00DA3AFF"/>
    <w:rsid w:val="00DB256D"/>
    <w:rsid w:val="00DB284A"/>
    <w:rsid w:val="00DB5DCA"/>
    <w:rsid w:val="00DB7FE1"/>
    <w:rsid w:val="00DC58FF"/>
    <w:rsid w:val="00DC650D"/>
    <w:rsid w:val="00DD2D48"/>
    <w:rsid w:val="00DE2D45"/>
    <w:rsid w:val="00DE4AD9"/>
    <w:rsid w:val="00DE766A"/>
    <w:rsid w:val="00DF0A1E"/>
    <w:rsid w:val="00E0044D"/>
    <w:rsid w:val="00E00659"/>
    <w:rsid w:val="00E04475"/>
    <w:rsid w:val="00E05668"/>
    <w:rsid w:val="00E1143F"/>
    <w:rsid w:val="00E22789"/>
    <w:rsid w:val="00E227BB"/>
    <w:rsid w:val="00E228AF"/>
    <w:rsid w:val="00E25636"/>
    <w:rsid w:val="00E27EE7"/>
    <w:rsid w:val="00E32FCF"/>
    <w:rsid w:val="00E33135"/>
    <w:rsid w:val="00E34535"/>
    <w:rsid w:val="00E36D8D"/>
    <w:rsid w:val="00E37223"/>
    <w:rsid w:val="00E40CF1"/>
    <w:rsid w:val="00E4215D"/>
    <w:rsid w:val="00E4663C"/>
    <w:rsid w:val="00E518E6"/>
    <w:rsid w:val="00E53735"/>
    <w:rsid w:val="00E60CD8"/>
    <w:rsid w:val="00E678FD"/>
    <w:rsid w:val="00E75C3A"/>
    <w:rsid w:val="00E77EE3"/>
    <w:rsid w:val="00E848D0"/>
    <w:rsid w:val="00E84F34"/>
    <w:rsid w:val="00E867E3"/>
    <w:rsid w:val="00E906D6"/>
    <w:rsid w:val="00E926EA"/>
    <w:rsid w:val="00E928C1"/>
    <w:rsid w:val="00E94786"/>
    <w:rsid w:val="00E9515E"/>
    <w:rsid w:val="00EA27DA"/>
    <w:rsid w:val="00EA3791"/>
    <w:rsid w:val="00EB2050"/>
    <w:rsid w:val="00EB59F9"/>
    <w:rsid w:val="00EC13C9"/>
    <w:rsid w:val="00EC39EA"/>
    <w:rsid w:val="00ED131F"/>
    <w:rsid w:val="00ED2102"/>
    <w:rsid w:val="00ED2986"/>
    <w:rsid w:val="00EE31BC"/>
    <w:rsid w:val="00EF0C12"/>
    <w:rsid w:val="00EF543A"/>
    <w:rsid w:val="00EF77A3"/>
    <w:rsid w:val="00F00235"/>
    <w:rsid w:val="00F03002"/>
    <w:rsid w:val="00F2615C"/>
    <w:rsid w:val="00F266AF"/>
    <w:rsid w:val="00F30219"/>
    <w:rsid w:val="00F30818"/>
    <w:rsid w:val="00F3166E"/>
    <w:rsid w:val="00F378B2"/>
    <w:rsid w:val="00F51700"/>
    <w:rsid w:val="00F54BCC"/>
    <w:rsid w:val="00F571EE"/>
    <w:rsid w:val="00F57202"/>
    <w:rsid w:val="00F628E0"/>
    <w:rsid w:val="00F6304E"/>
    <w:rsid w:val="00F662CD"/>
    <w:rsid w:val="00F731F7"/>
    <w:rsid w:val="00F7400D"/>
    <w:rsid w:val="00F75010"/>
    <w:rsid w:val="00F759BC"/>
    <w:rsid w:val="00F8021E"/>
    <w:rsid w:val="00F82DB6"/>
    <w:rsid w:val="00F834FE"/>
    <w:rsid w:val="00F86025"/>
    <w:rsid w:val="00F923D9"/>
    <w:rsid w:val="00F97378"/>
    <w:rsid w:val="00FA0199"/>
    <w:rsid w:val="00FA0F4A"/>
    <w:rsid w:val="00FA35C4"/>
    <w:rsid w:val="00FA5707"/>
    <w:rsid w:val="00FA66A4"/>
    <w:rsid w:val="00FB1444"/>
    <w:rsid w:val="00FB4E5D"/>
    <w:rsid w:val="00FB572B"/>
    <w:rsid w:val="00FB5C7C"/>
    <w:rsid w:val="00FD0874"/>
    <w:rsid w:val="00FD7729"/>
    <w:rsid w:val="00FE0858"/>
    <w:rsid w:val="00FE5EAD"/>
    <w:rsid w:val="00FF3727"/>
    <w:rsid w:val="00FF4094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A4B1F5-61D5-4EE7-9115-07DA715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titul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7C277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7E6309"/>
    <w:rPr>
      <w:sz w:val="24"/>
    </w:rPr>
  </w:style>
  <w:style w:type="paragraph" w:customStyle="1" w:styleId="Level1">
    <w:name w:val="Level 1"/>
    <w:basedOn w:val="Normln"/>
    <w:next w:val="Normln"/>
    <w:qFormat/>
    <w:rsid w:val="00705EE7"/>
    <w:pPr>
      <w:numPr>
        <w:numId w:val="31"/>
      </w:numPr>
      <w:spacing w:before="280" w:after="137" w:line="280" w:lineRule="atLeast"/>
      <w:jc w:val="both"/>
    </w:pPr>
    <w:rPr>
      <w:rFonts w:ascii="Arial Bold" w:eastAsia="Times New Roman" w:hAnsi="Arial Bold"/>
      <w:b/>
      <w:kern w:val="20"/>
      <w:szCs w:val="20"/>
      <w:lang w:eastAsia="cs-CZ" w:bidi="cs-CZ"/>
    </w:rPr>
  </w:style>
  <w:style w:type="paragraph" w:customStyle="1" w:styleId="Level2">
    <w:name w:val="Level 2"/>
    <w:basedOn w:val="Normln"/>
    <w:next w:val="Normln"/>
    <w:qFormat/>
    <w:rsid w:val="00705EE7"/>
    <w:pPr>
      <w:numPr>
        <w:ilvl w:val="1"/>
        <w:numId w:val="31"/>
      </w:numPr>
      <w:spacing w:after="137" w:line="280" w:lineRule="atLeast"/>
      <w:jc w:val="both"/>
    </w:pPr>
    <w:rPr>
      <w:rFonts w:ascii="Arial Bold" w:eastAsia="Times New Roman" w:hAnsi="Arial Bold"/>
      <w:b/>
      <w:kern w:val="20"/>
      <w:sz w:val="21"/>
      <w:szCs w:val="20"/>
      <w:lang w:eastAsia="cs-CZ" w:bidi="cs-CZ"/>
    </w:rPr>
  </w:style>
  <w:style w:type="paragraph" w:customStyle="1" w:styleId="Level3">
    <w:name w:val="Level 3"/>
    <w:basedOn w:val="Normln"/>
    <w:next w:val="Normln"/>
    <w:link w:val="Level3Char"/>
    <w:qFormat/>
    <w:rsid w:val="00705EE7"/>
    <w:pPr>
      <w:numPr>
        <w:ilvl w:val="2"/>
        <w:numId w:val="31"/>
      </w:numPr>
      <w:spacing w:after="137" w:line="280" w:lineRule="atLeast"/>
      <w:jc w:val="both"/>
    </w:pPr>
    <w:rPr>
      <w:rFonts w:eastAsia="Times New Roman"/>
      <w:kern w:val="20"/>
      <w:sz w:val="20"/>
      <w:szCs w:val="20"/>
      <w:lang w:eastAsia="cs-CZ" w:bidi="cs-CZ"/>
    </w:rPr>
  </w:style>
  <w:style w:type="paragraph" w:customStyle="1" w:styleId="Level4">
    <w:name w:val="Level 4"/>
    <w:basedOn w:val="Normln"/>
    <w:next w:val="Normln"/>
    <w:qFormat/>
    <w:rsid w:val="00705EE7"/>
    <w:pPr>
      <w:numPr>
        <w:ilvl w:val="3"/>
        <w:numId w:val="31"/>
      </w:numPr>
      <w:spacing w:after="137" w:line="280" w:lineRule="atLeast"/>
      <w:jc w:val="both"/>
    </w:pPr>
    <w:rPr>
      <w:rFonts w:eastAsia="Times New Roman"/>
      <w:kern w:val="20"/>
      <w:sz w:val="20"/>
      <w:szCs w:val="20"/>
      <w:lang w:eastAsia="cs-CZ" w:bidi="cs-CZ"/>
    </w:rPr>
  </w:style>
  <w:style w:type="paragraph" w:customStyle="1" w:styleId="Level5">
    <w:name w:val="Level 5"/>
    <w:basedOn w:val="Normln"/>
    <w:next w:val="Normln"/>
    <w:qFormat/>
    <w:rsid w:val="00705EE7"/>
    <w:pPr>
      <w:numPr>
        <w:ilvl w:val="4"/>
        <w:numId w:val="31"/>
      </w:numPr>
      <w:spacing w:after="137" w:line="280" w:lineRule="atLeast"/>
      <w:jc w:val="both"/>
    </w:pPr>
    <w:rPr>
      <w:rFonts w:eastAsia="Times New Roman"/>
      <w:kern w:val="20"/>
      <w:sz w:val="20"/>
      <w:szCs w:val="20"/>
      <w:lang w:eastAsia="cs-CZ" w:bidi="cs-CZ"/>
    </w:rPr>
  </w:style>
  <w:style w:type="paragraph" w:customStyle="1" w:styleId="Level6">
    <w:name w:val="Level 6"/>
    <w:basedOn w:val="Normln"/>
    <w:next w:val="Normln"/>
    <w:rsid w:val="00705EE7"/>
    <w:pPr>
      <w:numPr>
        <w:ilvl w:val="5"/>
        <w:numId w:val="31"/>
      </w:numPr>
      <w:spacing w:after="137" w:line="280" w:lineRule="atLeast"/>
      <w:jc w:val="both"/>
    </w:pPr>
    <w:rPr>
      <w:rFonts w:eastAsia="Times New Roman"/>
      <w:kern w:val="20"/>
      <w:sz w:val="20"/>
      <w:szCs w:val="20"/>
      <w:lang w:eastAsia="cs-CZ" w:bidi="cs-CZ"/>
    </w:rPr>
  </w:style>
  <w:style w:type="paragraph" w:customStyle="1" w:styleId="Level2NotBold">
    <w:name w:val="Level 2 Not Bold"/>
    <w:basedOn w:val="Level2"/>
    <w:next w:val="Normln"/>
    <w:rsid w:val="00705EE7"/>
    <w:rPr>
      <w:rFonts w:ascii="Arial" w:hAnsi="Arial"/>
      <w:b w:val="0"/>
      <w:sz w:val="20"/>
    </w:rPr>
  </w:style>
  <w:style w:type="paragraph" w:customStyle="1" w:styleId="Level7">
    <w:name w:val="Level 7"/>
    <w:basedOn w:val="Normln"/>
    <w:rsid w:val="00705EE7"/>
    <w:pPr>
      <w:numPr>
        <w:ilvl w:val="6"/>
        <w:numId w:val="31"/>
      </w:numPr>
      <w:spacing w:after="137" w:line="280" w:lineRule="atLeast"/>
      <w:jc w:val="both"/>
      <w:outlineLvl w:val="6"/>
    </w:pPr>
    <w:rPr>
      <w:rFonts w:eastAsia="Times New Roman"/>
      <w:kern w:val="20"/>
      <w:sz w:val="20"/>
      <w:szCs w:val="20"/>
      <w:lang w:eastAsia="cs-CZ" w:bidi="cs-CZ"/>
    </w:rPr>
  </w:style>
  <w:style w:type="paragraph" w:customStyle="1" w:styleId="Level8">
    <w:name w:val="Level 8"/>
    <w:basedOn w:val="Normln"/>
    <w:rsid w:val="00705EE7"/>
    <w:pPr>
      <w:numPr>
        <w:ilvl w:val="7"/>
        <w:numId w:val="31"/>
      </w:numPr>
      <w:spacing w:after="137" w:line="280" w:lineRule="atLeast"/>
      <w:jc w:val="both"/>
      <w:outlineLvl w:val="7"/>
    </w:pPr>
    <w:rPr>
      <w:rFonts w:eastAsia="Times New Roman"/>
      <w:kern w:val="20"/>
      <w:sz w:val="20"/>
      <w:szCs w:val="20"/>
      <w:lang w:eastAsia="cs-CZ" w:bidi="cs-CZ"/>
    </w:rPr>
  </w:style>
  <w:style w:type="paragraph" w:customStyle="1" w:styleId="Level9">
    <w:name w:val="Level 9"/>
    <w:basedOn w:val="Normln"/>
    <w:rsid w:val="00705EE7"/>
    <w:pPr>
      <w:numPr>
        <w:ilvl w:val="8"/>
        <w:numId w:val="31"/>
      </w:numPr>
      <w:spacing w:after="137" w:line="280" w:lineRule="atLeast"/>
      <w:jc w:val="both"/>
      <w:outlineLvl w:val="8"/>
    </w:pPr>
    <w:rPr>
      <w:rFonts w:eastAsia="Times New Roman"/>
      <w:kern w:val="20"/>
      <w:sz w:val="20"/>
      <w:szCs w:val="20"/>
      <w:lang w:eastAsia="cs-CZ" w:bidi="cs-CZ"/>
    </w:rPr>
  </w:style>
  <w:style w:type="character" w:customStyle="1" w:styleId="Level3Char">
    <w:name w:val="Level 3 Char"/>
    <w:basedOn w:val="Standardnpsmoodstavce"/>
    <w:link w:val="Level3"/>
    <w:rsid w:val="00705EE7"/>
    <w:rPr>
      <w:rFonts w:ascii="Arial" w:hAnsi="Arial"/>
      <w:kern w:val="20"/>
      <w:lang w:bidi="cs-CZ"/>
    </w:rPr>
  </w:style>
  <w:style w:type="character" w:styleId="Siln">
    <w:name w:val="Strong"/>
    <w:basedOn w:val="Standardnpsmoodstavce"/>
    <w:uiPriority w:val="22"/>
    <w:qFormat/>
    <w:rsid w:val="00FF4094"/>
    <w:rPr>
      <w:b/>
      <w:bCs/>
    </w:rPr>
  </w:style>
  <w:style w:type="character" w:styleId="Zdraznn">
    <w:name w:val="Emphasis"/>
    <w:basedOn w:val="Standardnpsmoodstavce"/>
    <w:uiPriority w:val="20"/>
    <w:qFormat/>
    <w:rsid w:val="00FF4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imak.j@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10c__x00ed_slo_x0020_sm_x011b_rnice0 xmlns="d658cf80-ba75-4e7d-b256-0e4b99e04137" xsi:nil="true"/>
    <Platnost_x0020_od xmlns="538dea3e-17c6-4034-b266-8653e5927a08"/>
    <_x00da__x010d_innost_x0020_od xmlns="538dea3e-17c6-4034-b266-8653e5927a08"/>
    <Platn_x00e9_ xmlns="538dea3e-17c6-4034-b266-8653e5927a08" xsi:nil="true"/>
    <Notifikace xmlns="d658cf80-ba75-4e7d-b256-0e4b99e041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48DE-6433-41A2-8599-B81B2607156E}">
  <ds:schemaRefs>
    <ds:schemaRef ds:uri="http://schemas.microsoft.com/office/2006/metadata/properties"/>
    <ds:schemaRef ds:uri="d658cf80-ba75-4e7d-b256-0e4b99e04137"/>
    <ds:schemaRef ds:uri="538dea3e-17c6-4034-b266-8653e5927a08"/>
  </ds:schemaRefs>
</ds:datastoreItem>
</file>

<file path=customXml/itemProps2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14F9441-2439-49BE-A96B-FE6C1D58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1461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creator>pechan.t</dc:creator>
  <cp:lastModifiedBy>Vondráčková Helena</cp:lastModifiedBy>
  <cp:revision>39</cp:revision>
  <cp:lastPrinted>2019-07-23T11:03:00Z</cp:lastPrinted>
  <dcterms:created xsi:type="dcterms:W3CDTF">2016-04-14T09:03:00Z</dcterms:created>
  <dcterms:modified xsi:type="dcterms:W3CDTF">2019-07-23T11:03:00Z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>31</vt:lpwstr>
  </property>
</Properties>
</file>