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7959D" w14:textId="45DC0A32" w:rsidR="00860B3F" w:rsidRPr="002113B6" w:rsidRDefault="00860B3F" w:rsidP="00860B3F">
      <w:pPr>
        <w:pStyle w:val="Zhlav"/>
        <w:jc w:val="right"/>
        <w:rPr>
          <w:rFonts w:ascii="Tahoma" w:hAnsi="Tahoma" w:cs="Tahoma"/>
          <w:b/>
          <w:i/>
          <w:szCs w:val="28"/>
        </w:rPr>
      </w:pPr>
      <w:r w:rsidRPr="002113B6">
        <w:rPr>
          <w:rFonts w:ascii="Tahoma" w:hAnsi="Tahoma" w:cs="Tahoma"/>
          <w:b/>
          <w:i/>
          <w:szCs w:val="28"/>
        </w:rPr>
        <w:t xml:space="preserve">Příloha č. </w:t>
      </w:r>
      <w:r w:rsidR="008B4622">
        <w:rPr>
          <w:rFonts w:ascii="Tahoma" w:hAnsi="Tahoma" w:cs="Tahoma"/>
          <w:b/>
          <w:i/>
          <w:szCs w:val="28"/>
        </w:rPr>
        <w:t>1 Kupní smlouvy</w:t>
      </w:r>
      <w:bookmarkStart w:id="0" w:name="_GoBack"/>
      <w:bookmarkEnd w:id="0"/>
      <w:r>
        <w:rPr>
          <w:rFonts w:ascii="Tahoma" w:hAnsi="Tahoma" w:cs="Tahoma"/>
          <w:b/>
          <w:i/>
          <w:szCs w:val="28"/>
        </w:rPr>
        <w:t xml:space="preserve"> </w:t>
      </w:r>
    </w:p>
    <w:p w14:paraId="03D3901D" w14:textId="012BB9BE" w:rsidR="00860B3F" w:rsidRDefault="00F90FD1" w:rsidP="00860B3F">
      <w:pPr>
        <w:pStyle w:val="Nadpis2"/>
        <w:ind w:left="576" w:hanging="576"/>
        <w:jc w:val="center"/>
        <w:rPr>
          <w:rFonts w:ascii="Tahoma" w:hAnsi="Tahoma" w:cs="Tahoma"/>
          <w:b/>
          <w:i w:val="0"/>
          <w:sz w:val="24"/>
          <w:szCs w:val="20"/>
          <w:u w:val="single"/>
        </w:rPr>
      </w:pPr>
      <w:r>
        <w:rPr>
          <w:rFonts w:ascii="Tahoma" w:hAnsi="Tahoma" w:cs="Tahoma"/>
          <w:b/>
          <w:i w:val="0"/>
          <w:sz w:val="24"/>
          <w:szCs w:val="20"/>
          <w:u w:val="single"/>
        </w:rPr>
        <w:t>TECHNICKÉ P</w:t>
      </w:r>
      <w:r w:rsidR="00F06AD1">
        <w:rPr>
          <w:rFonts w:ascii="Tahoma" w:hAnsi="Tahoma" w:cs="Tahoma"/>
          <w:b/>
          <w:i w:val="0"/>
          <w:sz w:val="24"/>
          <w:szCs w:val="20"/>
          <w:u w:val="single"/>
        </w:rPr>
        <w:t>O</w:t>
      </w:r>
      <w:r>
        <w:rPr>
          <w:rFonts w:ascii="Tahoma" w:hAnsi="Tahoma" w:cs="Tahoma"/>
          <w:b/>
          <w:i w:val="0"/>
          <w:sz w:val="24"/>
          <w:szCs w:val="20"/>
          <w:u w:val="single"/>
        </w:rPr>
        <w:t xml:space="preserve">ŽADAVKY NA PŘEDMĚT PLNĚNÍ </w:t>
      </w:r>
      <w:r w:rsidR="00387ECC">
        <w:rPr>
          <w:rFonts w:ascii="Tahoma" w:hAnsi="Tahoma" w:cs="Tahoma"/>
          <w:b/>
          <w:i w:val="0"/>
          <w:sz w:val="24"/>
          <w:szCs w:val="20"/>
          <w:u w:val="single"/>
        </w:rPr>
        <w:t>2</w:t>
      </w:r>
      <w:r>
        <w:rPr>
          <w:rFonts w:ascii="Tahoma" w:hAnsi="Tahoma" w:cs="Tahoma"/>
          <w:b/>
          <w:i w:val="0"/>
          <w:sz w:val="24"/>
          <w:szCs w:val="20"/>
          <w:u w:val="single"/>
        </w:rPr>
        <w:t>. ČÁSTI VZMR</w:t>
      </w:r>
    </w:p>
    <w:p w14:paraId="64FC7F9F" w14:textId="77777777" w:rsidR="00387ECC" w:rsidRDefault="00387ECC">
      <w:pPr>
        <w:rPr>
          <w:rFonts w:ascii="Tahoma" w:eastAsia="unifont" w:hAnsi="Tahoma" w:cs="Tahoma"/>
          <w:b/>
          <w:bCs/>
          <w:iCs/>
          <w:color w:val="00000A"/>
          <w:sz w:val="20"/>
          <w:szCs w:val="20"/>
          <w:u w:val="single"/>
          <w:lang w:eastAsia="zh-CN" w:bidi="hi-IN"/>
        </w:rPr>
      </w:pPr>
    </w:p>
    <w:p w14:paraId="2462099D" w14:textId="0DE45A99" w:rsidR="00860B3F" w:rsidRDefault="00387ECC" w:rsidP="00387ECC">
      <w:pPr>
        <w:jc w:val="center"/>
        <w:rPr>
          <w:b/>
        </w:rPr>
      </w:pPr>
      <w:r w:rsidRPr="00387ECC">
        <w:rPr>
          <w:rFonts w:ascii="Tahoma" w:eastAsia="unifont" w:hAnsi="Tahoma" w:cs="Tahoma"/>
          <w:b/>
          <w:bCs/>
          <w:iCs/>
          <w:color w:val="00000A"/>
          <w:sz w:val="20"/>
          <w:szCs w:val="20"/>
          <w:u w:val="single"/>
          <w:lang w:eastAsia="zh-CN" w:bidi="hi-IN"/>
        </w:rPr>
        <w:t xml:space="preserve">Pixelový detektor pro detekci a spektrometrii fotonů gama s </w:t>
      </w:r>
      <w:proofErr w:type="spellStart"/>
      <w:r w:rsidRPr="00387ECC">
        <w:rPr>
          <w:rFonts w:ascii="Tahoma" w:eastAsia="unifont" w:hAnsi="Tahoma" w:cs="Tahoma"/>
          <w:b/>
          <w:bCs/>
          <w:iCs/>
          <w:color w:val="00000A"/>
          <w:sz w:val="20"/>
          <w:szCs w:val="20"/>
          <w:u w:val="single"/>
          <w:lang w:eastAsia="zh-CN" w:bidi="hi-IN"/>
        </w:rPr>
        <w:t>CdTe</w:t>
      </w:r>
      <w:proofErr w:type="spellEnd"/>
      <w:r w:rsidRPr="00387ECC">
        <w:rPr>
          <w:rFonts w:ascii="Tahoma" w:eastAsia="unifont" w:hAnsi="Tahoma" w:cs="Tahoma"/>
          <w:b/>
          <w:bCs/>
          <w:iCs/>
          <w:color w:val="00000A"/>
          <w:sz w:val="20"/>
          <w:szCs w:val="20"/>
          <w:u w:val="single"/>
          <w:lang w:eastAsia="zh-CN" w:bidi="hi-IN"/>
        </w:rPr>
        <w:t xml:space="preserve"> / CZT senzorem</w:t>
      </w:r>
    </w:p>
    <w:p w14:paraId="2605E0D1" w14:textId="45B8D8FE" w:rsidR="00AD0C47" w:rsidRPr="00AD0C47" w:rsidRDefault="00AD0C47" w:rsidP="00AD0C47">
      <w:pPr>
        <w:ind w:left="567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6941"/>
        <w:gridCol w:w="7088"/>
      </w:tblGrid>
      <w:tr w:rsidR="00AD0C47" w14:paraId="383F415C" w14:textId="77777777" w:rsidTr="00AD0C47">
        <w:tc>
          <w:tcPr>
            <w:tcW w:w="6941" w:type="dxa"/>
            <w:shd w:val="clear" w:color="auto" w:fill="D0CECE" w:themeFill="background2" w:themeFillShade="E6"/>
          </w:tcPr>
          <w:p w14:paraId="4A8E89E4" w14:textId="2062A108" w:rsidR="00AD0C47" w:rsidRDefault="00AD0C47" w:rsidP="00AD0C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Požadované parametry</w:t>
            </w:r>
          </w:p>
        </w:tc>
        <w:tc>
          <w:tcPr>
            <w:tcW w:w="7088" w:type="dxa"/>
            <w:shd w:val="clear" w:color="auto" w:fill="D0CECE" w:themeFill="background2" w:themeFillShade="E6"/>
          </w:tcPr>
          <w:p w14:paraId="734BA67F" w14:textId="77777777" w:rsidR="00AD0C47" w:rsidRPr="00860B3F" w:rsidRDefault="00AD0C47" w:rsidP="007C0C18">
            <w:pPr>
              <w:jc w:val="center"/>
              <w:rPr>
                <w:highlight w:val="cyan"/>
              </w:rPr>
            </w:pPr>
            <w:r w:rsidRPr="00860B3F">
              <w:rPr>
                <w:rFonts w:ascii="Tahoma" w:hAnsi="Tahoma" w:cs="Tahoma"/>
                <w:sz w:val="20"/>
                <w:szCs w:val="20"/>
              </w:rPr>
              <w:t>Hodnota nabízená dodavatelem</w:t>
            </w:r>
            <w:r w:rsidRPr="00860B3F">
              <w:rPr>
                <w:highlight w:val="cyan"/>
              </w:rPr>
              <w:t xml:space="preserve"> </w:t>
            </w:r>
          </w:p>
        </w:tc>
      </w:tr>
      <w:tr w:rsidR="006B5C05" w14:paraId="698D4D59" w14:textId="77777777" w:rsidTr="00AD0C47">
        <w:tc>
          <w:tcPr>
            <w:tcW w:w="6941" w:type="dxa"/>
          </w:tcPr>
          <w:p w14:paraId="6DBB3D90" w14:textId="7F5E9E97" w:rsidR="006B5C05" w:rsidRPr="00387ECC" w:rsidRDefault="006B5C05" w:rsidP="006B5C05">
            <w:pPr>
              <w:jc w:val="both"/>
              <w:rPr>
                <w:color w:val="0070C0"/>
                <w:sz w:val="20"/>
                <w:szCs w:val="20"/>
              </w:rPr>
            </w:pPr>
            <w:r w:rsidRPr="00387ECC">
              <w:rPr>
                <w:rStyle w:val="Odkaznakoment"/>
                <w:color w:val="0070C0"/>
                <w:sz w:val="20"/>
                <w:szCs w:val="20"/>
              </w:rPr>
              <w:t xml:space="preserve">materiál sensoru: </w:t>
            </w:r>
            <w:proofErr w:type="spellStart"/>
            <w:r w:rsidRPr="00387ECC">
              <w:rPr>
                <w:rStyle w:val="Odkaznakoment"/>
                <w:color w:val="0070C0"/>
                <w:sz w:val="20"/>
                <w:szCs w:val="20"/>
              </w:rPr>
              <w:t>CdTe</w:t>
            </w:r>
            <w:proofErr w:type="spellEnd"/>
            <w:r w:rsidRPr="00387ECC">
              <w:rPr>
                <w:rStyle w:val="Odkaznakoment"/>
                <w:color w:val="0070C0"/>
                <w:sz w:val="20"/>
                <w:szCs w:val="20"/>
              </w:rPr>
              <w:t xml:space="preserve"> nebo CZT</w:t>
            </w:r>
          </w:p>
        </w:tc>
        <w:tc>
          <w:tcPr>
            <w:tcW w:w="7088" w:type="dxa"/>
            <w:shd w:val="clear" w:color="auto" w:fill="C5E0B3" w:themeFill="accent6" w:themeFillTint="66"/>
          </w:tcPr>
          <w:p w14:paraId="7B619490" w14:textId="0DCF70F0" w:rsidR="006B5C05" w:rsidRPr="00860B3F" w:rsidRDefault="006B5C05" w:rsidP="006B5C05">
            <w:pPr>
              <w:jc w:val="center"/>
              <w:rPr>
                <w:color w:val="C5E0B3" w:themeColor="accent6" w:themeTint="66"/>
                <w:highlight w:val="cyan"/>
              </w:rPr>
            </w:pPr>
            <w:r w:rsidRPr="0065646F">
              <w:t xml:space="preserve">Ano - </w:t>
            </w:r>
            <w:proofErr w:type="spellStart"/>
            <w:r w:rsidRPr="0065646F">
              <w:t>CdTe</w:t>
            </w:r>
            <w:proofErr w:type="spellEnd"/>
          </w:p>
        </w:tc>
      </w:tr>
      <w:tr w:rsidR="006B5C05" w14:paraId="08D7B4B5" w14:textId="77777777" w:rsidTr="00AD0C47">
        <w:tc>
          <w:tcPr>
            <w:tcW w:w="6941" w:type="dxa"/>
          </w:tcPr>
          <w:p w14:paraId="6CDD450B" w14:textId="74F1E803" w:rsidR="006B5C05" w:rsidRPr="00387ECC" w:rsidRDefault="006B5C05" w:rsidP="006B5C05">
            <w:pPr>
              <w:jc w:val="both"/>
              <w:rPr>
                <w:color w:val="0070C0"/>
                <w:sz w:val="20"/>
                <w:szCs w:val="20"/>
              </w:rPr>
            </w:pPr>
            <w:r w:rsidRPr="00387ECC">
              <w:rPr>
                <w:rStyle w:val="Odkaznakoment"/>
                <w:color w:val="0070C0"/>
                <w:sz w:val="20"/>
                <w:szCs w:val="20"/>
              </w:rPr>
              <w:t>tloušťka sensoru: 1 mm</w:t>
            </w:r>
          </w:p>
        </w:tc>
        <w:tc>
          <w:tcPr>
            <w:tcW w:w="7088" w:type="dxa"/>
            <w:shd w:val="clear" w:color="auto" w:fill="C5E0B3" w:themeFill="accent6" w:themeFillTint="66"/>
          </w:tcPr>
          <w:p w14:paraId="69053BE5" w14:textId="0E8367D7" w:rsidR="006B5C05" w:rsidRPr="00860B3F" w:rsidRDefault="006B5C05" w:rsidP="006B5C05">
            <w:pPr>
              <w:jc w:val="center"/>
              <w:rPr>
                <w:color w:val="C5E0B3" w:themeColor="accent6" w:themeTint="66"/>
                <w:highlight w:val="cyan"/>
              </w:rPr>
            </w:pPr>
            <w:r w:rsidRPr="0065646F">
              <w:t>Ano –</w:t>
            </w:r>
            <w:r>
              <w:t xml:space="preserve"> 1 </w:t>
            </w:r>
            <w:r w:rsidRPr="0065646F">
              <w:t>mm</w:t>
            </w:r>
          </w:p>
        </w:tc>
      </w:tr>
      <w:tr w:rsidR="006B5C05" w14:paraId="2F019BAD" w14:textId="77777777" w:rsidTr="00AD0C47">
        <w:tc>
          <w:tcPr>
            <w:tcW w:w="6941" w:type="dxa"/>
          </w:tcPr>
          <w:p w14:paraId="52C3C831" w14:textId="7AE7CF3C" w:rsidR="006B5C05" w:rsidRPr="00387ECC" w:rsidRDefault="006B5C05" w:rsidP="006B5C05">
            <w:pPr>
              <w:jc w:val="both"/>
              <w:rPr>
                <w:rStyle w:val="Odkaznakoment"/>
                <w:color w:val="0070C0"/>
                <w:sz w:val="20"/>
                <w:szCs w:val="20"/>
              </w:rPr>
            </w:pPr>
            <w:r w:rsidRPr="00387ECC">
              <w:rPr>
                <w:rStyle w:val="Odkaznakoment"/>
                <w:color w:val="0070C0"/>
                <w:sz w:val="20"/>
                <w:szCs w:val="20"/>
              </w:rPr>
              <w:t>plocha senzoru: minimálně 1 cm</w:t>
            </w:r>
            <w:r w:rsidRPr="00387ECC">
              <w:rPr>
                <w:rStyle w:val="Odkaznakoment"/>
                <w:color w:val="0070C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88" w:type="dxa"/>
            <w:shd w:val="clear" w:color="auto" w:fill="C5E0B3" w:themeFill="accent6" w:themeFillTint="66"/>
          </w:tcPr>
          <w:p w14:paraId="3BE3D8D1" w14:textId="454DFE85" w:rsidR="006B5C05" w:rsidRPr="00860B3F" w:rsidRDefault="006B5C05" w:rsidP="006B5C05">
            <w:pPr>
              <w:jc w:val="center"/>
              <w:rPr>
                <w:color w:val="C5E0B3" w:themeColor="accent6" w:themeTint="66"/>
                <w:highlight w:val="cyan"/>
              </w:rPr>
            </w:pPr>
            <w:r w:rsidRPr="009A0B27">
              <w:t>Ano –</w:t>
            </w:r>
            <w:r>
              <w:t xml:space="preserve"> 1,4 cm</w:t>
            </w:r>
            <w:r w:rsidRPr="00F90FD1">
              <w:rPr>
                <w:rStyle w:val="Odkaznakoment"/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</w:p>
        </w:tc>
      </w:tr>
      <w:tr w:rsidR="006B5C05" w14:paraId="53FDC697" w14:textId="77777777" w:rsidTr="00AD0C47">
        <w:tc>
          <w:tcPr>
            <w:tcW w:w="6941" w:type="dxa"/>
          </w:tcPr>
          <w:p w14:paraId="563C4889" w14:textId="56F2C88C" w:rsidR="006B5C05" w:rsidRDefault="006B5C05" w:rsidP="006B5C05">
            <w:pPr>
              <w:rPr>
                <w:rFonts w:ascii="Tahoma" w:hAnsi="Tahoma" w:cs="Tahoma"/>
                <w:sz w:val="20"/>
                <w:szCs w:val="20"/>
              </w:rPr>
            </w:pPr>
            <w:r w:rsidRPr="00770F48">
              <w:rPr>
                <w:rStyle w:val="Odkaznakoment"/>
                <w:color w:val="0070C0"/>
                <w:sz w:val="20"/>
                <w:szCs w:val="20"/>
              </w:rPr>
              <w:t xml:space="preserve">rozměr jednoho pixelu: menší jak 100 x 100 </w:t>
            </w:r>
            <w:r>
              <w:rPr>
                <w:rStyle w:val="Odkaznakoment"/>
                <w:color w:val="0070C0"/>
                <w:sz w:val="20"/>
                <w:szCs w:val="20"/>
              </w:rPr>
              <w:t>micro</w:t>
            </w:r>
            <w:r w:rsidRPr="00770F48">
              <w:rPr>
                <w:rStyle w:val="Odkaznakoment"/>
                <w:color w:val="0070C0"/>
                <w:sz w:val="20"/>
                <w:szCs w:val="20"/>
              </w:rPr>
              <w:t>m</w:t>
            </w:r>
            <w:r>
              <w:rPr>
                <w:rStyle w:val="Odkaznakoment"/>
                <w:color w:val="0070C0"/>
                <w:sz w:val="20"/>
                <w:szCs w:val="20"/>
              </w:rPr>
              <w:t>etru čtverečního</w:t>
            </w:r>
          </w:p>
        </w:tc>
        <w:tc>
          <w:tcPr>
            <w:tcW w:w="7088" w:type="dxa"/>
            <w:shd w:val="clear" w:color="auto" w:fill="C5E0B3" w:themeFill="accent6" w:themeFillTint="66"/>
          </w:tcPr>
          <w:p w14:paraId="5D7105F1" w14:textId="7D64C866" w:rsidR="006B5C05" w:rsidRPr="00860B3F" w:rsidRDefault="006B5C05" w:rsidP="006B5C05">
            <w:pPr>
              <w:jc w:val="center"/>
              <w:rPr>
                <w:color w:val="C5E0B3" w:themeColor="accent6" w:themeTint="66"/>
                <w:highlight w:val="cyan"/>
              </w:rPr>
            </w:pPr>
            <w:r w:rsidRPr="009A0B27">
              <w:t>Ano – 55</w:t>
            </w:r>
            <w:r>
              <w:t>x55</w:t>
            </w:r>
            <w:r w:rsidRPr="009A0B27">
              <w:t xml:space="preserve"> micrometr</w:t>
            </w:r>
            <w:r>
              <w:t>u</w:t>
            </w:r>
            <w:r w:rsidRPr="009A0B27">
              <w:t xml:space="preserve"> čtvereční</w:t>
            </w:r>
            <w:r>
              <w:t>ho</w:t>
            </w:r>
          </w:p>
        </w:tc>
      </w:tr>
      <w:tr w:rsidR="006B5C05" w14:paraId="4D90F37B" w14:textId="77777777" w:rsidTr="00AD0C47">
        <w:tc>
          <w:tcPr>
            <w:tcW w:w="6941" w:type="dxa"/>
          </w:tcPr>
          <w:p w14:paraId="49B8791B" w14:textId="2F1C8A49" w:rsidR="006B5C05" w:rsidRPr="00387ECC" w:rsidRDefault="006B5C05" w:rsidP="006B5C05">
            <w:pPr>
              <w:jc w:val="both"/>
              <w:rPr>
                <w:color w:val="0070C0"/>
                <w:sz w:val="20"/>
                <w:szCs w:val="20"/>
              </w:rPr>
            </w:pPr>
            <w:r w:rsidRPr="00387ECC">
              <w:rPr>
                <w:rStyle w:val="Odkaznakoment"/>
                <w:color w:val="0070C0"/>
                <w:sz w:val="20"/>
                <w:szCs w:val="20"/>
              </w:rPr>
              <w:t>integrovaný zdroj vysokého napětí</w:t>
            </w:r>
          </w:p>
        </w:tc>
        <w:tc>
          <w:tcPr>
            <w:tcW w:w="7088" w:type="dxa"/>
            <w:shd w:val="clear" w:color="auto" w:fill="C5E0B3" w:themeFill="accent6" w:themeFillTint="66"/>
          </w:tcPr>
          <w:p w14:paraId="49F4C0B0" w14:textId="563CB161" w:rsidR="006B5C05" w:rsidRPr="00860B3F" w:rsidRDefault="006B5C05" w:rsidP="006B5C05">
            <w:pPr>
              <w:jc w:val="center"/>
              <w:rPr>
                <w:color w:val="C5E0B3" w:themeColor="accent6" w:themeTint="66"/>
                <w:highlight w:val="cyan"/>
              </w:rPr>
            </w:pPr>
            <w:r w:rsidRPr="0065646F">
              <w:t>Ano</w:t>
            </w:r>
          </w:p>
        </w:tc>
      </w:tr>
      <w:tr w:rsidR="006B5C05" w14:paraId="5FC8A02A" w14:textId="77777777" w:rsidTr="00AD0C47">
        <w:tc>
          <w:tcPr>
            <w:tcW w:w="6941" w:type="dxa"/>
          </w:tcPr>
          <w:p w14:paraId="4CD9A3D4" w14:textId="6BF70F73" w:rsidR="006B5C05" w:rsidRPr="00387ECC" w:rsidRDefault="006B5C05" w:rsidP="006B5C05">
            <w:pPr>
              <w:jc w:val="both"/>
              <w:rPr>
                <w:color w:val="0070C0"/>
                <w:sz w:val="20"/>
                <w:szCs w:val="20"/>
              </w:rPr>
            </w:pPr>
            <w:r w:rsidRPr="00387ECC">
              <w:rPr>
                <w:rStyle w:val="Odkaznakoment"/>
                <w:color w:val="0070C0"/>
                <w:sz w:val="20"/>
                <w:szCs w:val="20"/>
              </w:rPr>
              <w:t xml:space="preserve">spektrometrické rozlišení na čáře 60 </w:t>
            </w:r>
            <w:proofErr w:type="spellStart"/>
            <w:r w:rsidRPr="00387ECC">
              <w:rPr>
                <w:rStyle w:val="Odkaznakoment"/>
                <w:color w:val="0070C0"/>
                <w:sz w:val="20"/>
                <w:szCs w:val="20"/>
              </w:rPr>
              <w:t>keV</w:t>
            </w:r>
            <w:proofErr w:type="spellEnd"/>
            <w:r w:rsidRPr="00387ECC">
              <w:rPr>
                <w:rStyle w:val="Odkaznakoment"/>
                <w:color w:val="0070C0"/>
                <w:sz w:val="20"/>
                <w:szCs w:val="20"/>
              </w:rPr>
              <w:t xml:space="preserve"> (241Am): lepší jak 15% ve FWHM</w:t>
            </w:r>
          </w:p>
        </w:tc>
        <w:tc>
          <w:tcPr>
            <w:tcW w:w="7088" w:type="dxa"/>
            <w:shd w:val="clear" w:color="auto" w:fill="C5E0B3" w:themeFill="accent6" w:themeFillTint="66"/>
          </w:tcPr>
          <w:p w14:paraId="3B204375" w14:textId="74277A93" w:rsidR="006B5C05" w:rsidRPr="00860B3F" w:rsidRDefault="006B5C05" w:rsidP="006B5C05">
            <w:pPr>
              <w:jc w:val="center"/>
              <w:rPr>
                <w:color w:val="C5E0B3" w:themeColor="accent6" w:themeTint="66"/>
                <w:highlight w:val="cyan"/>
              </w:rPr>
            </w:pPr>
            <w:r w:rsidRPr="0065646F">
              <w:t xml:space="preserve">Ano – </w:t>
            </w:r>
            <w:r w:rsidR="00253D65">
              <w:t>14,2</w:t>
            </w:r>
            <w:r w:rsidR="00F06AD1">
              <w:t>%</w:t>
            </w:r>
          </w:p>
        </w:tc>
      </w:tr>
      <w:tr w:rsidR="006B5C05" w14:paraId="3DE45AE9" w14:textId="77777777" w:rsidTr="00AD0C47">
        <w:trPr>
          <w:trHeight w:val="330"/>
        </w:trPr>
        <w:tc>
          <w:tcPr>
            <w:tcW w:w="6941" w:type="dxa"/>
          </w:tcPr>
          <w:p w14:paraId="2EB56218" w14:textId="00188DB7" w:rsidR="006B5C05" w:rsidRPr="00387ECC" w:rsidRDefault="006B5C05" w:rsidP="006B5C05">
            <w:pPr>
              <w:jc w:val="both"/>
              <w:rPr>
                <w:color w:val="0070C0"/>
                <w:sz w:val="20"/>
                <w:szCs w:val="20"/>
              </w:rPr>
            </w:pPr>
            <w:r w:rsidRPr="00387ECC">
              <w:rPr>
                <w:rStyle w:val="Odkaznakoment"/>
                <w:color w:val="0070C0"/>
                <w:sz w:val="20"/>
                <w:szCs w:val="20"/>
              </w:rPr>
              <w:t xml:space="preserve">časové rozlišení: 2 </w:t>
            </w:r>
            <w:proofErr w:type="spellStart"/>
            <w:r w:rsidRPr="00387ECC">
              <w:rPr>
                <w:rStyle w:val="Odkaznakoment"/>
                <w:color w:val="0070C0"/>
                <w:sz w:val="20"/>
                <w:szCs w:val="20"/>
              </w:rPr>
              <w:t>ns</w:t>
            </w:r>
            <w:proofErr w:type="spellEnd"/>
            <w:r w:rsidRPr="00387ECC">
              <w:rPr>
                <w:rStyle w:val="Odkaznakoment"/>
                <w:color w:val="0070C0"/>
                <w:sz w:val="20"/>
                <w:szCs w:val="20"/>
              </w:rPr>
              <w:t xml:space="preserve"> a méně (bez započtení </w:t>
            </w:r>
            <w:proofErr w:type="spellStart"/>
            <w:r w:rsidRPr="00387ECC">
              <w:rPr>
                <w:rStyle w:val="Odkaznakoment"/>
                <w:color w:val="0070C0"/>
                <w:sz w:val="20"/>
                <w:szCs w:val="20"/>
              </w:rPr>
              <w:t>timewalku</w:t>
            </w:r>
            <w:proofErr w:type="spellEnd"/>
            <w:r w:rsidRPr="00387ECC">
              <w:rPr>
                <w:rStyle w:val="Odkaznakoment"/>
                <w:color w:val="0070C0"/>
                <w:sz w:val="20"/>
                <w:szCs w:val="20"/>
              </w:rPr>
              <w:t xml:space="preserve"> daným dobou sběru nosičů náboje)</w:t>
            </w:r>
          </w:p>
        </w:tc>
        <w:tc>
          <w:tcPr>
            <w:tcW w:w="7088" w:type="dxa"/>
            <w:shd w:val="clear" w:color="auto" w:fill="C5E0B3" w:themeFill="accent6" w:themeFillTint="66"/>
          </w:tcPr>
          <w:p w14:paraId="79AB5B8E" w14:textId="0654A7D2" w:rsidR="006B5C05" w:rsidRPr="00860B3F" w:rsidRDefault="00F04D34" w:rsidP="006B5C05">
            <w:pPr>
              <w:jc w:val="center"/>
              <w:rPr>
                <w:color w:val="C5E0B3" w:themeColor="accent6" w:themeTint="66"/>
                <w:highlight w:val="cyan"/>
              </w:rPr>
            </w:pPr>
            <w:r w:rsidRPr="00F04D34">
              <w:t xml:space="preserve">Ano – </w:t>
            </w:r>
            <w:r w:rsidR="00F06AD1">
              <w:t xml:space="preserve">1.5625 </w:t>
            </w:r>
            <w:proofErr w:type="spellStart"/>
            <w:r w:rsidR="00F06AD1">
              <w:t>ns</w:t>
            </w:r>
            <w:proofErr w:type="spellEnd"/>
          </w:p>
        </w:tc>
      </w:tr>
      <w:tr w:rsidR="006B5C05" w14:paraId="2817150E" w14:textId="77777777" w:rsidTr="00387ECC">
        <w:trPr>
          <w:trHeight w:val="1512"/>
        </w:trPr>
        <w:tc>
          <w:tcPr>
            <w:tcW w:w="6941" w:type="dxa"/>
          </w:tcPr>
          <w:p w14:paraId="5F89C5A9" w14:textId="77777777" w:rsidR="006B5C05" w:rsidRPr="00387ECC" w:rsidRDefault="006B5C05" w:rsidP="006B5C05">
            <w:pPr>
              <w:jc w:val="both"/>
              <w:rPr>
                <w:rStyle w:val="Odkaznakoment"/>
                <w:color w:val="0070C0"/>
                <w:sz w:val="20"/>
                <w:szCs w:val="20"/>
              </w:rPr>
            </w:pPr>
            <w:r w:rsidRPr="00387ECC">
              <w:rPr>
                <w:rStyle w:val="Odkaznakoment"/>
                <w:color w:val="0070C0"/>
                <w:sz w:val="20"/>
                <w:szCs w:val="20"/>
              </w:rPr>
              <w:t>maximální datový tok: minimálně 1 milion událostí za sekundu</w:t>
            </w:r>
          </w:p>
          <w:p w14:paraId="4370D6CF" w14:textId="77777777" w:rsidR="006B5C05" w:rsidRDefault="006B5C05" w:rsidP="006B5C05">
            <w:pPr>
              <w:pStyle w:val="Odstavecseseznamem"/>
              <w:numPr>
                <w:ilvl w:val="1"/>
                <w:numId w:val="3"/>
              </w:numPr>
              <w:ind w:left="738" w:hanging="425"/>
              <w:contextualSpacing w:val="0"/>
              <w:jc w:val="both"/>
              <w:rPr>
                <w:rStyle w:val="Odkaznakoment"/>
                <w:color w:val="0070C0"/>
                <w:sz w:val="20"/>
                <w:szCs w:val="20"/>
              </w:rPr>
            </w:pPr>
            <w:r>
              <w:rPr>
                <w:rStyle w:val="Odkaznakoment"/>
                <w:color w:val="0070C0"/>
                <w:sz w:val="20"/>
                <w:szCs w:val="20"/>
              </w:rPr>
              <w:t>událostí se myslí zasažený pixel, který úspěšně odeslal informaci o události (pokud částice ionizujícího záření zasáhne více pixelů, tak pro podmínku na datový tok se bere každý zasažený pixel jako samostatná událost);</w:t>
            </w:r>
          </w:p>
          <w:p w14:paraId="5AEDAB0C" w14:textId="77777777" w:rsidR="006B5C05" w:rsidRDefault="006B5C05" w:rsidP="006B5C05">
            <w:pPr>
              <w:pStyle w:val="Odstavecseseznamem"/>
              <w:numPr>
                <w:ilvl w:val="1"/>
                <w:numId w:val="3"/>
              </w:numPr>
              <w:ind w:left="738" w:hanging="425"/>
              <w:contextualSpacing w:val="0"/>
              <w:jc w:val="both"/>
              <w:rPr>
                <w:rStyle w:val="Odkaznakoment"/>
                <w:color w:val="0070C0"/>
                <w:sz w:val="20"/>
                <w:szCs w:val="20"/>
              </w:rPr>
            </w:pPr>
            <w:r>
              <w:rPr>
                <w:rStyle w:val="Odkaznakoment"/>
                <w:color w:val="0070C0"/>
                <w:sz w:val="20"/>
                <w:szCs w:val="20"/>
              </w:rPr>
              <w:t>informace o události musí obsahovat:</w:t>
            </w:r>
          </w:p>
          <w:p w14:paraId="6AC7E21E" w14:textId="77777777" w:rsidR="006B5C05" w:rsidRDefault="006B5C05" w:rsidP="006B5C05">
            <w:pPr>
              <w:pStyle w:val="Odstavecseseznamem"/>
              <w:numPr>
                <w:ilvl w:val="2"/>
                <w:numId w:val="3"/>
              </w:numPr>
              <w:ind w:left="738" w:firstLine="283"/>
              <w:contextualSpacing w:val="0"/>
              <w:jc w:val="both"/>
              <w:rPr>
                <w:rStyle w:val="Odkaznakoment"/>
                <w:color w:val="0070C0"/>
                <w:sz w:val="20"/>
                <w:szCs w:val="20"/>
              </w:rPr>
            </w:pPr>
            <w:r>
              <w:rPr>
                <w:rStyle w:val="Odkaznakoment"/>
                <w:color w:val="0070C0"/>
                <w:sz w:val="20"/>
                <w:szCs w:val="20"/>
              </w:rPr>
              <w:t>adresu zasaženého pixelu,</w:t>
            </w:r>
          </w:p>
          <w:p w14:paraId="113A9548" w14:textId="77777777" w:rsidR="006B5C05" w:rsidRDefault="006B5C05" w:rsidP="006B5C05">
            <w:pPr>
              <w:pStyle w:val="Odstavecseseznamem"/>
              <w:numPr>
                <w:ilvl w:val="2"/>
                <w:numId w:val="3"/>
              </w:numPr>
              <w:ind w:left="738" w:firstLine="283"/>
              <w:contextualSpacing w:val="0"/>
              <w:jc w:val="both"/>
              <w:rPr>
                <w:rStyle w:val="Odkaznakoment"/>
                <w:color w:val="0070C0"/>
                <w:sz w:val="20"/>
                <w:szCs w:val="20"/>
              </w:rPr>
            </w:pPr>
            <w:r>
              <w:rPr>
                <w:rStyle w:val="Odkaznakoment"/>
                <w:color w:val="0070C0"/>
                <w:sz w:val="20"/>
                <w:szCs w:val="20"/>
              </w:rPr>
              <w:t>informaci o energii absorbované v daném pixelu,</w:t>
            </w:r>
          </w:p>
          <w:p w14:paraId="7C806E17" w14:textId="517911FD" w:rsidR="006B5C05" w:rsidRPr="00387ECC" w:rsidRDefault="006B5C05" w:rsidP="006B5C05">
            <w:pPr>
              <w:pStyle w:val="Odstavecseseznamem"/>
              <w:numPr>
                <w:ilvl w:val="2"/>
                <w:numId w:val="3"/>
              </w:numPr>
              <w:ind w:left="738" w:firstLine="283"/>
              <w:contextualSpacing w:val="0"/>
              <w:jc w:val="both"/>
              <w:rPr>
                <w:color w:val="0070C0"/>
                <w:sz w:val="20"/>
                <w:szCs w:val="20"/>
              </w:rPr>
            </w:pPr>
            <w:r>
              <w:rPr>
                <w:rStyle w:val="Odkaznakoment"/>
                <w:color w:val="0070C0"/>
                <w:sz w:val="20"/>
                <w:szCs w:val="20"/>
              </w:rPr>
              <w:t>čas kdy k této události došlo;</w:t>
            </w:r>
          </w:p>
        </w:tc>
        <w:tc>
          <w:tcPr>
            <w:tcW w:w="7088" w:type="dxa"/>
            <w:shd w:val="clear" w:color="auto" w:fill="C5E0B3" w:themeFill="accent6" w:themeFillTint="66"/>
          </w:tcPr>
          <w:p w14:paraId="1EFAF0F4" w14:textId="3D5D785E" w:rsidR="00F035F1" w:rsidRPr="009A0B27" w:rsidRDefault="00F035F1" w:rsidP="00F035F1">
            <w:pPr>
              <w:jc w:val="center"/>
            </w:pPr>
            <w:proofErr w:type="gramStart"/>
            <w:r w:rsidRPr="009A0B27">
              <w:t xml:space="preserve">Ano – </w:t>
            </w:r>
            <w:r>
              <w:t xml:space="preserve"> 2.35</w:t>
            </w:r>
            <w:proofErr w:type="gramEnd"/>
            <w:r w:rsidRPr="009A0B27">
              <w:t xml:space="preserve"> milionů událostí za sekundu</w:t>
            </w:r>
          </w:p>
          <w:p w14:paraId="1BFA9157" w14:textId="77777777" w:rsidR="00F035F1" w:rsidRDefault="00F035F1" w:rsidP="00F035F1">
            <w:pPr>
              <w:jc w:val="center"/>
            </w:pPr>
            <w:r w:rsidRPr="009A0B27">
              <w:t>Informace události obsahuje tyto informace:</w:t>
            </w:r>
          </w:p>
          <w:p w14:paraId="6CDB2FC9" w14:textId="77777777" w:rsidR="00F035F1" w:rsidRPr="009A0B27" w:rsidRDefault="00F035F1" w:rsidP="00F035F1">
            <w:pPr>
              <w:pStyle w:val="Odstavecseseznamem"/>
              <w:numPr>
                <w:ilvl w:val="2"/>
                <w:numId w:val="3"/>
              </w:numPr>
              <w:tabs>
                <w:tab w:val="left" w:pos="1163"/>
              </w:tabs>
              <w:ind w:left="738" w:firstLine="0"/>
              <w:contextualSpacing w:val="0"/>
              <w:jc w:val="both"/>
            </w:pPr>
            <w:r w:rsidRPr="009A0B27">
              <w:t>adresu zasaženého pixelu,</w:t>
            </w:r>
          </w:p>
          <w:p w14:paraId="2FC51F57" w14:textId="77777777" w:rsidR="00F035F1" w:rsidRPr="009A0B27" w:rsidRDefault="00F035F1" w:rsidP="00F035F1">
            <w:pPr>
              <w:pStyle w:val="Odstavecseseznamem"/>
              <w:numPr>
                <w:ilvl w:val="2"/>
                <w:numId w:val="3"/>
              </w:numPr>
              <w:ind w:left="1163" w:hanging="425"/>
              <w:contextualSpacing w:val="0"/>
              <w:jc w:val="both"/>
            </w:pPr>
            <w:r w:rsidRPr="009A0B27">
              <w:t>informaci o energii absorbované v daném pixelu,</w:t>
            </w:r>
          </w:p>
          <w:p w14:paraId="3850270B" w14:textId="77777777" w:rsidR="00F035F1" w:rsidRPr="009A0B27" w:rsidRDefault="00F035F1" w:rsidP="00F035F1">
            <w:pPr>
              <w:pStyle w:val="Odstavecseseznamem"/>
              <w:numPr>
                <w:ilvl w:val="2"/>
                <w:numId w:val="3"/>
              </w:numPr>
              <w:ind w:left="1163" w:hanging="425"/>
              <w:contextualSpacing w:val="0"/>
              <w:jc w:val="both"/>
            </w:pPr>
            <w:r w:rsidRPr="009A0B27">
              <w:t>čas kdy k této události došlo</w:t>
            </w:r>
          </w:p>
          <w:p w14:paraId="75F6B40C" w14:textId="77777777" w:rsidR="00F035F1" w:rsidRPr="009A0B27" w:rsidRDefault="00F035F1" w:rsidP="00F035F1"/>
          <w:p w14:paraId="01E0CCA2" w14:textId="14663583" w:rsidR="006B5C05" w:rsidRPr="00860B3F" w:rsidRDefault="00F035F1" w:rsidP="00F035F1">
            <w:pPr>
              <w:jc w:val="center"/>
              <w:rPr>
                <w:color w:val="C5E0B3" w:themeColor="accent6" w:themeTint="66"/>
                <w:highlight w:val="cyan"/>
              </w:rPr>
            </w:pPr>
            <w:r>
              <w:t>Poskytování těchto</w:t>
            </w:r>
            <w:r w:rsidRPr="009A0B27">
              <w:t xml:space="preserve"> informac</w:t>
            </w:r>
            <w:r>
              <w:t xml:space="preserve">í zajišťuje použití </w:t>
            </w:r>
            <w:proofErr w:type="spellStart"/>
            <w:r>
              <w:t>vyčítací</w:t>
            </w:r>
            <w:proofErr w:type="spellEnd"/>
            <w:r>
              <w:t xml:space="preserve"> elektroniky Timepix3 v detektoru</w:t>
            </w:r>
          </w:p>
        </w:tc>
      </w:tr>
      <w:tr w:rsidR="006B5C05" w14:paraId="476C0470" w14:textId="77777777" w:rsidTr="00387ECC">
        <w:trPr>
          <w:trHeight w:val="1288"/>
        </w:trPr>
        <w:tc>
          <w:tcPr>
            <w:tcW w:w="6941" w:type="dxa"/>
          </w:tcPr>
          <w:p w14:paraId="39EF0B52" w14:textId="77777777" w:rsidR="006B5C05" w:rsidRPr="00387ECC" w:rsidRDefault="006B5C05" w:rsidP="006B5C05">
            <w:pPr>
              <w:jc w:val="both"/>
              <w:rPr>
                <w:rStyle w:val="Odkaznakoment"/>
                <w:color w:val="0070C0"/>
                <w:sz w:val="20"/>
                <w:szCs w:val="20"/>
              </w:rPr>
            </w:pPr>
            <w:r w:rsidRPr="00387ECC">
              <w:rPr>
                <w:rStyle w:val="Odkaznakoment"/>
                <w:color w:val="0070C0"/>
                <w:sz w:val="20"/>
                <w:szCs w:val="20"/>
              </w:rPr>
              <w:t>detektor musí umožňovat signálové spouštění</w:t>
            </w:r>
          </w:p>
          <w:p w14:paraId="22922DCB" w14:textId="77777777" w:rsidR="006B5C05" w:rsidRDefault="006B5C05" w:rsidP="006B5C05">
            <w:pPr>
              <w:pStyle w:val="Odstavecseseznamem"/>
              <w:numPr>
                <w:ilvl w:val="1"/>
                <w:numId w:val="3"/>
              </w:numPr>
              <w:ind w:left="596" w:hanging="283"/>
              <w:contextualSpacing w:val="0"/>
              <w:jc w:val="both"/>
              <w:rPr>
                <w:rStyle w:val="Odkaznakoment"/>
                <w:color w:val="0070C0"/>
                <w:sz w:val="20"/>
                <w:szCs w:val="20"/>
              </w:rPr>
            </w:pPr>
            <w:r>
              <w:rPr>
                <w:rStyle w:val="Odkaznakoment"/>
                <w:color w:val="0070C0"/>
                <w:sz w:val="20"/>
                <w:szCs w:val="20"/>
              </w:rPr>
              <w:t>signálem je míněn některý ze standardizovaných logických elektronických signálů (např. TTL);</w:t>
            </w:r>
          </w:p>
          <w:p w14:paraId="188F8864" w14:textId="25A5CB21" w:rsidR="006B5C05" w:rsidRPr="00387ECC" w:rsidRDefault="006B5C05" w:rsidP="006B5C05">
            <w:pPr>
              <w:pStyle w:val="Odstavecseseznamem"/>
              <w:numPr>
                <w:ilvl w:val="1"/>
                <w:numId w:val="3"/>
              </w:numPr>
              <w:ind w:left="596" w:hanging="283"/>
              <w:contextualSpacing w:val="0"/>
              <w:jc w:val="both"/>
              <w:rPr>
                <w:color w:val="0070C0"/>
                <w:sz w:val="20"/>
                <w:szCs w:val="20"/>
              </w:rPr>
            </w:pPr>
            <w:r>
              <w:rPr>
                <w:rStyle w:val="Odkaznakoment"/>
                <w:color w:val="0070C0"/>
                <w:sz w:val="20"/>
                <w:szCs w:val="20"/>
              </w:rPr>
              <w:t xml:space="preserve">buď přístroj začne měřit příchodem změny stavu takového signálu </w:t>
            </w:r>
            <w:r w:rsidRPr="000D7088">
              <w:rPr>
                <w:rStyle w:val="Odkaznakoment"/>
                <w:color w:val="0070C0"/>
                <w:sz w:val="20"/>
                <w:szCs w:val="20"/>
              </w:rPr>
              <w:t>(</w:t>
            </w:r>
            <w:r>
              <w:rPr>
                <w:rStyle w:val="Odkaznakoment"/>
                <w:color w:val="0070C0"/>
                <w:sz w:val="20"/>
                <w:szCs w:val="20"/>
              </w:rPr>
              <w:t xml:space="preserve">např. z logické nuly na logickou 1; tzv. </w:t>
            </w:r>
            <w:proofErr w:type="spellStart"/>
            <w:r w:rsidRPr="000D7088">
              <w:rPr>
                <w:rStyle w:val="Odkaznakoment"/>
                <w:color w:val="0070C0"/>
                <w:sz w:val="20"/>
                <w:szCs w:val="20"/>
              </w:rPr>
              <w:t>trigger</w:t>
            </w:r>
            <w:proofErr w:type="spellEnd"/>
            <w:r w:rsidRPr="000D7088">
              <w:rPr>
                <w:rStyle w:val="Odkaznakoment"/>
                <w:color w:val="0070C0"/>
                <w:sz w:val="20"/>
                <w:szCs w:val="20"/>
              </w:rPr>
              <w:t xml:space="preserve"> mode)</w:t>
            </w:r>
            <w:r>
              <w:rPr>
                <w:rStyle w:val="Odkaznakoment"/>
                <w:color w:val="0070C0"/>
                <w:sz w:val="20"/>
                <w:szCs w:val="20"/>
              </w:rPr>
              <w:t xml:space="preserve"> nebo přístroj měří po dobu mezi dvěma po sobě jdoucími změnami stavu takového signálu (např. přístroj měří pouze, když je signál v logické 1; tzv. </w:t>
            </w:r>
            <w:proofErr w:type="spellStart"/>
            <w:r>
              <w:rPr>
                <w:rStyle w:val="Odkaznakoment"/>
                <w:color w:val="0070C0"/>
                <w:sz w:val="20"/>
                <w:szCs w:val="20"/>
              </w:rPr>
              <w:t>shutter</w:t>
            </w:r>
            <w:proofErr w:type="spellEnd"/>
            <w:r>
              <w:rPr>
                <w:rStyle w:val="Odkaznakoment"/>
                <w:color w:val="0070C0"/>
                <w:sz w:val="20"/>
                <w:szCs w:val="20"/>
              </w:rPr>
              <w:t xml:space="preserve"> mode);</w:t>
            </w:r>
          </w:p>
        </w:tc>
        <w:tc>
          <w:tcPr>
            <w:tcW w:w="7088" w:type="dxa"/>
            <w:shd w:val="clear" w:color="auto" w:fill="C5E0B3" w:themeFill="accent6" w:themeFillTint="66"/>
          </w:tcPr>
          <w:p w14:paraId="4AAF7017" w14:textId="21AEDA34" w:rsidR="006B5C05" w:rsidRPr="00860B3F" w:rsidRDefault="00F06AD1" w:rsidP="006B5C05">
            <w:pPr>
              <w:jc w:val="center"/>
              <w:rPr>
                <w:color w:val="C5E0B3" w:themeColor="accent6" w:themeTint="66"/>
                <w:highlight w:val="cyan"/>
              </w:rPr>
            </w:pPr>
            <w:r w:rsidRPr="0034009C">
              <w:t>Ano (</w:t>
            </w:r>
            <w:r>
              <w:t xml:space="preserve">konfigurovatelný </w:t>
            </w:r>
            <w:proofErr w:type="spellStart"/>
            <w:r>
              <w:t>trigger</w:t>
            </w:r>
            <w:proofErr w:type="spellEnd"/>
            <w:r w:rsidRPr="0034009C">
              <w:t xml:space="preserve"> </w:t>
            </w:r>
            <w:r>
              <w:t>vstup</w:t>
            </w:r>
            <w:r w:rsidRPr="0034009C">
              <w:t>)</w:t>
            </w:r>
          </w:p>
        </w:tc>
      </w:tr>
      <w:tr w:rsidR="006B5C05" w:rsidRPr="00860B3F" w14:paraId="59F526D2" w14:textId="77777777" w:rsidTr="00AD0C47">
        <w:tc>
          <w:tcPr>
            <w:tcW w:w="6941" w:type="dxa"/>
          </w:tcPr>
          <w:p w14:paraId="1E9F4C68" w14:textId="77777777" w:rsidR="006B5C05" w:rsidRPr="00387ECC" w:rsidRDefault="006B5C05" w:rsidP="006B5C05">
            <w:pPr>
              <w:jc w:val="both"/>
              <w:rPr>
                <w:rStyle w:val="Odkaznakoment"/>
                <w:color w:val="0070C0"/>
                <w:sz w:val="20"/>
                <w:szCs w:val="20"/>
              </w:rPr>
            </w:pPr>
            <w:r w:rsidRPr="00387ECC">
              <w:rPr>
                <w:rStyle w:val="Odkaznakoment"/>
                <w:color w:val="0070C0"/>
                <w:sz w:val="20"/>
                <w:szCs w:val="20"/>
              </w:rPr>
              <w:t>možnost koincidenčního měření s dalšími pixelovými detektory, a to alespoň stejného typu, jako je detektor nabízený;</w:t>
            </w:r>
          </w:p>
          <w:p w14:paraId="51D83AD7" w14:textId="12EE5F12" w:rsidR="006B5C05" w:rsidRPr="00AD0C47" w:rsidRDefault="006B5C05" w:rsidP="006B5C05">
            <w:pPr>
              <w:pStyle w:val="Odstavecseseznamem"/>
              <w:ind w:left="1163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C5E0B3" w:themeFill="accent6" w:themeFillTint="66"/>
          </w:tcPr>
          <w:p w14:paraId="6F5639D2" w14:textId="0EAA545A" w:rsidR="006B5C05" w:rsidRPr="00F035F1" w:rsidRDefault="00F035F1" w:rsidP="00F035F1">
            <w:pPr>
              <w:jc w:val="center"/>
            </w:pPr>
            <w:r w:rsidRPr="00F035F1">
              <w:lastRenderedPageBreak/>
              <w:t xml:space="preserve">Ano </w:t>
            </w:r>
            <w:r>
              <w:t>-</w:t>
            </w:r>
            <w:r w:rsidRPr="00F035F1">
              <w:t xml:space="preserve"> SW synchr</w:t>
            </w:r>
            <w:r w:rsidR="00F06AD1">
              <w:t>o</w:t>
            </w:r>
            <w:r w:rsidRPr="00F035F1">
              <w:t>n</w:t>
            </w:r>
            <w:r w:rsidR="00F06AD1">
              <w:t>i</w:t>
            </w:r>
            <w:r w:rsidRPr="00F035F1">
              <w:t>zace je nabízena – součástí dodávky</w:t>
            </w:r>
          </w:p>
        </w:tc>
      </w:tr>
      <w:tr w:rsidR="006B5C05" w:rsidRPr="00860B3F" w14:paraId="2E39E522" w14:textId="77777777" w:rsidTr="00387ECC">
        <w:trPr>
          <w:trHeight w:val="406"/>
        </w:trPr>
        <w:tc>
          <w:tcPr>
            <w:tcW w:w="6941" w:type="dxa"/>
          </w:tcPr>
          <w:p w14:paraId="0A783A48" w14:textId="646E8A60" w:rsidR="006B5C05" w:rsidRPr="00387ECC" w:rsidRDefault="006B5C05" w:rsidP="006B5C05">
            <w:pPr>
              <w:jc w:val="both"/>
              <w:rPr>
                <w:color w:val="0070C0"/>
                <w:sz w:val="20"/>
                <w:szCs w:val="20"/>
              </w:rPr>
            </w:pPr>
            <w:r w:rsidRPr="00387ECC">
              <w:rPr>
                <w:rStyle w:val="Odkaznakoment"/>
                <w:color w:val="0070C0"/>
                <w:sz w:val="20"/>
                <w:szCs w:val="20"/>
              </w:rPr>
              <w:lastRenderedPageBreak/>
              <w:t xml:space="preserve">komunikační rozhraní: USB nebo </w:t>
            </w:r>
            <w:proofErr w:type="spellStart"/>
            <w:r w:rsidRPr="00387ECC">
              <w:rPr>
                <w:rStyle w:val="Odkaznakoment"/>
                <w:color w:val="0070C0"/>
                <w:sz w:val="20"/>
                <w:szCs w:val="20"/>
              </w:rPr>
              <w:t>ethernet</w:t>
            </w:r>
            <w:proofErr w:type="spellEnd"/>
            <w:r w:rsidRPr="00387ECC">
              <w:rPr>
                <w:rStyle w:val="Odkaznakoment"/>
                <w:color w:val="0070C0"/>
                <w:sz w:val="20"/>
                <w:szCs w:val="20"/>
              </w:rPr>
              <w:t>;</w:t>
            </w:r>
          </w:p>
        </w:tc>
        <w:tc>
          <w:tcPr>
            <w:tcW w:w="7088" w:type="dxa"/>
            <w:shd w:val="clear" w:color="auto" w:fill="C5E0B3" w:themeFill="accent6" w:themeFillTint="66"/>
          </w:tcPr>
          <w:p w14:paraId="416080CC" w14:textId="2C13F421" w:rsidR="006B5C05" w:rsidRPr="00860B3F" w:rsidRDefault="00F035F1" w:rsidP="006B5C05">
            <w:pPr>
              <w:jc w:val="center"/>
              <w:rPr>
                <w:color w:val="C5E0B3" w:themeColor="accent6" w:themeTint="66"/>
                <w:highlight w:val="cyan"/>
              </w:rPr>
            </w:pPr>
            <w:r w:rsidRPr="00F035F1">
              <w:t>Ano – USB 2.0 (super-speed)</w:t>
            </w:r>
          </w:p>
        </w:tc>
      </w:tr>
      <w:tr w:rsidR="00A151FA" w:rsidRPr="00860B3F" w14:paraId="2ECD2D0C" w14:textId="77777777" w:rsidTr="00AD0C47">
        <w:tc>
          <w:tcPr>
            <w:tcW w:w="6941" w:type="dxa"/>
          </w:tcPr>
          <w:p w14:paraId="478971CF" w14:textId="77777777" w:rsidR="00A151FA" w:rsidRPr="00F90FD1" w:rsidRDefault="00A151FA" w:rsidP="00A151FA">
            <w:pPr>
              <w:jc w:val="both"/>
              <w:rPr>
                <w:b/>
              </w:rPr>
            </w:pPr>
            <w:r>
              <w:rPr>
                <w:rStyle w:val="Odkaznakoment"/>
                <w:color w:val="0070C0"/>
                <w:sz w:val="20"/>
                <w:szCs w:val="20"/>
              </w:rPr>
              <w:t>součástí dodávky musí být alespoň základní programové vybavení pro ovládání zařízení a akvizici dat</w:t>
            </w:r>
            <w:r w:rsidRPr="00206C57">
              <w:rPr>
                <w:rStyle w:val="Odkaznakoment"/>
                <w:rFonts w:cstheme="minorHAnsi"/>
                <w:color w:val="0070C0"/>
                <w:sz w:val="20"/>
                <w:szCs w:val="20"/>
              </w:rPr>
              <w:t xml:space="preserve">; </w:t>
            </w:r>
            <w:r w:rsidRPr="00206C57">
              <w:rPr>
                <w:rFonts w:cstheme="minorHAnsi"/>
                <w:color w:val="0070C0"/>
                <w:sz w:val="20"/>
                <w:szCs w:val="20"/>
              </w:rPr>
              <w:t>vybavení by mělo dovolovat uložení dat ve formátu vhodném pro analýzu dat, která by byla nezávislá na dodaném softwaru (např. textový dokument s popisem uložených dat)</w:t>
            </w:r>
          </w:p>
          <w:p w14:paraId="7E1806B7" w14:textId="77777777" w:rsidR="00A151FA" w:rsidRDefault="00A151FA" w:rsidP="00A151F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C5E0B3" w:themeFill="accent6" w:themeFillTint="66"/>
          </w:tcPr>
          <w:p w14:paraId="7AC6919D" w14:textId="69B6C0AC" w:rsidR="00A151FA" w:rsidRPr="00860B3F" w:rsidRDefault="00A151FA" w:rsidP="00A151FA">
            <w:pPr>
              <w:jc w:val="center"/>
              <w:rPr>
                <w:color w:val="C5E0B3" w:themeColor="accent6" w:themeTint="66"/>
                <w:highlight w:val="cyan"/>
              </w:rPr>
            </w:pPr>
            <w:r>
              <w:t>Ano SW je součástí dodávky, funkčnost přesahuje požadavky.</w:t>
            </w:r>
          </w:p>
        </w:tc>
      </w:tr>
    </w:tbl>
    <w:p w14:paraId="52523865" w14:textId="77777777" w:rsidR="00AD0C47" w:rsidRDefault="00AD0C47" w:rsidP="00F90FD1">
      <w:pPr>
        <w:ind w:left="567"/>
        <w:jc w:val="both"/>
        <w:rPr>
          <w:rFonts w:ascii="Tahoma" w:hAnsi="Tahoma" w:cs="Tahoma"/>
          <w:sz w:val="20"/>
          <w:szCs w:val="20"/>
        </w:rPr>
      </w:pPr>
    </w:p>
    <w:p w14:paraId="76472DEA" w14:textId="77777777" w:rsidR="00387ECC" w:rsidRPr="00F90FD1" w:rsidRDefault="00387ECC">
      <w:pPr>
        <w:ind w:left="567"/>
        <w:jc w:val="both"/>
        <w:rPr>
          <w:b/>
        </w:rPr>
      </w:pPr>
    </w:p>
    <w:sectPr w:rsidR="00387ECC" w:rsidRPr="00F90FD1" w:rsidSect="00AD0C47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2D8FCB" w14:textId="77777777" w:rsidR="00411E27" w:rsidRDefault="00411E27" w:rsidP="00AA61E8">
      <w:pPr>
        <w:spacing w:after="0" w:line="240" w:lineRule="auto"/>
      </w:pPr>
      <w:r>
        <w:separator/>
      </w:r>
    </w:p>
  </w:endnote>
  <w:endnote w:type="continuationSeparator" w:id="0">
    <w:p w14:paraId="0CF2D2D6" w14:textId="77777777" w:rsidR="00411E27" w:rsidRDefault="00411E27" w:rsidP="00AA6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font">
    <w:altName w:val="MS Gothic"/>
    <w:charset w:val="80"/>
    <w:family w:val="auto"/>
    <w:pitch w:val="variable"/>
  </w:font>
  <w:font w:name="DejaVu Sans">
    <w:altName w:val="MS Gothic"/>
    <w:charset w:val="80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979EAF" w14:textId="77777777" w:rsidR="00411E27" w:rsidRDefault="00411E27" w:rsidP="00AA61E8">
      <w:pPr>
        <w:spacing w:after="0" w:line="240" w:lineRule="auto"/>
      </w:pPr>
      <w:r>
        <w:separator/>
      </w:r>
    </w:p>
  </w:footnote>
  <w:footnote w:type="continuationSeparator" w:id="0">
    <w:p w14:paraId="6203B78D" w14:textId="77777777" w:rsidR="00411E27" w:rsidRDefault="00411E27" w:rsidP="00AA6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B1577"/>
    <w:multiLevelType w:val="hybridMultilevel"/>
    <w:tmpl w:val="4E2EBAC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B1F7914"/>
    <w:multiLevelType w:val="hybridMultilevel"/>
    <w:tmpl w:val="AA9A42EC"/>
    <w:lvl w:ilvl="0" w:tplc="227C40A6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865373"/>
    <w:multiLevelType w:val="hybridMultilevel"/>
    <w:tmpl w:val="39A4D05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E3F1814"/>
    <w:multiLevelType w:val="hybridMultilevel"/>
    <w:tmpl w:val="EC2CE54C"/>
    <w:lvl w:ilvl="0" w:tplc="CADE6186">
      <w:start w:val="1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AE6"/>
    <w:rsid w:val="00067808"/>
    <w:rsid w:val="000F3AC1"/>
    <w:rsid w:val="001617E2"/>
    <w:rsid w:val="001B09A3"/>
    <w:rsid w:val="0020432B"/>
    <w:rsid w:val="00253D65"/>
    <w:rsid w:val="0026493A"/>
    <w:rsid w:val="00270EE9"/>
    <w:rsid w:val="00283A4C"/>
    <w:rsid w:val="00322C8E"/>
    <w:rsid w:val="00387ECC"/>
    <w:rsid w:val="004032AA"/>
    <w:rsid w:val="004034D2"/>
    <w:rsid w:val="00411E27"/>
    <w:rsid w:val="004E1A0F"/>
    <w:rsid w:val="0053716E"/>
    <w:rsid w:val="0065463C"/>
    <w:rsid w:val="006960C5"/>
    <w:rsid w:val="006B5C05"/>
    <w:rsid w:val="006C722A"/>
    <w:rsid w:val="007353B0"/>
    <w:rsid w:val="00836AE6"/>
    <w:rsid w:val="00852C73"/>
    <w:rsid w:val="00860B3F"/>
    <w:rsid w:val="008B4622"/>
    <w:rsid w:val="009660CE"/>
    <w:rsid w:val="009F4F4F"/>
    <w:rsid w:val="00A151FA"/>
    <w:rsid w:val="00AA61E8"/>
    <w:rsid w:val="00AD0C47"/>
    <w:rsid w:val="00B91335"/>
    <w:rsid w:val="00C60430"/>
    <w:rsid w:val="00CD5DAA"/>
    <w:rsid w:val="00EB30E7"/>
    <w:rsid w:val="00EF702C"/>
    <w:rsid w:val="00F035F1"/>
    <w:rsid w:val="00F04D34"/>
    <w:rsid w:val="00F06AD1"/>
    <w:rsid w:val="00F32196"/>
    <w:rsid w:val="00F56531"/>
    <w:rsid w:val="00F90FD1"/>
    <w:rsid w:val="00FA2408"/>
    <w:rsid w:val="00FE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131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qFormat/>
    <w:rsid w:val="00860B3F"/>
    <w:pPr>
      <w:keepNext/>
      <w:widowControl w:val="0"/>
      <w:suppressAutoHyphens/>
      <w:spacing w:before="240" w:after="120" w:line="240" w:lineRule="auto"/>
      <w:outlineLvl w:val="1"/>
    </w:pPr>
    <w:rPr>
      <w:rFonts w:ascii="Arial" w:eastAsia="unifont" w:hAnsi="Arial" w:cs="DejaVu Sans"/>
      <w:bCs/>
      <w:i/>
      <w:iCs/>
      <w:color w:val="00000A"/>
      <w:sz w:val="28"/>
      <w:szCs w:val="28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unhideWhenUsed/>
    <w:rsid w:val="00FE49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49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49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49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495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4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495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FE4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617E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A6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AA61E8"/>
  </w:style>
  <w:style w:type="paragraph" w:styleId="Zpat">
    <w:name w:val="footer"/>
    <w:basedOn w:val="Normln"/>
    <w:link w:val="ZpatChar"/>
    <w:uiPriority w:val="99"/>
    <w:unhideWhenUsed/>
    <w:rsid w:val="00AA6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61E8"/>
  </w:style>
  <w:style w:type="character" w:customStyle="1" w:styleId="Nadpis2Char">
    <w:name w:val="Nadpis 2 Char"/>
    <w:basedOn w:val="Standardnpsmoodstavce"/>
    <w:link w:val="Nadpis2"/>
    <w:qFormat/>
    <w:rsid w:val="00860B3F"/>
    <w:rPr>
      <w:rFonts w:ascii="Arial" w:eastAsia="unifont" w:hAnsi="Arial" w:cs="DejaVu Sans"/>
      <w:bCs/>
      <w:i/>
      <w:iCs/>
      <w:color w:val="00000A"/>
      <w:sz w:val="28"/>
      <w:szCs w:val="2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qFormat/>
    <w:rsid w:val="00860B3F"/>
    <w:pPr>
      <w:keepNext/>
      <w:widowControl w:val="0"/>
      <w:suppressAutoHyphens/>
      <w:spacing w:before="240" w:after="120" w:line="240" w:lineRule="auto"/>
      <w:outlineLvl w:val="1"/>
    </w:pPr>
    <w:rPr>
      <w:rFonts w:ascii="Arial" w:eastAsia="unifont" w:hAnsi="Arial" w:cs="DejaVu Sans"/>
      <w:bCs/>
      <w:i/>
      <w:iCs/>
      <w:color w:val="00000A"/>
      <w:sz w:val="28"/>
      <w:szCs w:val="28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unhideWhenUsed/>
    <w:rsid w:val="00FE49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49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49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49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495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4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495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FE4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617E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A6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AA61E8"/>
  </w:style>
  <w:style w:type="paragraph" w:styleId="Zpat">
    <w:name w:val="footer"/>
    <w:basedOn w:val="Normln"/>
    <w:link w:val="ZpatChar"/>
    <w:uiPriority w:val="99"/>
    <w:unhideWhenUsed/>
    <w:rsid w:val="00AA6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61E8"/>
  </w:style>
  <w:style w:type="character" w:customStyle="1" w:styleId="Nadpis2Char">
    <w:name w:val="Nadpis 2 Char"/>
    <w:basedOn w:val="Standardnpsmoodstavce"/>
    <w:link w:val="Nadpis2"/>
    <w:qFormat/>
    <w:rsid w:val="00860B3F"/>
    <w:rPr>
      <w:rFonts w:ascii="Arial" w:eastAsia="unifont" w:hAnsi="Arial" w:cs="DejaVu Sans"/>
      <w:bCs/>
      <w:i/>
      <w:iCs/>
      <w:color w:val="00000A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9AEEC-A06B-40DB-82A1-7485B99B8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348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Johnová</dc:creator>
  <cp:keywords/>
  <dc:description/>
  <cp:lastModifiedBy>Advokátní kancelář</cp:lastModifiedBy>
  <cp:revision>18</cp:revision>
  <dcterms:created xsi:type="dcterms:W3CDTF">2019-05-12T19:38:00Z</dcterms:created>
  <dcterms:modified xsi:type="dcterms:W3CDTF">2019-09-04T07:59:00Z</dcterms:modified>
</cp:coreProperties>
</file>