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FFE" w:rsidRDefault="00391102" w:rsidP="00F12F52">
      <w:pPr>
        <w:pStyle w:val="Heading20"/>
        <w:framePr w:h="391" w:hRule="exact" w:wrap="none" w:vAnchor="page" w:hAnchor="page" w:x="1336" w:y="1756"/>
        <w:shd w:val="clear" w:color="auto" w:fill="auto"/>
        <w:spacing w:after="0"/>
        <w:ind w:left="1940"/>
      </w:pPr>
      <w:bookmarkStart w:id="0" w:name="bookmark0"/>
      <w:r>
        <w:rPr>
          <w:rStyle w:val="Heading21"/>
          <w:b/>
          <w:bCs/>
        </w:rPr>
        <w:t>SMLOUVA O PODN</w:t>
      </w:r>
      <w:r w:rsidR="00F12F52">
        <w:rPr>
          <w:rStyle w:val="Heading21"/>
          <w:b/>
          <w:bCs/>
        </w:rPr>
        <w:t>Á</w:t>
      </w:r>
      <w:r>
        <w:rPr>
          <w:rStyle w:val="Heading21"/>
          <w:b/>
          <w:bCs/>
        </w:rPr>
        <w:t>JMU NEBYTOVÝCH PROSTOR</w:t>
      </w:r>
      <w:bookmarkEnd w:id="0"/>
    </w:p>
    <w:p w:rsidR="00841FFE" w:rsidRDefault="00391102">
      <w:pPr>
        <w:pStyle w:val="Bodytext20"/>
        <w:framePr w:w="9163" w:h="2693" w:hRule="exact" w:wrap="none" w:vAnchor="page" w:hAnchor="page" w:x="1336" w:y="3155"/>
        <w:shd w:val="clear" w:color="auto" w:fill="auto"/>
        <w:spacing w:before="0"/>
      </w:pPr>
      <w:r>
        <w:t>Hudební divadlo v Karl</w:t>
      </w:r>
      <w:r w:rsidR="00F12F52">
        <w:t>í</w:t>
      </w:r>
      <w:r>
        <w:t>ně p.o.</w:t>
      </w:r>
    </w:p>
    <w:p w:rsidR="00841FFE" w:rsidRDefault="00391102">
      <w:pPr>
        <w:pStyle w:val="Bodytext20"/>
        <w:framePr w:w="9163" w:h="2693" w:hRule="exact" w:wrap="none" w:vAnchor="page" w:hAnchor="page" w:x="1336" w:y="3155"/>
        <w:shd w:val="clear" w:color="auto" w:fill="auto"/>
        <w:spacing w:before="0"/>
      </w:pPr>
      <w:r>
        <w:t>se sídlem Křižíkova 10,186 00 Praha 8 - Karlín</w:t>
      </w:r>
    </w:p>
    <w:p w:rsidR="00841FFE" w:rsidRDefault="00391102">
      <w:pPr>
        <w:pStyle w:val="Bodytext20"/>
        <w:framePr w:w="9163" w:h="2693" w:hRule="exact" w:wrap="none" w:vAnchor="page" w:hAnchor="page" w:x="1336" w:y="3155"/>
        <w:shd w:val="clear" w:color="auto" w:fill="auto"/>
        <w:spacing w:before="0"/>
      </w:pPr>
      <w:r>
        <w:t>jednající panem Egonem Kulhánkem, ředitelem HDK</w:t>
      </w:r>
    </w:p>
    <w:p w:rsidR="00841FFE" w:rsidRDefault="00391102">
      <w:pPr>
        <w:pStyle w:val="Bodytext20"/>
        <w:framePr w:w="9163" w:h="2693" w:hRule="exact" w:wrap="none" w:vAnchor="page" w:hAnchor="page" w:x="1336" w:y="3155"/>
        <w:shd w:val="clear" w:color="auto" w:fill="auto"/>
        <w:spacing w:before="0"/>
      </w:pPr>
      <w:r>
        <w:t>IČ:</w:t>
      </w:r>
      <w:r w:rsidR="00F12F52">
        <w:t xml:space="preserve"> </w:t>
      </w:r>
      <w:r>
        <w:t>00064335, DIČ: CZ00064335</w:t>
      </w:r>
    </w:p>
    <w:p w:rsidR="00841FFE" w:rsidRDefault="00391102">
      <w:pPr>
        <w:pStyle w:val="Bodytext20"/>
        <w:framePr w:w="9163" w:h="2693" w:hRule="exact" w:wrap="none" w:vAnchor="page" w:hAnchor="page" w:x="1336" w:y="3155"/>
        <w:shd w:val="clear" w:color="auto" w:fill="auto"/>
        <w:spacing w:before="0" w:after="358"/>
      </w:pPr>
      <w:r>
        <w:t>bankovní spojení: KB, a.s., č.ú.: 431512190287/0100</w:t>
      </w:r>
    </w:p>
    <w:p w:rsidR="00841FFE" w:rsidRDefault="00391102">
      <w:pPr>
        <w:pStyle w:val="Bodytext20"/>
        <w:framePr w:w="9163" w:h="2693" w:hRule="exact" w:wrap="none" w:vAnchor="page" w:hAnchor="page" w:x="1336" w:y="3155"/>
        <w:shd w:val="clear" w:color="auto" w:fill="auto"/>
        <w:spacing w:before="0" w:after="320" w:line="246" w:lineRule="exact"/>
      </w:pPr>
      <w:r>
        <w:t>(dále jen „divadlo")</w:t>
      </w:r>
    </w:p>
    <w:p w:rsidR="00841FFE" w:rsidRDefault="00391102">
      <w:pPr>
        <w:pStyle w:val="Bodytext20"/>
        <w:framePr w:w="9163" w:h="2693" w:hRule="exact" w:wrap="none" w:vAnchor="page" w:hAnchor="page" w:x="1336" w:y="3155"/>
        <w:shd w:val="clear" w:color="auto" w:fill="auto"/>
        <w:spacing w:before="0" w:line="246" w:lineRule="exact"/>
      </w:pPr>
      <w:r>
        <w:t>a</w:t>
      </w:r>
    </w:p>
    <w:p w:rsidR="00841FFE" w:rsidRDefault="00391102">
      <w:pPr>
        <w:pStyle w:val="Bodytext20"/>
        <w:framePr w:w="9163" w:h="2396" w:hRule="exact" w:wrap="none" w:vAnchor="page" w:hAnchor="page" w:x="1336" w:y="6389"/>
        <w:shd w:val="clear" w:color="auto" w:fill="auto"/>
        <w:spacing w:before="0"/>
      </w:pPr>
      <w:r>
        <w:t>JVS Group s.r.o.</w:t>
      </w:r>
    </w:p>
    <w:p w:rsidR="00841FFE" w:rsidRPr="00F12F52" w:rsidRDefault="00391102">
      <w:pPr>
        <w:pStyle w:val="Bodytext30"/>
        <w:framePr w:w="9163" w:h="2396" w:hRule="exact" w:wrap="none" w:vAnchor="page" w:hAnchor="page" w:x="1336" w:y="6389"/>
        <w:shd w:val="clear" w:color="auto" w:fill="auto"/>
        <w:ind w:right="3720"/>
        <w:rPr>
          <w:rFonts w:asciiTheme="minorHAnsi" w:hAnsiTheme="minorHAnsi" w:cstheme="minorHAnsi"/>
          <w:sz w:val="24"/>
          <w:szCs w:val="24"/>
        </w:rPr>
      </w:pPr>
      <w:r w:rsidRPr="00F12F52">
        <w:rPr>
          <w:rFonts w:asciiTheme="minorHAnsi" w:hAnsiTheme="minorHAnsi" w:cstheme="minorHAnsi"/>
          <w:sz w:val="24"/>
          <w:szCs w:val="24"/>
        </w:rPr>
        <w:t>IČ: 25865005 DIČ: CZ25865005</w:t>
      </w:r>
    </w:p>
    <w:p w:rsidR="00841FFE" w:rsidRDefault="00391102">
      <w:pPr>
        <w:pStyle w:val="Bodytext20"/>
        <w:framePr w:w="9163" w:h="2396" w:hRule="exact" w:wrap="none" w:vAnchor="page" w:hAnchor="page" w:x="1336" w:y="6389"/>
        <w:shd w:val="clear" w:color="auto" w:fill="auto"/>
        <w:spacing w:before="0" w:after="358"/>
        <w:ind w:right="3720"/>
      </w:pPr>
      <w:r>
        <w:t>se sídlem Slavíkova 6142/18d, 708 00, Ostrava-Poruba zastoupena Viliamem Ďurišem na základě plné moci bankovní spojení: Česká Spořitelna, č.ú.: 8226012/0800</w:t>
      </w:r>
    </w:p>
    <w:p w:rsidR="00841FFE" w:rsidRDefault="00391102">
      <w:pPr>
        <w:pStyle w:val="Bodytext20"/>
        <w:framePr w:w="9163" w:h="2396" w:hRule="exact" w:wrap="none" w:vAnchor="page" w:hAnchor="page" w:x="1336" w:y="6389"/>
        <w:shd w:val="clear" w:color="auto" w:fill="auto"/>
        <w:spacing w:before="0" w:line="246" w:lineRule="exact"/>
      </w:pPr>
      <w:r>
        <w:t>(dále jen „společnost")</w:t>
      </w:r>
    </w:p>
    <w:p w:rsidR="00841FFE" w:rsidRDefault="00391102">
      <w:pPr>
        <w:pStyle w:val="Bodytext20"/>
        <w:framePr w:w="9163" w:h="5391" w:hRule="exact" w:wrap="none" w:vAnchor="page" w:hAnchor="page" w:x="1336" w:y="9331"/>
        <w:shd w:val="clear" w:color="auto" w:fill="auto"/>
        <w:spacing w:before="0" w:line="672" w:lineRule="exact"/>
        <w:ind w:right="3720"/>
      </w:pPr>
      <w:r>
        <w:t>uzavřená níže uvedeného dne, měsíce a roku tuto smlouvy o podnájmu nebytových prostor:</w:t>
      </w:r>
    </w:p>
    <w:p w:rsidR="00841FFE" w:rsidRDefault="00391102">
      <w:pPr>
        <w:pStyle w:val="Bodytext20"/>
        <w:framePr w:w="9163" w:h="5391" w:hRule="exact" w:wrap="none" w:vAnchor="page" w:hAnchor="page" w:x="1336" w:y="9331"/>
        <w:shd w:val="clear" w:color="auto" w:fill="auto"/>
        <w:spacing w:before="0" w:line="672" w:lineRule="exact"/>
      </w:pPr>
      <w:r>
        <w:t>Preambule</w:t>
      </w:r>
    </w:p>
    <w:p w:rsidR="00841FFE" w:rsidRDefault="00391102">
      <w:pPr>
        <w:pStyle w:val="Bodytext20"/>
        <w:framePr w:w="9163" w:h="5391" w:hRule="exact" w:wrap="none" w:vAnchor="page" w:hAnchor="page" w:x="1336" w:y="9331"/>
        <w:shd w:val="clear" w:color="auto" w:fill="auto"/>
        <w:spacing w:before="0" w:after="392" w:line="336" w:lineRule="exact"/>
        <w:jc w:val="both"/>
      </w:pPr>
      <w:r>
        <w:t>Divadlo je oprávněno přenechat společnosti nebytové prostory uvedené níže do užívání na základě "Nájemní smlouvy č. NAN/58//01/009617/2006" ze dne 9.10.2006 uzavřené mezi Hlavním městem Praha a Hudebním divadlem v Karlině, p.o.</w:t>
      </w:r>
    </w:p>
    <w:p w:rsidR="00841FFE" w:rsidRDefault="00391102">
      <w:pPr>
        <w:pStyle w:val="Bodytext20"/>
        <w:framePr w:w="9163" w:h="5391" w:hRule="exact" w:wrap="none" w:vAnchor="page" w:hAnchor="page" w:x="1336" w:y="9331"/>
        <w:shd w:val="clear" w:color="auto" w:fill="auto"/>
        <w:spacing w:before="0" w:after="80" w:line="246" w:lineRule="exact"/>
        <w:jc w:val="center"/>
      </w:pPr>
      <w:r>
        <w:t>ČI. I.</w:t>
      </w:r>
    </w:p>
    <w:p w:rsidR="00841FFE" w:rsidRDefault="00391102">
      <w:pPr>
        <w:pStyle w:val="Bodytext20"/>
        <w:framePr w:w="9163" w:h="5391" w:hRule="exact" w:wrap="none" w:vAnchor="page" w:hAnchor="page" w:x="1336" w:y="9331"/>
        <w:shd w:val="clear" w:color="auto" w:fill="auto"/>
        <w:spacing w:before="0" w:after="348" w:line="246" w:lineRule="exact"/>
        <w:jc w:val="center"/>
      </w:pPr>
      <w:r>
        <w:t>Předmět smlouvy</w:t>
      </w:r>
    </w:p>
    <w:p w:rsidR="00841FFE" w:rsidRDefault="00391102">
      <w:pPr>
        <w:pStyle w:val="Bodytext20"/>
        <w:framePr w:w="9163" w:h="5391" w:hRule="exact" w:wrap="none" w:vAnchor="page" w:hAnchor="page" w:x="1336" w:y="9331"/>
        <w:numPr>
          <w:ilvl w:val="0"/>
          <w:numId w:val="1"/>
        </w:numPr>
        <w:shd w:val="clear" w:color="auto" w:fill="auto"/>
        <w:tabs>
          <w:tab w:val="left" w:pos="710"/>
        </w:tabs>
        <w:spacing w:before="0" w:line="336" w:lineRule="exact"/>
        <w:jc w:val="both"/>
      </w:pPr>
      <w:r>
        <w:t xml:space="preserve">Divadlo touto podnájemní smlouvou přenechává společnosti do užívání nebytové prostory divadla za účelem uspořádání </w:t>
      </w:r>
      <w:r>
        <w:rPr>
          <w:rStyle w:val="Bodytext2Bold"/>
        </w:rPr>
        <w:t xml:space="preserve">Dita Von Teese/ Glamonatrix </w:t>
      </w:r>
      <w:r>
        <w:t>(dále jen „akce").</w:t>
      </w:r>
    </w:p>
    <w:p w:rsidR="00841FFE" w:rsidRDefault="00841FFE">
      <w:pPr>
        <w:rPr>
          <w:sz w:val="2"/>
          <w:szCs w:val="2"/>
        </w:rPr>
        <w:sectPr w:rsidR="00841FFE">
          <w:pgSz w:w="11900" w:h="16840"/>
          <w:pgMar w:top="360" w:right="360" w:bottom="360" w:left="360" w:header="0" w:footer="3" w:gutter="0"/>
          <w:cols w:space="720"/>
          <w:noEndnote/>
          <w:docGrid w:linePitch="360"/>
        </w:sectPr>
      </w:pPr>
    </w:p>
    <w:p w:rsidR="00841FFE" w:rsidRDefault="00391102">
      <w:pPr>
        <w:pStyle w:val="Bodytext20"/>
        <w:framePr w:w="9240" w:h="5789" w:hRule="exact" w:wrap="none" w:vAnchor="page" w:hAnchor="page" w:x="1298" w:y="1301"/>
        <w:numPr>
          <w:ilvl w:val="0"/>
          <w:numId w:val="1"/>
        </w:numPr>
        <w:shd w:val="clear" w:color="auto" w:fill="auto"/>
        <w:tabs>
          <w:tab w:val="left" w:pos="715"/>
        </w:tabs>
        <w:spacing w:before="0" w:after="340" w:line="336" w:lineRule="exact"/>
        <w:jc w:val="both"/>
      </w:pPr>
      <w:r>
        <w:lastRenderedPageBreak/>
        <w:t xml:space="preserve">Doba podnájmu se sjednává na období </w:t>
      </w:r>
      <w:r>
        <w:rPr>
          <w:rStyle w:val="Bodytext2Bold"/>
        </w:rPr>
        <w:t xml:space="preserve">od 7.dubna 2020 do 7.dubna 2020 </w:t>
      </w:r>
      <w:r>
        <w:t>Harmonogram akce a pronajaté prostory jsou přílohou smlouvy č. 1.</w:t>
      </w:r>
    </w:p>
    <w:p w:rsidR="00841FFE" w:rsidRDefault="00391102">
      <w:pPr>
        <w:pStyle w:val="Bodytext20"/>
        <w:framePr w:w="9240" w:h="5789" w:hRule="exact" w:wrap="none" w:vAnchor="page" w:hAnchor="page" w:x="1298" w:y="1301"/>
        <w:numPr>
          <w:ilvl w:val="0"/>
          <w:numId w:val="1"/>
        </w:numPr>
        <w:shd w:val="clear" w:color="auto" w:fill="auto"/>
        <w:tabs>
          <w:tab w:val="left" w:pos="715"/>
        </w:tabs>
        <w:spacing w:before="0" w:after="340" w:line="336" w:lineRule="exact"/>
        <w:jc w:val="both"/>
      </w:pPr>
      <w:r>
        <w:t>Prostory a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 pronájmu dle Čl. I odst. 2 této smlouvy. Bez podpisu předávacího protokolu oběma smluvními stranami nebude společnosti umožněn vstup do prostor divadla. Předávací protokol je přílohou smlouvy č. 2.</w:t>
      </w:r>
    </w:p>
    <w:p w:rsidR="00841FFE" w:rsidRDefault="00391102">
      <w:pPr>
        <w:pStyle w:val="Bodytext20"/>
        <w:framePr w:w="9240" w:h="5789" w:hRule="exact" w:wrap="none" w:vAnchor="page" w:hAnchor="page" w:x="1298" w:y="1301"/>
        <w:numPr>
          <w:ilvl w:val="0"/>
          <w:numId w:val="1"/>
        </w:numPr>
        <w:shd w:val="clear" w:color="auto" w:fill="auto"/>
        <w:tabs>
          <w:tab w:val="left" w:pos="715"/>
        </w:tabs>
        <w:spacing w:before="0" w:after="340" w:line="33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rsidR="00841FFE" w:rsidRDefault="00391102">
      <w:pPr>
        <w:pStyle w:val="Bodytext20"/>
        <w:framePr w:w="9240" w:h="5789" w:hRule="exact" w:wrap="none" w:vAnchor="page" w:hAnchor="page" w:x="1298" w:y="1301"/>
        <w:numPr>
          <w:ilvl w:val="0"/>
          <w:numId w:val="1"/>
        </w:numPr>
        <w:shd w:val="clear" w:color="auto" w:fill="auto"/>
        <w:tabs>
          <w:tab w:val="left" w:pos="715"/>
        </w:tabs>
        <w:spacing w:before="0" w:line="336"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rsidR="00841FFE" w:rsidRPr="009275BD" w:rsidRDefault="00391102">
      <w:pPr>
        <w:pStyle w:val="Bodytext40"/>
        <w:framePr w:w="9240" w:h="7406" w:hRule="exact" w:wrap="none" w:vAnchor="page" w:hAnchor="page" w:x="1298" w:y="7435"/>
        <w:shd w:val="clear" w:color="auto" w:fill="auto"/>
        <w:spacing w:before="0" w:after="93"/>
        <w:ind w:left="20"/>
        <w:rPr>
          <w:b w:val="0"/>
          <w:sz w:val="24"/>
          <w:szCs w:val="24"/>
        </w:rPr>
      </w:pPr>
      <w:r w:rsidRPr="009275BD">
        <w:rPr>
          <w:b w:val="0"/>
          <w:sz w:val="24"/>
          <w:szCs w:val="24"/>
        </w:rPr>
        <w:t>Čl. II.</w:t>
      </w:r>
    </w:p>
    <w:p w:rsidR="00841FFE" w:rsidRDefault="00391102">
      <w:pPr>
        <w:pStyle w:val="Bodytext20"/>
        <w:framePr w:w="9240" w:h="7406" w:hRule="exact" w:wrap="none" w:vAnchor="page" w:hAnchor="page" w:x="1298" w:y="7435"/>
        <w:shd w:val="clear" w:color="auto" w:fill="auto"/>
        <w:spacing w:before="0" w:after="348" w:line="246" w:lineRule="exact"/>
        <w:ind w:left="20"/>
        <w:jc w:val="center"/>
      </w:pPr>
      <w:r>
        <w:t>Práva a povinnosti smluvních stran</w:t>
      </w:r>
    </w:p>
    <w:p w:rsidR="00841FFE" w:rsidRDefault="00391102">
      <w:pPr>
        <w:pStyle w:val="Bodytext20"/>
        <w:framePr w:w="9240" w:h="7406" w:hRule="exact" w:wrap="none" w:vAnchor="page" w:hAnchor="page" w:x="1298" w:y="7435"/>
        <w:numPr>
          <w:ilvl w:val="0"/>
          <w:numId w:val="2"/>
        </w:numPr>
        <w:shd w:val="clear" w:color="auto" w:fill="auto"/>
        <w:tabs>
          <w:tab w:val="left" w:pos="715"/>
        </w:tabs>
        <w:spacing w:before="0" w:after="340" w:line="336" w:lineRule="exact"/>
        <w:jc w:val="both"/>
      </w:pPr>
      <w:r>
        <w:t xml:space="preserve">Společnost smí používat a obsluhovat technická zařízení a vybavení najímaných prostor pouze v souladu s pokyny nebo za účasti osoby pověřené divadlem. Za tímto účelem je tato osoba divadlem určena Jan Křehla - </w:t>
      </w:r>
      <w:r w:rsidR="00E906DD">
        <w:t>xxx</w:t>
      </w:r>
      <w:r>
        <w:t>. Společnost je povinna dodržovat bezpečnostní a požární předpisy spojené s provozem budovy, ve které jsou umístěny prostory (dále jen „budova"), a zařízení uvedených v čl II. s nimiž byla divadlem seznámena. Požární směrnice, Požární evakuační plán, BOZP + Požární řád + rizika a Prohlášení odpovědné osoby jsou přílohami smlouvy č. 3,4, 5, 6.</w:t>
      </w:r>
    </w:p>
    <w:p w:rsidR="00841FFE" w:rsidRDefault="00391102">
      <w:pPr>
        <w:pStyle w:val="Bodytext20"/>
        <w:framePr w:w="9240" w:h="7406" w:hRule="exact" w:wrap="none" w:vAnchor="page" w:hAnchor="page" w:x="1298" w:y="7435"/>
        <w:numPr>
          <w:ilvl w:val="0"/>
          <w:numId w:val="2"/>
        </w:numPr>
        <w:shd w:val="clear" w:color="auto" w:fill="auto"/>
        <w:tabs>
          <w:tab w:val="left" w:pos="715"/>
        </w:tabs>
        <w:spacing w:before="0" w:after="412" w:line="336" w:lineRule="exact"/>
        <w:jc w:val="both"/>
      </w:pPr>
      <w:r>
        <w:t xml:space="preserve">Společnost se zavazuje prostřednictvím svého zástupce zajistit řádnou, průběžnou a kvalifikovanou komunikaci mezi společností a pověřeným zaměstnancem divadla. Kvalifikovaným zástupcem společnosti je: </w:t>
      </w:r>
      <w:r>
        <w:rPr>
          <w:rStyle w:val="Bodytext2Bold"/>
        </w:rPr>
        <w:t>Milada Fišerová</w:t>
      </w:r>
      <w:r w:rsidR="00E906DD">
        <w:rPr>
          <w:rStyle w:val="Bodytext2Bold"/>
        </w:rPr>
        <w:t xml:space="preserve"> - xxx</w:t>
      </w:r>
    </w:p>
    <w:p w:rsidR="00841FFE" w:rsidRDefault="00391102">
      <w:pPr>
        <w:pStyle w:val="Bodytext20"/>
        <w:framePr w:w="9240" w:h="7406" w:hRule="exact" w:wrap="none" w:vAnchor="page" w:hAnchor="page" w:x="1298" w:y="7435"/>
        <w:numPr>
          <w:ilvl w:val="0"/>
          <w:numId w:val="2"/>
        </w:numPr>
        <w:shd w:val="clear" w:color="auto" w:fill="auto"/>
        <w:tabs>
          <w:tab w:val="left" w:pos="715"/>
        </w:tabs>
        <w:spacing w:before="0" w:after="348" w:line="246" w:lineRule="exact"/>
        <w:jc w:val="both"/>
      </w:pPr>
      <w:r>
        <w:t>Společnost není oprávněna dát prostory do užívání třetí osobě.</w:t>
      </w:r>
    </w:p>
    <w:p w:rsidR="00841FFE" w:rsidRDefault="00391102">
      <w:pPr>
        <w:pStyle w:val="Bodytext20"/>
        <w:framePr w:w="9240" w:h="7406" w:hRule="exact" w:wrap="none" w:vAnchor="page" w:hAnchor="page" w:x="1298" w:y="7435"/>
        <w:numPr>
          <w:ilvl w:val="0"/>
          <w:numId w:val="2"/>
        </w:numPr>
        <w:shd w:val="clear" w:color="auto" w:fill="auto"/>
        <w:tabs>
          <w:tab w:val="left" w:pos="715"/>
        </w:tabs>
        <w:spacing w:before="0" w:line="336"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rsidR="00841FFE" w:rsidRDefault="00841FFE">
      <w:pPr>
        <w:rPr>
          <w:sz w:val="2"/>
          <w:szCs w:val="2"/>
        </w:rPr>
        <w:sectPr w:rsidR="00841FFE">
          <w:pgSz w:w="11900" w:h="16840"/>
          <w:pgMar w:top="360" w:right="360" w:bottom="360" w:left="360" w:header="0" w:footer="3" w:gutter="0"/>
          <w:cols w:space="720"/>
          <w:noEndnote/>
          <w:docGrid w:linePitch="360"/>
        </w:sectPr>
      </w:pP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after="340" w:line="336" w:lineRule="exact"/>
        <w:jc w:val="both"/>
      </w:pPr>
      <w:r>
        <w:lastRenderedPageBreak/>
        <w:t>Divadlo neodpovídá za škodu na věcech, které byly společností, resp. třetími osobami v době trvání podnájmu dle této smlouvy do prostor či do budovy vneseny, ledaže takovou škodu způsobí divadlo.</w:t>
      </w: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after="340" w:line="336"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after="34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Společnost se zavazuje nahradit takovou škodu do 14 dní od jejího uplatnění. Na toto plnění společnosti vyhotoví divadlo příslušný daňový doklad.</w:t>
      </w: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after="340" w:line="33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after="340" w:line="33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after="340"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r w:rsidR="00E906DD">
        <w:t>xx</w:t>
      </w:r>
      <w:r>
        <w:t xml:space="preserve">,- Kč (slovy: </w:t>
      </w:r>
      <w:r w:rsidR="00E906DD">
        <w:t>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rsidR="00841FFE" w:rsidRDefault="00391102">
      <w:pPr>
        <w:pStyle w:val="Bodytext20"/>
        <w:framePr w:w="9221" w:h="13555" w:hRule="exact" w:wrap="none" w:vAnchor="page" w:hAnchor="page" w:x="1307" w:y="1301"/>
        <w:numPr>
          <w:ilvl w:val="0"/>
          <w:numId w:val="2"/>
        </w:numPr>
        <w:shd w:val="clear" w:color="auto" w:fill="auto"/>
        <w:tabs>
          <w:tab w:val="left" w:pos="708"/>
        </w:tabs>
        <w:spacing w:before="0" w:line="336" w:lineRule="exact"/>
        <w:jc w:val="both"/>
      </w:pPr>
      <w:r>
        <w:t>Společnost není oprávněna v prostoru umisťovat jakékoli objekty a zařízení, jež nebyly divadlem písemně nebo emailovou dohodou schváleny.</w:t>
      </w:r>
    </w:p>
    <w:p w:rsidR="00841FFE" w:rsidRDefault="00841FFE">
      <w:pPr>
        <w:rPr>
          <w:sz w:val="2"/>
          <w:szCs w:val="2"/>
        </w:rPr>
        <w:sectPr w:rsidR="00841FFE">
          <w:pgSz w:w="11900" w:h="16840"/>
          <w:pgMar w:top="360" w:right="360" w:bottom="360" w:left="360" w:header="0" w:footer="3" w:gutter="0"/>
          <w:cols w:space="720"/>
          <w:noEndnote/>
          <w:docGrid w:linePitch="360"/>
        </w:sectPr>
      </w:pPr>
    </w:p>
    <w:p w:rsidR="00841FFE" w:rsidRDefault="00391102">
      <w:pPr>
        <w:pStyle w:val="Heading30"/>
        <w:framePr w:w="9254" w:h="3085" w:hRule="exact" w:wrap="none" w:vAnchor="page" w:hAnchor="page" w:x="1290" w:y="1301"/>
        <w:numPr>
          <w:ilvl w:val="0"/>
          <w:numId w:val="2"/>
        </w:numPr>
        <w:shd w:val="clear" w:color="auto" w:fill="auto"/>
        <w:tabs>
          <w:tab w:val="left" w:pos="716"/>
        </w:tabs>
      </w:pPr>
      <w:bookmarkStart w:id="1" w:name="bookmark1"/>
      <w:r>
        <w:lastRenderedPageBreak/>
        <w:t>Společnost se zavazuje před akcí uzavřít příslušné pojištění proti způsobené škodě a o tomto sjednaném pojištění poskytnout divadlu patřičné potvrzení.</w:t>
      </w:r>
      <w:bookmarkEnd w:id="1"/>
    </w:p>
    <w:p w:rsidR="00841FFE" w:rsidRDefault="00391102">
      <w:pPr>
        <w:pStyle w:val="Heading30"/>
        <w:framePr w:w="9254" w:h="3085" w:hRule="exact" w:wrap="none" w:vAnchor="page" w:hAnchor="page" w:x="1290" w:y="1301"/>
        <w:numPr>
          <w:ilvl w:val="0"/>
          <w:numId w:val="2"/>
        </w:numPr>
        <w:shd w:val="clear" w:color="auto" w:fill="auto"/>
        <w:tabs>
          <w:tab w:val="left" w:pos="716"/>
        </w:tabs>
        <w:spacing w:after="344"/>
      </w:pPr>
      <w:bookmarkStart w:id="2" w:name="bookmark2"/>
      <w:r>
        <w:t>Společnost se zavazuje předat divadlu ke schválení odpovědným pracovníkem PO divadla kompletní seznam a časové použití uvažovaných pyrotechnických efektů při akci.</w:t>
      </w:r>
      <w:bookmarkEnd w:id="2"/>
    </w:p>
    <w:p w:rsidR="00841FFE" w:rsidRDefault="00391102">
      <w:pPr>
        <w:pStyle w:val="Bodytext20"/>
        <w:framePr w:w="9254" w:h="3085" w:hRule="exact" w:wrap="none" w:vAnchor="page" w:hAnchor="page" w:x="1290" w:y="1301"/>
        <w:numPr>
          <w:ilvl w:val="0"/>
          <w:numId w:val="2"/>
        </w:numPr>
        <w:shd w:val="clear" w:color="auto" w:fill="auto"/>
        <w:tabs>
          <w:tab w:val="left" w:pos="716"/>
        </w:tabs>
        <w:spacing w:before="0" w:line="331" w:lineRule="exact"/>
        <w:jc w:val="both"/>
      </w:pPr>
      <w:r>
        <w:t>Cateringové služby v Hudebním divadle v Karlině je oprávněna konat výhradně společnost „Astacus". Její služby si společnost v případě zájmu zajistí mimo tento smluvní vztah</w:t>
      </w:r>
    </w:p>
    <w:p w:rsidR="00841FFE" w:rsidRPr="009275BD" w:rsidRDefault="00391102">
      <w:pPr>
        <w:pStyle w:val="Heading30"/>
        <w:framePr w:w="9254" w:h="3019" w:hRule="exact" w:wrap="none" w:vAnchor="page" w:hAnchor="page" w:x="1290" w:y="4742"/>
        <w:shd w:val="clear" w:color="auto" w:fill="auto"/>
        <w:spacing w:after="80" w:line="246" w:lineRule="exact"/>
        <w:ind w:left="20"/>
        <w:jc w:val="center"/>
        <w:rPr>
          <w:b w:val="0"/>
        </w:rPr>
      </w:pPr>
      <w:bookmarkStart w:id="3" w:name="bookmark3"/>
      <w:r w:rsidRPr="009275BD">
        <w:rPr>
          <w:b w:val="0"/>
        </w:rPr>
        <w:t xml:space="preserve">ČI. </w:t>
      </w:r>
      <w:r w:rsidRPr="009275BD">
        <w:rPr>
          <w:b w:val="0"/>
          <w:lang w:val="en-US" w:eastAsia="en-US" w:bidi="en-US"/>
        </w:rPr>
        <w:t>III.</w:t>
      </w:r>
      <w:bookmarkEnd w:id="3"/>
    </w:p>
    <w:p w:rsidR="00841FFE" w:rsidRDefault="00391102">
      <w:pPr>
        <w:pStyle w:val="Bodytext20"/>
        <w:framePr w:w="9254" w:h="3019" w:hRule="exact" w:wrap="none" w:vAnchor="page" w:hAnchor="page" w:x="1290" w:y="4742"/>
        <w:shd w:val="clear" w:color="auto" w:fill="auto"/>
        <w:spacing w:before="0" w:after="348" w:line="246" w:lineRule="exact"/>
        <w:ind w:left="20"/>
        <w:jc w:val="center"/>
      </w:pPr>
      <w:r>
        <w:t>Podnájemné a jeho splatnost, vstupenky a jejich finanční vypořádání</w:t>
      </w:r>
    </w:p>
    <w:p w:rsidR="00841FFE" w:rsidRDefault="00391102">
      <w:pPr>
        <w:pStyle w:val="Bodytext20"/>
        <w:framePr w:w="9254" w:h="3019" w:hRule="exact" w:wrap="none" w:vAnchor="page" w:hAnchor="page" w:x="1290" w:y="4742"/>
        <w:numPr>
          <w:ilvl w:val="0"/>
          <w:numId w:val="3"/>
        </w:numPr>
        <w:shd w:val="clear" w:color="auto" w:fill="auto"/>
        <w:tabs>
          <w:tab w:val="left" w:pos="716"/>
        </w:tabs>
        <w:spacing w:before="0" w:line="336"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a audioaparatura, uvaděčky, šatnářky, proškolené technické pracovníky, produkční dozor, požární hlídky) podnájemné ve výši </w:t>
      </w:r>
      <w:r w:rsidR="00E906DD">
        <w:rPr>
          <w:rStyle w:val="Bodytext2Bold"/>
        </w:rPr>
        <w:t>xx</w:t>
      </w:r>
      <w:r>
        <w:rPr>
          <w:rStyle w:val="Bodytext2Bold"/>
        </w:rPr>
        <w:t xml:space="preserve">,- Kč </w:t>
      </w:r>
      <w:r>
        <w:t xml:space="preserve">+ </w:t>
      </w:r>
      <w:r>
        <w:rPr>
          <w:rStyle w:val="Bodytext2Bold"/>
        </w:rPr>
        <w:t xml:space="preserve">DPH (slovy: </w:t>
      </w:r>
      <w:r w:rsidR="00E906DD">
        <w:rPr>
          <w:rStyle w:val="Bodytext2Bold"/>
        </w:rPr>
        <w:t>xx</w:t>
      </w:r>
      <w:r>
        <w:rPr>
          <w:rStyle w:val="Bodytext2Bold"/>
        </w:rPr>
        <w:t xml:space="preserve"> korun českých + příslušná částka DPH). </w:t>
      </w:r>
      <w:r>
        <w:t>K částce za podnájem bude doúčtována DPH v aktuální platné výši.</w:t>
      </w:r>
    </w:p>
    <w:p w:rsidR="00841FFE" w:rsidRDefault="00391102">
      <w:pPr>
        <w:pStyle w:val="Bodytext20"/>
        <w:framePr w:w="9254" w:h="6450" w:hRule="exact" w:wrap="none" w:vAnchor="page" w:hAnchor="page" w:x="1290" w:y="8385"/>
        <w:numPr>
          <w:ilvl w:val="0"/>
          <w:numId w:val="3"/>
        </w:numPr>
        <w:shd w:val="clear" w:color="auto" w:fill="auto"/>
        <w:tabs>
          <w:tab w:val="left" w:pos="716"/>
        </w:tabs>
        <w:spacing w:before="0" w:after="340" w:line="336" w:lineRule="exact"/>
        <w:jc w:val="both"/>
      </w:pPr>
      <w:r>
        <w:t xml:space="preserve">Společnost je povinna zaplatit podnájemné uvedené v odst. 1. tohoto článku převodem na účet divadla uvedený v záhlaví smlouvy a to nejpozději tak, aby podnájemné bylo na účtu pronajímatele nejpozději 3 pracovní dny před zahájením akce. Platba proběhne na základě pro forma faktury vystavené divadlem nejpozději 14 dní před započetím akce. Po uskutečnění akce do 14 dní vystaví divadlo na částku příslušný daňový doklad. V případě, že společnost nezaplatí podnájemné uvedené v odst. 1. tohoto článku řádně a včas, má divadlo právo od této smlouvy odstoupit a společnost je povinna zaplatit divadlu smluvní pokutu ve výši </w:t>
      </w:r>
      <w:r w:rsidR="00E906DD">
        <w:t>xx</w:t>
      </w:r>
      <w:r>
        <w:t>,- Kč, která je splatná do 14. dní od odstoupení od této smlouvy. O tomto plnění bude vyhotoven daňový doklad.</w:t>
      </w:r>
    </w:p>
    <w:p w:rsidR="00841FFE" w:rsidRDefault="00391102">
      <w:pPr>
        <w:pStyle w:val="Bodytext20"/>
        <w:framePr w:w="9254" w:h="6450" w:hRule="exact" w:wrap="none" w:vAnchor="page" w:hAnchor="page" w:x="1290" w:y="8385"/>
        <w:numPr>
          <w:ilvl w:val="0"/>
          <w:numId w:val="3"/>
        </w:numPr>
        <w:shd w:val="clear" w:color="auto" w:fill="auto"/>
        <w:tabs>
          <w:tab w:val="left" w:pos="716"/>
        </w:tabs>
        <w:spacing w:before="0" w:after="340" w:line="336" w:lineRule="exact"/>
        <w:jc w:val="both"/>
      </w:pPr>
      <w:r>
        <w:t xml:space="preserve">Tržby vzniklé z prodeje vstupenek na pokladně divadla a v obchodním oddělení divadla jsou zatíženy servisním poplatkem ve výši </w:t>
      </w:r>
      <w:r w:rsidR="00E906DD">
        <w:t>xx</w:t>
      </w:r>
      <w:bookmarkStart w:id="4" w:name="_GoBack"/>
      <w:bookmarkEnd w:id="4"/>
      <w:r>
        <w:t>%, o který bude tržba společnosti snížena.</w:t>
      </w:r>
    </w:p>
    <w:p w:rsidR="00841FFE" w:rsidRDefault="00391102">
      <w:pPr>
        <w:pStyle w:val="Bodytext20"/>
        <w:framePr w:w="9254" w:h="6450" w:hRule="exact" w:wrap="none" w:vAnchor="page" w:hAnchor="page" w:x="1290" w:y="8385"/>
        <w:numPr>
          <w:ilvl w:val="0"/>
          <w:numId w:val="3"/>
        </w:numPr>
        <w:shd w:val="clear" w:color="auto" w:fill="auto"/>
        <w:tabs>
          <w:tab w:val="left" w:pos="716"/>
        </w:tabs>
        <w:spacing w:before="0" w:after="344" w:line="336" w:lineRule="exact"/>
        <w:jc w:val="both"/>
      </w:pPr>
      <w:r>
        <w:t>Tržby vzniklé prodejem vstupenek na prodejních místech společnosti si společnost ponechá jako svůj příjem.</w:t>
      </w:r>
    </w:p>
    <w:p w:rsidR="00841FFE" w:rsidRDefault="00391102">
      <w:pPr>
        <w:pStyle w:val="Bodytext20"/>
        <w:framePr w:w="9254" w:h="6450" w:hRule="exact" w:wrap="none" w:vAnchor="page" w:hAnchor="page" w:x="1290" w:y="8385"/>
        <w:numPr>
          <w:ilvl w:val="0"/>
          <w:numId w:val="3"/>
        </w:numPr>
        <w:shd w:val="clear" w:color="auto" w:fill="auto"/>
        <w:tabs>
          <w:tab w:val="left" w:pos="716"/>
        </w:tabs>
        <w:spacing w:before="0" w:line="331" w:lineRule="exact"/>
        <w:jc w:val="both"/>
      </w:pPr>
      <w:r>
        <w:t>Tržby vzniklé prodejem vstupenek na prodejních místech společnosti TicketArt, případně jiných prodejců a jejích partnerů jsou zatíženy servisním poplatkem a provizí prodejcům, které budou v plné výši přefakturovány společnosti.</w:t>
      </w:r>
    </w:p>
    <w:p w:rsidR="00841FFE" w:rsidRDefault="00841FFE">
      <w:pPr>
        <w:rPr>
          <w:sz w:val="2"/>
          <w:szCs w:val="2"/>
        </w:rPr>
        <w:sectPr w:rsidR="00841FFE">
          <w:pgSz w:w="11900" w:h="16840"/>
          <w:pgMar w:top="360" w:right="360" w:bottom="360" w:left="360" w:header="0" w:footer="3" w:gutter="0"/>
          <w:cols w:space="720"/>
          <w:noEndnote/>
          <w:docGrid w:linePitch="360"/>
        </w:sectPr>
      </w:pPr>
    </w:p>
    <w:p w:rsidR="00841FFE" w:rsidRDefault="00391102">
      <w:pPr>
        <w:pStyle w:val="Bodytext20"/>
        <w:framePr w:w="9235" w:h="1066" w:hRule="exact" w:wrap="none" w:vAnchor="page" w:hAnchor="page" w:x="1300" w:y="1339"/>
        <w:numPr>
          <w:ilvl w:val="0"/>
          <w:numId w:val="3"/>
        </w:numPr>
        <w:shd w:val="clear" w:color="auto" w:fill="auto"/>
        <w:tabs>
          <w:tab w:val="left" w:pos="719"/>
        </w:tabs>
        <w:spacing w:before="0" w:line="336" w:lineRule="exact"/>
        <w:jc w:val="both"/>
      </w:pPr>
      <w:r>
        <w:lastRenderedPageBreak/>
        <w:t>Vyúčtování tržeb provede divadlo směrem ke společnosti do 14 dnů od posledního dne konání akce, a to převodem na účet společnosti uvedený v záhlaví smlouvy a to do 5 dnů od vystavení vyúčtování.</w:t>
      </w:r>
    </w:p>
    <w:p w:rsidR="00841FFE" w:rsidRDefault="00391102">
      <w:pPr>
        <w:pStyle w:val="Bodytext20"/>
        <w:framePr w:w="9235" w:h="649" w:hRule="exact" w:wrap="none" w:vAnchor="page" w:hAnchor="page" w:x="1300" w:y="3091"/>
        <w:shd w:val="clear" w:color="auto" w:fill="auto"/>
        <w:spacing w:before="0" w:after="80" w:line="246" w:lineRule="exact"/>
        <w:jc w:val="center"/>
      </w:pPr>
      <w:r>
        <w:t>ČI. IV.</w:t>
      </w:r>
    </w:p>
    <w:p w:rsidR="00841FFE" w:rsidRDefault="00391102">
      <w:pPr>
        <w:pStyle w:val="Bodytext20"/>
        <w:framePr w:w="9235" w:h="649" w:hRule="exact" w:wrap="none" w:vAnchor="page" w:hAnchor="page" w:x="1300" w:y="3091"/>
        <w:shd w:val="clear" w:color="auto" w:fill="auto"/>
        <w:spacing w:before="0" w:line="246" w:lineRule="exact"/>
        <w:jc w:val="center"/>
      </w:pPr>
      <w:r>
        <w:t>Závěrečná ustanovení</w:t>
      </w:r>
    </w:p>
    <w:p w:rsidR="00841FFE" w:rsidRDefault="00391102">
      <w:pPr>
        <w:pStyle w:val="Bodytext20"/>
        <w:framePr w:w="9235" w:h="6141" w:hRule="exact" w:wrap="none" w:vAnchor="page" w:hAnchor="page" w:x="1300" w:y="4377"/>
        <w:numPr>
          <w:ilvl w:val="0"/>
          <w:numId w:val="4"/>
        </w:numPr>
        <w:shd w:val="clear" w:color="auto" w:fill="auto"/>
        <w:tabs>
          <w:tab w:val="left" w:pos="719"/>
        </w:tabs>
        <w:spacing w:before="0" w:after="340" w:line="336" w:lineRule="exact"/>
        <w:jc w:val="both"/>
      </w:pPr>
      <w:r>
        <w:t>Smlouva nabývá platnosti a účinnosti dnem podpisu oběma smluvními stranami a uzavírá se na dobu určitou stanovenou v čl. I. této smlouvy.</w:t>
      </w:r>
    </w:p>
    <w:p w:rsidR="00841FFE" w:rsidRDefault="00391102">
      <w:pPr>
        <w:pStyle w:val="Bodytext20"/>
        <w:framePr w:w="9235" w:h="6141" w:hRule="exact" w:wrap="none" w:vAnchor="page" w:hAnchor="page" w:x="1300" w:y="4377"/>
        <w:numPr>
          <w:ilvl w:val="0"/>
          <w:numId w:val="4"/>
        </w:numPr>
        <w:shd w:val="clear" w:color="auto" w:fill="auto"/>
        <w:tabs>
          <w:tab w:val="left" w:pos="719"/>
        </w:tabs>
        <w:spacing w:before="0" w:after="340" w:line="336" w:lineRule="exact"/>
        <w:jc w:val="both"/>
      </w:pPr>
      <w:r>
        <w:t>Práva a povinnosti z této smlouvy vyplývající a v této smlouvě neupravená se řídí českým právem.</w:t>
      </w:r>
    </w:p>
    <w:p w:rsidR="00841FFE" w:rsidRDefault="00391102">
      <w:pPr>
        <w:pStyle w:val="Bodytext20"/>
        <w:framePr w:w="9235" w:h="6141" w:hRule="exact" w:wrap="none" w:vAnchor="page" w:hAnchor="page" w:x="1300" w:y="4377"/>
        <w:numPr>
          <w:ilvl w:val="0"/>
          <w:numId w:val="4"/>
        </w:numPr>
        <w:shd w:val="clear" w:color="auto" w:fill="auto"/>
        <w:tabs>
          <w:tab w:val="left" w:pos="719"/>
        </w:tabs>
        <w:spacing w:before="0" w:after="340" w:line="336" w:lineRule="exact"/>
        <w:jc w:val="both"/>
      </w:pPr>
      <w:r>
        <w:t>Tato smlouva je vyhotovena ve dvou stejnopisech, z nichž jeden obdrží společnost a jeden obdrží divadlo.</w:t>
      </w:r>
    </w:p>
    <w:p w:rsidR="00841FFE" w:rsidRDefault="00391102">
      <w:pPr>
        <w:pStyle w:val="Bodytext20"/>
        <w:framePr w:w="9235" w:h="6141" w:hRule="exact" w:wrap="none" w:vAnchor="page" w:hAnchor="page" w:x="1300" w:y="4377"/>
        <w:numPr>
          <w:ilvl w:val="0"/>
          <w:numId w:val="4"/>
        </w:numPr>
        <w:shd w:val="clear" w:color="auto" w:fill="auto"/>
        <w:tabs>
          <w:tab w:val="left" w:pos="719"/>
        </w:tabs>
        <w:spacing w:before="0" w:after="340" w:line="336" w:lineRule="exact"/>
        <w:jc w:val="both"/>
      </w:pPr>
      <w:r>
        <w:t>Změny a doplňky této smlouvy je možné činit pouze po vzájemné dohodě smluvních stran, a to písemným a číslovaným dodatkem.</w:t>
      </w:r>
    </w:p>
    <w:p w:rsidR="00841FFE" w:rsidRDefault="00391102">
      <w:pPr>
        <w:pStyle w:val="Bodytext20"/>
        <w:framePr w:w="9235" w:h="6141" w:hRule="exact" w:wrap="none" w:vAnchor="page" w:hAnchor="page" w:x="1300" w:y="4377"/>
        <w:numPr>
          <w:ilvl w:val="0"/>
          <w:numId w:val="4"/>
        </w:numPr>
        <w:shd w:val="clear" w:color="auto" w:fill="auto"/>
        <w:tabs>
          <w:tab w:val="left" w:pos="719"/>
        </w:tabs>
        <w:spacing w:before="0" w:after="336" w:line="336" w:lineRule="exact"/>
        <w:jc w:val="both"/>
      </w:pPr>
      <w:r>
        <w:t>Smluvní strany po přečtení textu smlouvy prohlašují, že mu rozumějí, že smlouva je sepsána v souladu s jejich pravou a svobodnou vůli a cítí se jí vázáni. Na důkaz toho připojují své podpisy.</w:t>
      </w:r>
    </w:p>
    <w:p w:rsidR="00841FFE" w:rsidRDefault="00391102">
      <w:pPr>
        <w:pStyle w:val="Bodytext20"/>
        <w:framePr w:w="9235" w:h="6141" w:hRule="exact" w:wrap="none" w:vAnchor="page" w:hAnchor="page" w:x="1300" w:y="4377"/>
        <w:numPr>
          <w:ilvl w:val="0"/>
          <w:numId w:val="4"/>
        </w:numPr>
        <w:shd w:val="clear" w:color="auto" w:fill="auto"/>
        <w:tabs>
          <w:tab w:val="left" w:pos="719"/>
        </w:tabs>
        <w:spacing w:before="0" w:line="341" w:lineRule="exact"/>
        <w:jc w:val="both"/>
      </w:pPr>
      <w:r>
        <w:t>Podpisem této smlouvy společnost prohlašuje, že byla seznámena se zásadami BOZP v divadle a zavazuje se, stejně jako všichni účastníci podnájmu, tímto popisem je dodržovat.</w:t>
      </w:r>
    </w:p>
    <w:p w:rsidR="00841FFE" w:rsidRDefault="00391102">
      <w:pPr>
        <w:pStyle w:val="Picturecaption20"/>
        <w:framePr w:wrap="none" w:vAnchor="page" w:hAnchor="page" w:x="1300" w:y="11520"/>
        <w:shd w:val="clear" w:color="auto" w:fill="auto"/>
      </w:pPr>
      <w:r>
        <w:t>V Praze, dne</w:t>
      </w:r>
    </w:p>
    <w:p w:rsidR="009275BD" w:rsidRDefault="009275BD">
      <w:pPr>
        <w:pStyle w:val="Bodytext20"/>
        <w:framePr w:w="4157" w:h="1039" w:hRule="exact" w:wrap="none" w:vAnchor="page" w:hAnchor="page" w:x="1300" w:y="13617"/>
        <w:shd w:val="clear" w:color="auto" w:fill="auto"/>
        <w:spacing w:before="0" w:after="105" w:line="246" w:lineRule="exact"/>
      </w:pPr>
    </w:p>
    <w:p w:rsidR="009275BD" w:rsidRDefault="009275BD">
      <w:pPr>
        <w:pStyle w:val="Bodytext20"/>
        <w:framePr w:w="4157" w:h="1039" w:hRule="exact" w:wrap="none" w:vAnchor="page" w:hAnchor="page" w:x="1300" w:y="13617"/>
        <w:shd w:val="clear" w:color="auto" w:fill="auto"/>
        <w:spacing w:before="0" w:after="105" w:line="246" w:lineRule="exact"/>
      </w:pPr>
      <w:r>
        <w:t>Egon Kulhánek,</w:t>
      </w:r>
    </w:p>
    <w:p w:rsidR="00841FFE" w:rsidRDefault="00391102">
      <w:pPr>
        <w:pStyle w:val="Bodytext20"/>
        <w:framePr w:w="4157" w:h="1039" w:hRule="exact" w:wrap="none" w:vAnchor="page" w:hAnchor="page" w:x="1300" w:y="13617"/>
        <w:shd w:val="clear" w:color="auto" w:fill="auto"/>
        <w:spacing w:before="0" w:after="105" w:line="246" w:lineRule="exact"/>
      </w:pPr>
      <w:r>
        <w:t>Hudební divadlo</w:t>
      </w:r>
      <w:r w:rsidR="009275BD">
        <w:t xml:space="preserve"> v Karlíně, p.o.</w:t>
      </w:r>
    </w:p>
    <w:p w:rsidR="00841FFE" w:rsidRDefault="00391102">
      <w:pPr>
        <w:pStyle w:val="Heading10"/>
        <w:framePr w:wrap="none" w:vAnchor="page" w:hAnchor="page" w:x="1300" w:y="11499"/>
        <w:shd w:val="clear" w:color="auto" w:fill="auto"/>
        <w:spacing w:before="0"/>
        <w:ind w:left="5240"/>
      </w:pPr>
      <w:bookmarkStart w:id="5" w:name="bookmark4"/>
      <w:r>
        <w:t xml:space="preserve">V Praze, dne </w:t>
      </w:r>
      <w:r>
        <w:rPr>
          <w:rStyle w:val="Heading1SimplifiedArabic13ptBoldScaling60"/>
        </w:rPr>
        <w:t>2</w:t>
      </w:r>
      <w:r>
        <w:rPr>
          <w:rStyle w:val="Heading14pt"/>
        </w:rPr>
        <w:t xml:space="preserve"> </w:t>
      </w:r>
      <w:r>
        <w:rPr>
          <w:rStyle w:val="Heading1SimplifiedArabic13ptBoldScaling60"/>
        </w:rPr>
        <w:t>1</w:t>
      </w:r>
      <w:r>
        <w:rPr>
          <w:rStyle w:val="Heading14pt"/>
        </w:rPr>
        <w:t xml:space="preserve"> "</w:t>
      </w:r>
      <w:r>
        <w:rPr>
          <w:rStyle w:val="Heading1SimplifiedArabic13ptBoldScaling60"/>
        </w:rPr>
        <w:t>08</w:t>
      </w:r>
      <w:r>
        <w:rPr>
          <w:rStyle w:val="Heading14pt"/>
        </w:rPr>
        <w:t xml:space="preserve">- </w:t>
      </w:r>
      <w:r>
        <w:rPr>
          <w:rStyle w:val="Heading1SimplifiedArabic13ptBoldScaling60"/>
        </w:rPr>
        <w:t>2019</w:t>
      </w:r>
      <w:bookmarkEnd w:id="5"/>
    </w:p>
    <w:p w:rsidR="009275BD" w:rsidRDefault="009275BD" w:rsidP="009275BD">
      <w:pPr>
        <w:pStyle w:val="Bodytext20"/>
        <w:framePr w:w="3638" w:h="1201" w:hRule="exact" w:wrap="none" w:vAnchor="page" w:hAnchor="page" w:x="6398" w:y="13531"/>
        <w:shd w:val="clear" w:color="auto" w:fill="auto"/>
        <w:spacing w:before="0" w:after="60" w:line="246" w:lineRule="exact"/>
        <w:rPr>
          <w:lang w:val="en-US" w:eastAsia="en-US" w:bidi="en-US"/>
        </w:rPr>
      </w:pPr>
    </w:p>
    <w:p w:rsidR="009275BD" w:rsidRDefault="009275BD" w:rsidP="009275BD">
      <w:pPr>
        <w:pStyle w:val="Bodytext20"/>
        <w:framePr w:w="3638" w:h="1201" w:hRule="exact" w:wrap="none" w:vAnchor="page" w:hAnchor="page" w:x="6398" w:y="13531"/>
        <w:shd w:val="clear" w:color="auto" w:fill="auto"/>
        <w:spacing w:before="0" w:after="60" w:line="246" w:lineRule="exact"/>
        <w:rPr>
          <w:lang w:val="en-US" w:eastAsia="en-US" w:bidi="en-US"/>
        </w:rPr>
      </w:pPr>
      <w:r>
        <w:rPr>
          <w:lang w:val="en-US" w:eastAsia="en-US" w:bidi="en-US"/>
        </w:rPr>
        <w:t>Petr Suchánek, na zákl.pl.moci</w:t>
      </w:r>
    </w:p>
    <w:p w:rsidR="00841FFE" w:rsidRDefault="00391102" w:rsidP="009275BD">
      <w:pPr>
        <w:pStyle w:val="Bodytext20"/>
        <w:framePr w:w="3638" w:h="1201" w:hRule="exact" w:wrap="none" w:vAnchor="page" w:hAnchor="page" w:x="6398" w:y="13531"/>
        <w:shd w:val="clear" w:color="auto" w:fill="auto"/>
        <w:spacing w:before="0" w:after="60" w:line="246" w:lineRule="exact"/>
      </w:pPr>
      <w:r>
        <w:rPr>
          <w:lang w:val="en-US" w:eastAsia="en-US" w:bidi="en-US"/>
        </w:rPr>
        <w:t>Production Director</w:t>
      </w:r>
    </w:p>
    <w:p w:rsidR="00841FFE" w:rsidRDefault="00391102" w:rsidP="009275BD">
      <w:pPr>
        <w:pStyle w:val="Bodytext20"/>
        <w:framePr w:w="3638" w:h="1201" w:hRule="exact" w:wrap="none" w:vAnchor="page" w:hAnchor="page" w:x="6398" w:y="13531"/>
        <w:shd w:val="clear" w:color="auto" w:fill="auto"/>
        <w:spacing w:before="0" w:line="246" w:lineRule="exact"/>
      </w:pPr>
      <w:r w:rsidRPr="009275BD">
        <w:rPr>
          <w:rStyle w:val="Bodytext2Bold"/>
          <w:b w:val="0"/>
        </w:rPr>
        <w:t>JVS</w:t>
      </w:r>
      <w:r>
        <w:rPr>
          <w:rStyle w:val="Bodytext2Bold"/>
        </w:rPr>
        <w:t xml:space="preserve"> </w:t>
      </w:r>
      <w:r>
        <w:t xml:space="preserve">Group s.r.o. </w:t>
      </w:r>
    </w:p>
    <w:p w:rsidR="00841FFE" w:rsidRDefault="00841FFE">
      <w:pPr>
        <w:rPr>
          <w:sz w:val="2"/>
          <w:szCs w:val="2"/>
        </w:rPr>
      </w:pPr>
    </w:p>
    <w:sectPr w:rsidR="00841FF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974" w:rsidRDefault="00863974">
      <w:r>
        <w:separator/>
      </w:r>
    </w:p>
  </w:endnote>
  <w:endnote w:type="continuationSeparator" w:id="0">
    <w:p w:rsidR="00863974" w:rsidRDefault="0086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JasmineUPC">
    <w:altName w:val="Times New Roman"/>
    <w:panose1 w:val="00000000000000000000"/>
    <w:charset w:val="00"/>
    <w:family w:val="roman"/>
    <w:notTrueType/>
    <w:pitch w:val="default"/>
  </w:font>
  <w:font w:name="Simplified Arabic">
    <w:altName w:val="Times New Roman"/>
    <w:charset w:val="B2"/>
    <w:family w:val="roman"/>
    <w:pitch w:val="variable"/>
    <w:sig w:usb0="00002003" w:usb1="80000000" w:usb2="00000008" w:usb3="00000000" w:csb0="0000004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974" w:rsidRDefault="00863974"/>
  </w:footnote>
  <w:footnote w:type="continuationSeparator" w:id="0">
    <w:p w:rsidR="00863974" w:rsidRDefault="00863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A7163"/>
    <w:multiLevelType w:val="multilevel"/>
    <w:tmpl w:val="84C027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465B9E"/>
    <w:multiLevelType w:val="multilevel"/>
    <w:tmpl w:val="2E0E2F0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46462C"/>
    <w:multiLevelType w:val="multilevel"/>
    <w:tmpl w:val="A82AD0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DC12C0"/>
    <w:multiLevelType w:val="multilevel"/>
    <w:tmpl w:val="167A8C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41FFE"/>
    <w:rsid w:val="00391102"/>
    <w:rsid w:val="00841FFE"/>
    <w:rsid w:val="00863974"/>
    <w:rsid w:val="009275BD"/>
    <w:rsid w:val="00E906DD"/>
    <w:rsid w:val="00F12F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F429"/>
  <w15:docId w15:val="{AD0F2EE0-EF92-4AB1-89D7-A4A23FF0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
    <w:name w:val="Heading #2_"/>
    <w:basedOn w:val="Standardnpsmoodstavce"/>
    <w:link w:val="Heading20"/>
    <w:rPr>
      <w:rFonts w:ascii="Calibri" w:eastAsia="Calibri" w:hAnsi="Calibri" w:cs="Calibri"/>
      <w:b/>
      <w:bCs/>
      <w:i w:val="0"/>
      <w:iCs w:val="0"/>
      <w:smallCaps w:val="0"/>
      <w:strike w:val="0"/>
      <w:sz w:val="28"/>
      <w:szCs w:val="28"/>
      <w:u w:val="none"/>
    </w:rPr>
  </w:style>
  <w:style w:type="character" w:customStyle="1" w:styleId="Heading21">
    <w:name w:val="Heading #2"/>
    <w:basedOn w:val="Heading2"/>
    <w:rPr>
      <w:rFonts w:ascii="Calibri" w:eastAsia="Calibri" w:hAnsi="Calibri" w:cs="Calibri"/>
      <w:b/>
      <w:bCs/>
      <w:i w:val="0"/>
      <w:iCs w:val="0"/>
      <w:smallCaps w:val="0"/>
      <w:strike w:val="0"/>
      <w:color w:val="5499CC"/>
      <w:spacing w:val="0"/>
      <w:w w:val="100"/>
      <w:position w:val="0"/>
      <w:sz w:val="28"/>
      <w:szCs w:val="28"/>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u w:val="none"/>
    </w:rPr>
  </w:style>
  <w:style w:type="character" w:customStyle="1" w:styleId="Bodytext3">
    <w:name w:val="Body text (3)_"/>
    <w:basedOn w:val="Standardnpsmoodstavce"/>
    <w:link w:val="Bodytext3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17"/>
      <w:szCs w:val="17"/>
      <w:u w:val="none"/>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4"/>
      <w:szCs w:val="24"/>
      <w:u w:val="single"/>
      <w:lang w:val="en-US" w:eastAsia="en-US" w:bidi="en-US"/>
    </w:rPr>
  </w:style>
  <w:style w:type="character" w:customStyle="1" w:styleId="Heading3">
    <w:name w:val="Heading #3_"/>
    <w:basedOn w:val="Standardnpsmoodstavce"/>
    <w:link w:val="Heading30"/>
    <w:rPr>
      <w:rFonts w:ascii="Calibri" w:eastAsia="Calibri" w:hAnsi="Calibri" w:cs="Calibri"/>
      <w:b/>
      <w:bCs/>
      <w:i w:val="0"/>
      <w:iCs w:val="0"/>
      <w:smallCaps w:val="0"/>
      <w:strike w:val="0"/>
      <w:u w:val="none"/>
    </w:rPr>
  </w:style>
  <w:style w:type="character" w:customStyle="1" w:styleId="Picturecaption2">
    <w:name w:val="Picture caption (2)_"/>
    <w:basedOn w:val="Standardnpsmoodstavce"/>
    <w:link w:val="Picturecaption20"/>
    <w:rPr>
      <w:rFonts w:ascii="Calibri" w:eastAsia="Calibri" w:hAnsi="Calibri" w:cs="Calibri"/>
      <w:b w:val="0"/>
      <w:bCs w:val="0"/>
      <w:i w:val="0"/>
      <w:iCs w:val="0"/>
      <w:smallCaps w:val="0"/>
      <w:strike w:val="0"/>
      <w:u w:val="none"/>
    </w:rPr>
  </w:style>
  <w:style w:type="character" w:customStyle="1" w:styleId="Bodytext5">
    <w:name w:val="Body text (5)_"/>
    <w:basedOn w:val="Standardnpsmoodstavce"/>
    <w:link w:val="Bodytext50"/>
    <w:rPr>
      <w:rFonts w:ascii="JasmineUPC" w:eastAsia="JasmineUPC" w:hAnsi="JasmineUPC" w:cs="JasmineUPC"/>
      <w:b w:val="0"/>
      <w:bCs w:val="0"/>
      <w:i w:val="0"/>
      <w:iCs w:val="0"/>
      <w:smallCaps w:val="0"/>
      <w:strike w:val="0"/>
      <w:sz w:val="26"/>
      <w:szCs w:val="26"/>
      <w:u w:val="none"/>
    </w:rPr>
  </w:style>
  <w:style w:type="character" w:customStyle="1" w:styleId="Bodytext6">
    <w:name w:val="Body text (6)_"/>
    <w:basedOn w:val="Standardnpsmoodstavce"/>
    <w:link w:val="Bodytext60"/>
    <w:rPr>
      <w:rFonts w:ascii="Calibri" w:eastAsia="Calibri" w:hAnsi="Calibri" w:cs="Calibri"/>
      <w:b/>
      <w:bCs/>
      <w:i w:val="0"/>
      <w:iCs w:val="0"/>
      <w:smallCaps w:val="0"/>
      <w:strike w:val="0"/>
      <w:sz w:val="18"/>
      <w:szCs w:val="18"/>
      <w:u w:val="none"/>
    </w:rPr>
  </w:style>
  <w:style w:type="character" w:customStyle="1" w:styleId="Bodytext6MicrosoftSansSerif8ptNotBoldItalic">
    <w:name w:val="Body text (6) + Microsoft Sans Serif;8 pt;Not Bold;Italic"/>
    <w:basedOn w:val="Bodytext6"/>
    <w:rPr>
      <w:rFonts w:ascii="Microsoft Sans Serif" w:eastAsia="Microsoft Sans Serif" w:hAnsi="Microsoft Sans Serif" w:cs="Microsoft Sans Serif"/>
      <w:b/>
      <w:bCs/>
      <w:i/>
      <w:iCs/>
      <w:smallCaps w:val="0"/>
      <w:strike w:val="0"/>
      <w:color w:val="000000"/>
      <w:spacing w:val="0"/>
      <w:w w:val="100"/>
      <w:position w:val="0"/>
      <w:sz w:val="16"/>
      <w:szCs w:val="16"/>
      <w:u w:val="none"/>
      <w:lang w:val="cs-CZ" w:eastAsia="cs-CZ" w:bidi="cs-CZ"/>
    </w:rPr>
  </w:style>
  <w:style w:type="character" w:customStyle="1" w:styleId="Bodytext6SimplifiedArabicNotBold">
    <w:name w:val="Body text (6) + Simplified Arabic;Not Bold"/>
    <w:basedOn w:val="Bodytext6"/>
    <w:rPr>
      <w:rFonts w:ascii="Simplified Arabic" w:eastAsia="Simplified Arabic" w:hAnsi="Simplified Arabic" w:cs="Simplified Arabic"/>
      <w:b/>
      <w:bCs/>
      <w:i w:val="0"/>
      <w:iCs w:val="0"/>
      <w:smallCaps w:val="0"/>
      <w:strike w:val="0"/>
      <w:color w:val="000000"/>
      <w:spacing w:val="0"/>
      <w:w w:val="100"/>
      <w:position w:val="0"/>
      <w:sz w:val="18"/>
      <w:szCs w:val="18"/>
      <w:u w:val="none"/>
      <w:lang w:val="cs-CZ" w:eastAsia="cs-CZ" w:bidi="cs-CZ"/>
    </w:rPr>
  </w:style>
  <w:style w:type="character" w:customStyle="1" w:styleId="Bodytext6SmallCaps">
    <w:name w:val="Body text (6) + Small Caps"/>
    <w:basedOn w:val="Bodytext6"/>
    <w:rPr>
      <w:rFonts w:ascii="Calibri" w:eastAsia="Calibri" w:hAnsi="Calibri" w:cs="Calibri"/>
      <w:b/>
      <w:bCs/>
      <w:i w:val="0"/>
      <w:iCs w:val="0"/>
      <w:smallCaps/>
      <w:strike w:val="0"/>
      <w:color w:val="000000"/>
      <w:spacing w:val="0"/>
      <w:w w:val="100"/>
      <w:position w:val="0"/>
      <w:sz w:val="18"/>
      <w:szCs w:val="18"/>
      <w:u w:val="none"/>
      <w:lang w:val="cs-CZ" w:eastAsia="cs-CZ" w:bidi="cs-CZ"/>
    </w:rPr>
  </w:style>
  <w:style w:type="character" w:customStyle="1" w:styleId="Bodytext6JasmineUPC115ptNotBoldSmallCaps">
    <w:name w:val="Body text (6) + JasmineUPC;11.5 pt;Not Bold;Small Caps"/>
    <w:basedOn w:val="Bodytext6"/>
    <w:rPr>
      <w:rFonts w:ascii="JasmineUPC" w:eastAsia="JasmineUPC" w:hAnsi="JasmineUPC" w:cs="JasmineUPC"/>
      <w:b/>
      <w:bCs/>
      <w:i w:val="0"/>
      <w:iCs w:val="0"/>
      <w:smallCaps/>
      <w:strike w:val="0"/>
      <w:color w:val="000000"/>
      <w:spacing w:val="0"/>
      <w:w w:val="100"/>
      <w:position w:val="0"/>
      <w:sz w:val="23"/>
      <w:szCs w:val="23"/>
      <w:u w:val="none"/>
      <w:lang w:val="cs-CZ" w:eastAsia="cs-CZ" w:bidi="cs-CZ"/>
    </w:rPr>
  </w:style>
  <w:style w:type="character" w:customStyle="1" w:styleId="Bodytext7">
    <w:name w:val="Body text (7)_"/>
    <w:basedOn w:val="Standardnpsmoodstavce"/>
    <w:link w:val="Bodytext70"/>
    <w:rPr>
      <w:rFonts w:ascii="Cambria Math" w:eastAsia="Cambria Math" w:hAnsi="Cambria Math" w:cs="Cambria Math"/>
      <w:b w:val="0"/>
      <w:bCs w:val="0"/>
      <w:i w:val="0"/>
      <w:iCs w:val="0"/>
      <w:smallCaps w:val="0"/>
      <w:strike w:val="0"/>
      <w:sz w:val="17"/>
      <w:szCs w:val="17"/>
      <w:u w:val="none"/>
    </w:rPr>
  </w:style>
  <w:style w:type="character" w:customStyle="1" w:styleId="Bodytext7SimplifiedArabic">
    <w:name w:val="Body text (7) + Simplified Arabic"/>
    <w:basedOn w:val="Bodytext7"/>
    <w:rPr>
      <w:rFonts w:ascii="Simplified Arabic" w:eastAsia="Simplified Arabic" w:hAnsi="Simplified Arabic" w:cs="Simplified Arabic"/>
      <w:b w:val="0"/>
      <w:bCs w:val="0"/>
      <w:i w:val="0"/>
      <w:iCs w:val="0"/>
      <w:smallCaps w:val="0"/>
      <w:strike w:val="0"/>
      <w:color w:val="000000"/>
      <w:spacing w:val="0"/>
      <w:w w:val="100"/>
      <w:position w:val="0"/>
      <w:sz w:val="17"/>
      <w:szCs w:val="17"/>
      <w:u w:val="none"/>
      <w:lang w:val="cs-CZ" w:eastAsia="cs-CZ" w:bidi="cs-CZ"/>
    </w:rPr>
  </w:style>
  <w:style w:type="character" w:customStyle="1" w:styleId="Heading1">
    <w:name w:val="Heading #1_"/>
    <w:basedOn w:val="Standardnpsmoodstavce"/>
    <w:link w:val="Heading10"/>
    <w:rPr>
      <w:rFonts w:ascii="Calibri" w:eastAsia="Calibri" w:hAnsi="Calibri" w:cs="Calibri"/>
      <w:b w:val="0"/>
      <w:bCs w:val="0"/>
      <w:i w:val="0"/>
      <w:iCs w:val="0"/>
      <w:smallCaps w:val="0"/>
      <w:strike w:val="0"/>
      <w:u w:val="none"/>
    </w:rPr>
  </w:style>
  <w:style w:type="character" w:customStyle="1" w:styleId="Heading1SimplifiedArabic13ptBoldScaling60">
    <w:name w:val="Heading #1 + Simplified Arabic;13 pt;Bold;Scaling 60%"/>
    <w:basedOn w:val="Heading1"/>
    <w:rPr>
      <w:rFonts w:ascii="Simplified Arabic" w:eastAsia="Simplified Arabic" w:hAnsi="Simplified Arabic" w:cs="Simplified Arabic"/>
      <w:b/>
      <w:bCs/>
      <w:i w:val="0"/>
      <w:iCs w:val="0"/>
      <w:smallCaps w:val="0"/>
      <w:strike w:val="0"/>
      <w:color w:val="000000"/>
      <w:spacing w:val="0"/>
      <w:w w:val="60"/>
      <w:position w:val="0"/>
      <w:sz w:val="26"/>
      <w:szCs w:val="26"/>
      <w:u w:val="none"/>
      <w:lang w:val="cs-CZ" w:eastAsia="cs-CZ" w:bidi="cs-CZ"/>
    </w:rPr>
  </w:style>
  <w:style w:type="character" w:customStyle="1" w:styleId="Heading14pt">
    <w:name w:val="Heading #1 + 4 pt"/>
    <w:basedOn w:val="Heading1"/>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Picturecaption">
    <w:name w:val="Picture caption_"/>
    <w:basedOn w:val="Standardnpsmoodstavce"/>
    <w:link w:val="Picturecaption0"/>
    <w:rPr>
      <w:rFonts w:ascii="Cambria Math" w:eastAsia="Cambria Math" w:hAnsi="Cambria Math" w:cs="Cambria Math"/>
      <w:b w:val="0"/>
      <w:bCs w:val="0"/>
      <w:i w:val="0"/>
      <w:iCs w:val="0"/>
      <w:smallCaps w:val="0"/>
      <w:strike w:val="0"/>
      <w:sz w:val="16"/>
      <w:szCs w:val="16"/>
      <w:u w:val="none"/>
    </w:rPr>
  </w:style>
  <w:style w:type="paragraph" w:customStyle="1" w:styleId="Heading20">
    <w:name w:val="Heading #2"/>
    <w:basedOn w:val="Normln"/>
    <w:link w:val="Heading2"/>
    <w:pPr>
      <w:shd w:val="clear" w:color="auto" w:fill="FFFFFF"/>
      <w:spacing w:after="980" w:line="246" w:lineRule="exact"/>
      <w:outlineLvl w:val="1"/>
    </w:pPr>
    <w:rPr>
      <w:rFonts w:ascii="Calibri" w:eastAsia="Calibri" w:hAnsi="Calibri" w:cs="Calibri"/>
      <w:b/>
      <w:bCs/>
      <w:sz w:val="28"/>
      <w:szCs w:val="28"/>
    </w:rPr>
  </w:style>
  <w:style w:type="paragraph" w:customStyle="1" w:styleId="Bodytext20">
    <w:name w:val="Body text (2)"/>
    <w:basedOn w:val="Normln"/>
    <w:link w:val="Bodytext2"/>
    <w:pPr>
      <w:shd w:val="clear" w:color="auto" w:fill="FFFFFF"/>
      <w:spacing w:before="980" w:line="293" w:lineRule="exact"/>
    </w:pPr>
    <w:rPr>
      <w:rFonts w:ascii="Calibri" w:eastAsia="Calibri" w:hAnsi="Calibri" w:cs="Calibri"/>
    </w:rPr>
  </w:style>
  <w:style w:type="paragraph" w:customStyle="1" w:styleId="Bodytext30">
    <w:name w:val="Body text (3)"/>
    <w:basedOn w:val="Normln"/>
    <w:link w:val="Bodytext3"/>
    <w:pPr>
      <w:shd w:val="clear" w:color="auto" w:fill="FFFFFF"/>
      <w:spacing w:line="293" w:lineRule="exact"/>
    </w:pPr>
    <w:rPr>
      <w:rFonts w:ascii="Microsoft Sans Serif" w:eastAsia="Microsoft Sans Serif" w:hAnsi="Microsoft Sans Serif" w:cs="Microsoft Sans Serif"/>
      <w:sz w:val="18"/>
      <w:szCs w:val="18"/>
    </w:rPr>
  </w:style>
  <w:style w:type="paragraph" w:customStyle="1" w:styleId="Bodytext40">
    <w:name w:val="Body text (4)"/>
    <w:basedOn w:val="Normln"/>
    <w:link w:val="Bodytext4"/>
    <w:pPr>
      <w:shd w:val="clear" w:color="auto" w:fill="FFFFFF"/>
      <w:spacing w:before="340" w:after="120" w:line="212" w:lineRule="exact"/>
      <w:jc w:val="center"/>
    </w:pPr>
    <w:rPr>
      <w:rFonts w:ascii="Calibri" w:eastAsia="Calibri" w:hAnsi="Calibri" w:cs="Calibri"/>
      <w:b/>
      <w:bCs/>
      <w:sz w:val="17"/>
      <w:szCs w:val="17"/>
    </w:rPr>
  </w:style>
  <w:style w:type="paragraph" w:customStyle="1" w:styleId="Heading30">
    <w:name w:val="Heading #3"/>
    <w:basedOn w:val="Normln"/>
    <w:link w:val="Heading3"/>
    <w:pPr>
      <w:shd w:val="clear" w:color="auto" w:fill="FFFFFF"/>
      <w:spacing w:after="340" w:line="336" w:lineRule="exact"/>
      <w:jc w:val="both"/>
      <w:outlineLvl w:val="2"/>
    </w:pPr>
    <w:rPr>
      <w:rFonts w:ascii="Calibri" w:eastAsia="Calibri" w:hAnsi="Calibri" w:cs="Calibri"/>
      <w:b/>
      <w:bCs/>
    </w:rPr>
  </w:style>
  <w:style w:type="paragraph" w:customStyle="1" w:styleId="Picturecaption20">
    <w:name w:val="Picture caption (2)"/>
    <w:basedOn w:val="Normln"/>
    <w:link w:val="Picturecaption2"/>
    <w:pPr>
      <w:shd w:val="clear" w:color="auto" w:fill="FFFFFF"/>
      <w:spacing w:line="246" w:lineRule="exact"/>
    </w:pPr>
    <w:rPr>
      <w:rFonts w:ascii="Calibri" w:eastAsia="Calibri" w:hAnsi="Calibri" w:cs="Calibri"/>
    </w:rPr>
  </w:style>
  <w:style w:type="paragraph" w:customStyle="1" w:styleId="Bodytext50">
    <w:name w:val="Body text (5)"/>
    <w:basedOn w:val="Normln"/>
    <w:link w:val="Bodytext5"/>
    <w:pPr>
      <w:shd w:val="clear" w:color="auto" w:fill="FFFFFF"/>
      <w:spacing w:before="60" w:line="190" w:lineRule="exact"/>
    </w:pPr>
    <w:rPr>
      <w:rFonts w:ascii="JasmineUPC" w:eastAsia="JasmineUPC" w:hAnsi="JasmineUPC" w:cs="JasmineUPC"/>
      <w:sz w:val="26"/>
      <w:szCs w:val="26"/>
    </w:rPr>
  </w:style>
  <w:style w:type="paragraph" w:customStyle="1" w:styleId="Bodytext60">
    <w:name w:val="Body text (6)"/>
    <w:basedOn w:val="Normln"/>
    <w:link w:val="Bodytext6"/>
    <w:pPr>
      <w:shd w:val="clear" w:color="auto" w:fill="FFFFFF"/>
      <w:spacing w:line="178" w:lineRule="exact"/>
    </w:pPr>
    <w:rPr>
      <w:rFonts w:ascii="Calibri" w:eastAsia="Calibri" w:hAnsi="Calibri" w:cs="Calibri"/>
      <w:b/>
      <w:bCs/>
      <w:sz w:val="18"/>
      <w:szCs w:val="18"/>
    </w:rPr>
  </w:style>
  <w:style w:type="paragraph" w:customStyle="1" w:styleId="Bodytext70">
    <w:name w:val="Body text (7)"/>
    <w:basedOn w:val="Normln"/>
    <w:link w:val="Bodytext7"/>
    <w:pPr>
      <w:shd w:val="clear" w:color="auto" w:fill="FFFFFF"/>
      <w:spacing w:before="100" w:line="178" w:lineRule="exact"/>
      <w:jc w:val="both"/>
    </w:pPr>
    <w:rPr>
      <w:rFonts w:ascii="Cambria Math" w:eastAsia="Cambria Math" w:hAnsi="Cambria Math" w:cs="Cambria Math"/>
      <w:sz w:val="17"/>
      <w:szCs w:val="17"/>
    </w:rPr>
  </w:style>
  <w:style w:type="paragraph" w:customStyle="1" w:styleId="Heading10">
    <w:name w:val="Heading #1"/>
    <w:basedOn w:val="Normln"/>
    <w:link w:val="Heading1"/>
    <w:pPr>
      <w:shd w:val="clear" w:color="auto" w:fill="FFFFFF"/>
      <w:spacing w:before="1000" w:line="290" w:lineRule="exact"/>
      <w:outlineLvl w:val="0"/>
    </w:pPr>
    <w:rPr>
      <w:rFonts w:ascii="Calibri" w:eastAsia="Calibri" w:hAnsi="Calibri" w:cs="Calibri"/>
    </w:rPr>
  </w:style>
  <w:style w:type="paragraph" w:customStyle="1" w:styleId="Other0">
    <w:name w:val="Other"/>
    <w:basedOn w:val="Normln"/>
    <w:link w:val="Other"/>
    <w:pPr>
      <w:shd w:val="clear" w:color="auto" w:fill="FFFFFF"/>
    </w:pPr>
    <w:rPr>
      <w:sz w:val="20"/>
      <w:szCs w:val="20"/>
    </w:rPr>
  </w:style>
  <w:style w:type="paragraph" w:customStyle="1" w:styleId="Picturecaption0">
    <w:name w:val="Picture caption"/>
    <w:basedOn w:val="Normln"/>
    <w:link w:val="Picturecaption"/>
    <w:pPr>
      <w:shd w:val="clear" w:color="auto" w:fill="FFFFFF"/>
      <w:spacing w:line="211" w:lineRule="exact"/>
      <w:jc w:val="center"/>
    </w:pPr>
    <w:rPr>
      <w:rFonts w:ascii="Cambria Math" w:eastAsia="Cambria Math" w:hAnsi="Cambria Math" w:cs="Cambria Mat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1335</Words>
  <Characters>7880</Characters>
  <Application>Microsoft Office Word</Application>
  <DocSecurity>0</DocSecurity>
  <Lines>65</Lines>
  <Paragraphs>18</Paragraphs>
  <ScaleCrop>false</ScaleCrop>
  <Company>Hudební divadlo Karlín</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Markétka</cp:lastModifiedBy>
  <cp:revision>4</cp:revision>
  <dcterms:created xsi:type="dcterms:W3CDTF">2019-09-02T09:30:00Z</dcterms:created>
  <dcterms:modified xsi:type="dcterms:W3CDTF">2019-09-12T12:20:00Z</dcterms:modified>
</cp:coreProperties>
</file>