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6F1" w:rsidRDefault="00FC06F1">
      <w:pPr>
        <w:pStyle w:val="Bodytext30"/>
        <w:framePr w:wrap="none" w:vAnchor="page" w:hAnchor="page" w:x="534" w:y="517"/>
        <w:shd w:val="clear" w:color="auto" w:fill="auto"/>
      </w:pPr>
    </w:p>
    <w:p w:rsidR="00FC06F1" w:rsidRDefault="00F8580C">
      <w:pPr>
        <w:pStyle w:val="Heading20"/>
        <w:framePr w:w="8789" w:h="282" w:hRule="exact" w:wrap="none" w:vAnchor="page" w:hAnchor="page" w:x="1571" w:y="1546"/>
        <w:shd w:val="clear" w:color="auto" w:fill="auto"/>
        <w:spacing w:after="0"/>
        <w:ind w:right="20"/>
      </w:pPr>
      <w:bookmarkStart w:id="0" w:name="bookmark0"/>
      <w:r>
        <w:t>Smlouva o spolupořadatelství</w:t>
      </w:r>
      <w:bookmarkEnd w:id="0"/>
    </w:p>
    <w:p w:rsidR="00FC06F1" w:rsidRDefault="00F8580C">
      <w:pPr>
        <w:pStyle w:val="Bodytext20"/>
        <w:framePr w:w="8789" w:h="6734" w:hRule="exact" w:wrap="none" w:vAnchor="page" w:hAnchor="page" w:x="1571" w:y="2102"/>
        <w:shd w:val="clear" w:color="auto" w:fill="auto"/>
        <w:spacing w:before="0" w:after="273"/>
      </w:pPr>
      <w:r>
        <w:t>uzavřená mezi:</w:t>
      </w:r>
    </w:p>
    <w:p w:rsidR="00FC06F1" w:rsidRDefault="00F8580C">
      <w:pPr>
        <w:pStyle w:val="Heading20"/>
        <w:framePr w:w="8789" w:h="6734" w:hRule="exact" w:wrap="none" w:vAnchor="page" w:hAnchor="page" w:x="1571" w:y="2102"/>
        <w:shd w:val="clear" w:color="auto" w:fill="auto"/>
        <w:spacing w:after="0" w:line="283" w:lineRule="exact"/>
        <w:jc w:val="left"/>
      </w:pPr>
      <w:bookmarkStart w:id="1" w:name="bookmark1"/>
      <w:r>
        <w:t>Hudební divadlo v Karl</w:t>
      </w:r>
      <w:r w:rsidR="00E662F7">
        <w:t>í</w:t>
      </w:r>
      <w:r>
        <w:t>ně, p. o.</w:t>
      </w:r>
      <w:bookmarkEnd w:id="1"/>
    </w:p>
    <w:p w:rsidR="00FC06F1" w:rsidRDefault="00F8580C">
      <w:pPr>
        <w:pStyle w:val="Bodytext20"/>
        <w:framePr w:w="8789" w:h="6734" w:hRule="exact" w:wrap="none" w:vAnchor="page" w:hAnchor="page" w:x="1571" w:y="2102"/>
        <w:shd w:val="clear" w:color="auto" w:fill="auto"/>
        <w:spacing w:before="0" w:after="367" w:line="283" w:lineRule="exact"/>
        <w:ind w:right="520"/>
      </w:pPr>
      <w:r>
        <w:t xml:space="preserve">se sídlem Křižíkova 10, 186 00 Praha 8 - Karlín </w:t>
      </w:r>
      <w:r w:rsidR="00E662F7">
        <w:t xml:space="preserve">                                                                           </w:t>
      </w:r>
      <w:r>
        <w:t xml:space="preserve">Zastoupené: panem Egonem Kulhánkem, ředitelem HDK </w:t>
      </w:r>
      <w:r w:rsidR="00E662F7">
        <w:t xml:space="preserve">                                                                         </w:t>
      </w:r>
      <w:r>
        <w:t xml:space="preserve">IČ: 00064335, DIČ: CZ00064335 </w:t>
      </w:r>
      <w:r w:rsidR="00E662F7">
        <w:t xml:space="preserve">                                                                                                                  </w:t>
      </w:r>
      <w:r>
        <w:t>bankovní spojení: KB, a.s., č.ú.: 431512190287/0100</w:t>
      </w:r>
    </w:p>
    <w:p w:rsidR="00FC06F1" w:rsidRDefault="00F8580C">
      <w:pPr>
        <w:pStyle w:val="Heading20"/>
        <w:framePr w:w="8789" w:h="6734" w:hRule="exact" w:wrap="none" w:vAnchor="page" w:hAnchor="page" w:x="1571" w:y="2102"/>
        <w:shd w:val="clear" w:color="auto" w:fill="auto"/>
        <w:jc w:val="left"/>
      </w:pPr>
      <w:bookmarkStart w:id="2" w:name="bookmark2"/>
      <w:r>
        <w:t>(dále jen „divadlo")</w:t>
      </w:r>
      <w:bookmarkEnd w:id="2"/>
    </w:p>
    <w:p w:rsidR="00FC06F1" w:rsidRDefault="00F8580C">
      <w:pPr>
        <w:pStyle w:val="Bodytext20"/>
        <w:framePr w:w="8789" w:h="6734" w:hRule="exact" w:wrap="none" w:vAnchor="page" w:hAnchor="page" w:x="1571" w:y="2102"/>
        <w:shd w:val="clear" w:color="auto" w:fill="auto"/>
        <w:spacing w:before="0" w:after="277"/>
      </w:pPr>
      <w:r>
        <w:t>a</w:t>
      </w:r>
    </w:p>
    <w:p w:rsidR="00FC06F1" w:rsidRDefault="00F8580C">
      <w:pPr>
        <w:pStyle w:val="Heading20"/>
        <w:framePr w:w="8789" w:h="6734" w:hRule="exact" w:wrap="none" w:vAnchor="page" w:hAnchor="page" w:x="1571" w:y="2102"/>
        <w:shd w:val="clear" w:color="auto" w:fill="auto"/>
        <w:spacing w:after="0" w:line="278" w:lineRule="exact"/>
        <w:jc w:val="left"/>
      </w:pPr>
      <w:bookmarkStart w:id="3" w:name="bookmark3"/>
      <w:r>
        <w:t>OSA - Ochranný svaz autorský pro práva k dílům hudebním</w:t>
      </w:r>
      <w:r w:rsidR="00E662F7">
        <w:t>,</w:t>
      </w:r>
      <w:r>
        <w:t xml:space="preserve"> z. s.</w:t>
      </w:r>
      <w:bookmarkEnd w:id="3"/>
    </w:p>
    <w:p w:rsidR="00FC06F1" w:rsidRDefault="00F8580C">
      <w:pPr>
        <w:pStyle w:val="Bodytext20"/>
        <w:framePr w:w="8789" w:h="6734" w:hRule="exact" w:wrap="none" w:vAnchor="page" w:hAnchor="page" w:x="1571" w:y="2102"/>
        <w:shd w:val="clear" w:color="auto" w:fill="auto"/>
        <w:spacing w:before="0" w:after="0" w:line="278" w:lineRule="exact"/>
      </w:pPr>
      <w:r>
        <w:t>zapsán ve spolkovém rejstříku vedeném Městským soudem v Praze, oddíl L, vložka 7277</w:t>
      </w:r>
    </w:p>
    <w:p w:rsidR="00FC06F1" w:rsidRDefault="00F8580C">
      <w:pPr>
        <w:pStyle w:val="Bodytext20"/>
        <w:framePr w:w="8789" w:h="6734" w:hRule="exact" w:wrap="none" w:vAnchor="page" w:hAnchor="page" w:x="1571" w:y="2102"/>
        <w:shd w:val="clear" w:color="auto" w:fill="auto"/>
        <w:spacing w:before="0" w:after="0" w:line="278" w:lineRule="exact"/>
      </w:pPr>
      <w:r>
        <w:t>se sídlem v Praze 6, Čs. Armády 20</w:t>
      </w:r>
    </w:p>
    <w:p w:rsidR="00FC06F1" w:rsidRDefault="00F8580C">
      <w:pPr>
        <w:pStyle w:val="Bodytext20"/>
        <w:framePr w:w="8789" w:h="6734" w:hRule="exact" w:wrap="none" w:vAnchor="page" w:hAnchor="page" w:x="1571" w:y="2102"/>
        <w:shd w:val="clear" w:color="auto" w:fill="auto"/>
        <w:spacing w:before="0" w:after="0" w:line="278" w:lineRule="exact"/>
      </w:pPr>
      <w:r>
        <w:t>IČ:</w:t>
      </w:r>
      <w:r w:rsidR="00E662F7">
        <w:t xml:space="preserve"> </w:t>
      </w:r>
      <w:r>
        <w:t>63839997</w:t>
      </w:r>
    </w:p>
    <w:p w:rsidR="00FC06F1" w:rsidRDefault="00F8580C">
      <w:pPr>
        <w:pStyle w:val="Bodytext20"/>
        <w:framePr w:w="8789" w:h="6734" w:hRule="exact" w:wrap="none" w:vAnchor="page" w:hAnchor="page" w:x="1571" w:y="2102"/>
        <w:shd w:val="clear" w:color="auto" w:fill="auto"/>
        <w:spacing w:before="0" w:after="0" w:line="278" w:lineRule="exact"/>
      </w:pPr>
      <w:r>
        <w:t>DIČ: CZ63839997</w:t>
      </w:r>
    </w:p>
    <w:p w:rsidR="00FC06F1" w:rsidRDefault="00F8580C">
      <w:pPr>
        <w:pStyle w:val="Bodytext20"/>
        <w:framePr w:w="8789" w:h="6734" w:hRule="exact" w:wrap="none" w:vAnchor="page" w:hAnchor="page" w:x="1571" w:y="2102"/>
        <w:shd w:val="clear" w:color="auto" w:fill="auto"/>
        <w:spacing w:before="0" w:after="0" w:line="278" w:lineRule="exact"/>
      </w:pPr>
      <w:r>
        <w:t>Číslo účtu: 235061/0100</w:t>
      </w:r>
    </w:p>
    <w:p w:rsidR="00FC06F1" w:rsidRDefault="00F8580C">
      <w:pPr>
        <w:pStyle w:val="Bodytext20"/>
        <w:framePr w:w="8789" w:h="6734" w:hRule="exact" w:wrap="none" w:vAnchor="page" w:hAnchor="page" w:x="1571" w:y="2102"/>
        <w:shd w:val="clear" w:color="auto" w:fill="auto"/>
        <w:spacing w:before="0" w:after="364" w:line="278" w:lineRule="exact"/>
        <w:ind w:right="520"/>
      </w:pPr>
      <w:r>
        <w:t xml:space="preserve">zastoupen Ing. Romanem Strejčkem, předsedou představenstva </w:t>
      </w:r>
      <w:r w:rsidR="00E662F7">
        <w:t xml:space="preserve">                                                  </w:t>
      </w:r>
      <w:r>
        <w:t>a dalším členem představenstva</w:t>
      </w:r>
    </w:p>
    <w:p w:rsidR="00FC06F1" w:rsidRDefault="00F8580C">
      <w:pPr>
        <w:pStyle w:val="Heading20"/>
        <w:framePr w:w="8789" w:h="6734" w:hRule="exact" w:wrap="none" w:vAnchor="page" w:hAnchor="page" w:x="1571" w:y="2102"/>
        <w:shd w:val="clear" w:color="auto" w:fill="auto"/>
        <w:jc w:val="left"/>
      </w:pPr>
      <w:bookmarkStart w:id="4" w:name="bookmark4"/>
      <w:r>
        <w:t>(dále jen „společnost")</w:t>
      </w:r>
      <w:bookmarkEnd w:id="4"/>
    </w:p>
    <w:p w:rsidR="00FC06F1" w:rsidRDefault="00F8580C">
      <w:pPr>
        <w:pStyle w:val="Bodytext20"/>
        <w:framePr w:w="8789" w:h="6734" w:hRule="exact" w:wrap="none" w:vAnchor="page" w:hAnchor="page" w:x="1571" w:y="2102"/>
        <w:shd w:val="clear" w:color="auto" w:fill="auto"/>
        <w:spacing w:before="0" w:after="0"/>
      </w:pPr>
      <w:r>
        <w:t>za těchto smluvních podmínek:</w:t>
      </w:r>
    </w:p>
    <w:p w:rsidR="00FC06F1" w:rsidRPr="00E662F7" w:rsidRDefault="00F8580C">
      <w:pPr>
        <w:pStyle w:val="Heading10"/>
        <w:framePr w:w="8789" w:h="5323" w:hRule="exact" w:wrap="none" w:vAnchor="page" w:hAnchor="page" w:x="1571" w:y="9409"/>
        <w:shd w:val="clear" w:color="auto" w:fill="auto"/>
        <w:spacing w:before="0"/>
        <w:ind w:right="20"/>
        <w:rPr>
          <w:sz w:val="22"/>
          <w:szCs w:val="22"/>
        </w:rPr>
      </w:pPr>
      <w:bookmarkStart w:id="5" w:name="bookmark5"/>
      <w:r w:rsidRPr="00E662F7">
        <w:rPr>
          <w:sz w:val="22"/>
          <w:szCs w:val="22"/>
        </w:rPr>
        <w:t>I.</w:t>
      </w:r>
      <w:bookmarkEnd w:id="5"/>
    </w:p>
    <w:p w:rsidR="00FC06F1" w:rsidRDefault="00F8580C">
      <w:pPr>
        <w:pStyle w:val="Heading20"/>
        <w:framePr w:w="8789" w:h="5323" w:hRule="exact" w:wrap="none" w:vAnchor="page" w:hAnchor="page" w:x="1571" w:y="9409"/>
        <w:shd w:val="clear" w:color="auto" w:fill="auto"/>
        <w:spacing w:after="280"/>
        <w:ind w:right="20"/>
      </w:pPr>
      <w:bookmarkStart w:id="6" w:name="bookmark6"/>
      <w:r>
        <w:t>Předmět smlouvy</w:t>
      </w:r>
      <w:bookmarkEnd w:id="6"/>
    </w:p>
    <w:p w:rsidR="00FC06F1" w:rsidRDefault="00F8580C">
      <w:pPr>
        <w:pStyle w:val="Bodytext20"/>
        <w:framePr w:w="8789" w:h="5323" w:hRule="exact" w:wrap="none" w:vAnchor="page" w:hAnchor="page" w:x="1571" w:y="9409"/>
        <w:numPr>
          <w:ilvl w:val="0"/>
          <w:numId w:val="1"/>
        </w:numPr>
        <w:shd w:val="clear" w:color="auto" w:fill="auto"/>
        <w:tabs>
          <w:tab w:val="left" w:pos="696"/>
        </w:tabs>
        <w:spacing w:before="0" w:after="316" w:line="274" w:lineRule="exact"/>
        <w:jc w:val="both"/>
      </w:pPr>
      <w:r>
        <w:t>Účastníci této smlouvy prohlašují, že mají oboustranný zájem na spolupráci za účelem uspořádání zkoušek a Galakoncertu 100 let OSA spojeného s rautem ve dnech 7. - 9. října 2019 (dále jen „akce")</w:t>
      </w:r>
    </w:p>
    <w:p w:rsidR="00FC06F1" w:rsidRDefault="00F8580C">
      <w:pPr>
        <w:pStyle w:val="Bodytext20"/>
        <w:framePr w:w="8789" w:h="5323" w:hRule="exact" w:wrap="none" w:vAnchor="page" w:hAnchor="page" w:x="1571" w:y="9409"/>
        <w:numPr>
          <w:ilvl w:val="0"/>
          <w:numId w:val="1"/>
        </w:numPr>
        <w:shd w:val="clear" w:color="auto" w:fill="auto"/>
        <w:tabs>
          <w:tab w:val="left" w:pos="696"/>
        </w:tabs>
        <w:spacing w:before="0" w:after="0" w:line="278" w:lineRule="exact"/>
        <w:jc w:val="both"/>
      </w:pPr>
      <w:r>
        <w:t>Prostory a technická zařízení Hudebního divadla v Karlině uvedená v příloze č. 1 (dále jen „HDK") budou společnosti v řádném stavu předány dne 6/10/2019 v 23:00 hodin, a to na základě předávacího protokolu. Společnost se zavazuje prostory a technická zařízení převzít poté, co bude zástupcem divadla řádně seznámena s jejich obsluhou a dále uvedenými požárními a bezpečnostními pravidly. Společnost se touto smlouvou zavazuje užívané prostory vyklidit a předat zpět divadlu nejpozději dne 10/10/2019 do 01:00 hodin. 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rsidR="00FC06F1" w:rsidRDefault="00FC06F1">
      <w:pPr>
        <w:rPr>
          <w:sz w:val="2"/>
          <w:szCs w:val="2"/>
        </w:rPr>
        <w:sectPr w:rsidR="00FC06F1">
          <w:pgSz w:w="11900" w:h="16840"/>
          <w:pgMar w:top="360" w:right="360" w:bottom="360" w:left="360" w:header="0" w:footer="3" w:gutter="0"/>
          <w:cols w:space="720"/>
          <w:noEndnote/>
          <w:docGrid w:linePitch="360"/>
        </w:sectPr>
      </w:pPr>
    </w:p>
    <w:p w:rsidR="00FC06F1" w:rsidRDefault="00F8580C">
      <w:pPr>
        <w:pStyle w:val="Bodytext20"/>
        <w:framePr w:w="8832" w:h="4000" w:hRule="exact" w:wrap="none" w:vAnchor="page" w:hAnchor="page" w:x="1549" w:y="1156"/>
        <w:numPr>
          <w:ilvl w:val="0"/>
          <w:numId w:val="1"/>
        </w:numPr>
        <w:shd w:val="clear" w:color="auto" w:fill="auto"/>
        <w:tabs>
          <w:tab w:val="left" w:pos="682"/>
        </w:tabs>
        <w:spacing w:before="0" w:after="300" w:line="278" w:lineRule="exact"/>
        <w:jc w:val="both"/>
      </w:pPr>
      <w:r>
        <w:lastRenderedPageBreak/>
        <w:t>Společnost je oprávněna použít výše uvedené prostory pouze za účelem uvedeným v bodu 1 tohoto článku. Činnost společnosti bude spočívat především ve stavbě a instalaci dekorací, v realizaci zkoušek a koncertu, likvidaci nainstalovaných dekorací.</w:t>
      </w:r>
    </w:p>
    <w:p w:rsidR="00FC06F1" w:rsidRDefault="00F8580C">
      <w:pPr>
        <w:pStyle w:val="Bodytext20"/>
        <w:framePr w:w="8832" w:h="4000" w:hRule="exact" w:wrap="none" w:vAnchor="page" w:hAnchor="page" w:x="1549" w:y="1156"/>
        <w:numPr>
          <w:ilvl w:val="0"/>
          <w:numId w:val="1"/>
        </w:numPr>
        <w:shd w:val="clear" w:color="auto" w:fill="auto"/>
        <w:tabs>
          <w:tab w:val="left" w:pos="682"/>
        </w:tabs>
        <w:spacing w:before="0" w:after="300" w:line="278" w:lineRule="exact"/>
        <w:jc w:val="both"/>
      </w:pPr>
      <w:r>
        <w:t>Akci uspořádá na své náklady společnost,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rsidR="00FC06F1" w:rsidRDefault="00F8580C">
      <w:pPr>
        <w:pStyle w:val="Bodytext20"/>
        <w:framePr w:w="8832" w:h="4000" w:hRule="exact" w:wrap="none" w:vAnchor="page" w:hAnchor="page" w:x="1549" w:y="1156"/>
        <w:numPr>
          <w:ilvl w:val="0"/>
          <w:numId w:val="1"/>
        </w:numPr>
        <w:shd w:val="clear" w:color="auto" w:fill="auto"/>
        <w:tabs>
          <w:tab w:val="left" w:pos="682"/>
        </w:tabs>
        <w:spacing w:before="0" w:after="0" w:line="278" w:lineRule="exact"/>
        <w:jc w:val="both"/>
      </w:pPr>
      <w:r>
        <w:t>Společnost prohlašuje, že jsou jí známy technické podmínky a možností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zajisti' společnost na vlastní náklady, a to i organizačně.</w:t>
      </w:r>
    </w:p>
    <w:p w:rsidR="00FC06F1" w:rsidRPr="00E662F7" w:rsidRDefault="00F8580C">
      <w:pPr>
        <w:pStyle w:val="Heading220"/>
        <w:framePr w:w="8832" w:h="10067" w:hRule="exact" w:wrap="none" w:vAnchor="page" w:hAnchor="page" w:x="1549" w:y="5446"/>
        <w:shd w:val="clear" w:color="auto" w:fill="auto"/>
        <w:spacing w:before="0" w:after="53"/>
        <w:ind w:left="20"/>
        <w:rPr>
          <w:sz w:val="22"/>
          <w:szCs w:val="22"/>
        </w:rPr>
      </w:pPr>
      <w:bookmarkStart w:id="7" w:name="bookmark7"/>
      <w:r w:rsidRPr="00E662F7">
        <w:rPr>
          <w:sz w:val="22"/>
          <w:szCs w:val="22"/>
        </w:rPr>
        <w:t>II.</w:t>
      </w:r>
      <w:bookmarkEnd w:id="7"/>
    </w:p>
    <w:p w:rsidR="00FC06F1" w:rsidRDefault="00F8580C">
      <w:pPr>
        <w:pStyle w:val="Bodytext40"/>
        <w:framePr w:w="8832" w:h="10067" w:hRule="exact" w:wrap="none" w:vAnchor="page" w:hAnchor="page" w:x="1549" w:y="5446"/>
        <w:shd w:val="clear" w:color="auto" w:fill="auto"/>
        <w:spacing w:before="0" w:after="257"/>
        <w:ind w:left="20"/>
      </w:pPr>
      <w:r>
        <w:t>Práva a povinnosti smluvních stran</w:t>
      </w:r>
    </w:p>
    <w:p w:rsidR="00FC06F1" w:rsidRDefault="00F8580C">
      <w:pPr>
        <w:pStyle w:val="Bodytext20"/>
        <w:framePr w:w="8832" w:h="10067" w:hRule="exact" w:wrap="none" w:vAnchor="page" w:hAnchor="page" w:x="1549" w:y="5446"/>
        <w:numPr>
          <w:ilvl w:val="0"/>
          <w:numId w:val="2"/>
        </w:numPr>
        <w:shd w:val="clear" w:color="auto" w:fill="auto"/>
        <w:tabs>
          <w:tab w:val="left" w:pos="682"/>
        </w:tabs>
        <w:spacing w:before="0" w:after="300" w:line="278" w:lineRule="exact"/>
        <w:jc w:val="both"/>
      </w:pPr>
      <w:r>
        <w:t>Společnost smí používat a obsluhovat technická zařízení a vybavení užívaných prostor pouze v souladu s pokyny, nebo za účasti pověřeného pracovníka divadla. Za tímto účelem bude tento pracovník divadlem určen nejpozději dne 30/9/2019 a oznámen zástupci společnosti. Společnost je povinna dodržovat bezpečnostní a požární předpisy spojené s provozem divadelní budovy a vyhrazených zařízení, s nimiž byla divadlem seznámena.</w:t>
      </w:r>
    </w:p>
    <w:p w:rsidR="00FC06F1" w:rsidRDefault="00F8580C">
      <w:pPr>
        <w:pStyle w:val="Bodytext20"/>
        <w:framePr w:w="8832" w:h="10067" w:hRule="exact" w:wrap="none" w:vAnchor="page" w:hAnchor="page" w:x="1549" w:y="5446"/>
        <w:numPr>
          <w:ilvl w:val="0"/>
          <w:numId w:val="2"/>
        </w:numPr>
        <w:shd w:val="clear" w:color="auto" w:fill="auto"/>
        <w:tabs>
          <w:tab w:val="left" w:pos="682"/>
        </w:tabs>
        <w:spacing w:before="0" w:after="0" w:line="278" w:lineRule="exact"/>
        <w:jc w:val="both"/>
      </w:pPr>
      <w:r>
        <w:t>Společnost se zavazuje prostřednictvím svého kompetentního zástupce zajistit</w:t>
      </w:r>
    </w:p>
    <w:p w:rsidR="00FC06F1" w:rsidRDefault="00F8580C" w:rsidP="00CB474A">
      <w:pPr>
        <w:pStyle w:val="Bodytext20"/>
        <w:framePr w:w="8832" w:h="10067" w:hRule="exact" w:wrap="none" w:vAnchor="page" w:hAnchor="page" w:x="1549" w:y="5446"/>
        <w:shd w:val="clear" w:color="auto" w:fill="auto"/>
        <w:tabs>
          <w:tab w:val="left" w:pos="6658"/>
        </w:tabs>
        <w:spacing w:before="0" w:after="0" w:line="278" w:lineRule="exact"/>
      </w:pPr>
      <w:r>
        <w:t>řádnou, průběžnou a kvalifikovanou komunikaci mezi společností a odpovědným pracovníkem divadla. Odpovědným zástupcem společnosti je:</w:t>
      </w:r>
      <w:r w:rsidR="00CB474A">
        <w:t xml:space="preserve"> </w:t>
      </w:r>
      <w:r>
        <w:t>Kateřina Růžičková</w:t>
      </w:r>
      <w:r w:rsidR="00E471B5">
        <w:t xml:space="preserve"> xxx</w:t>
      </w:r>
    </w:p>
    <w:p w:rsidR="00CB474A" w:rsidRDefault="00CB474A" w:rsidP="00CB474A">
      <w:pPr>
        <w:pStyle w:val="Bodytext20"/>
        <w:framePr w:w="8832" w:h="10067" w:hRule="exact" w:wrap="none" w:vAnchor="page" w:hAnchor="page" w:x="1549" w:y="5446"/>
        <w:shd w:val="clear" w:color="auto" w:fill="auto"/>
        <w:tabs>
          <w:tab w:val="left" w:pos="6658"/>
        </w:tabs>
        <w:spacing w:before="0" w:after="0" w:line="278" w:lineRule="exact"/>
      </w:pPr>
    </w:p>
    <w:p w:rsidR="00FC06F1" w:rsidRDefault="00F8580C">
      <w:pPr>
        <w:pStyle w:val="Bodytext20"/>
        <w:framePr w:w="8832" w:h="10067" w:hRule="exact" w:wrap="none" w:vAnchor="page" w:hAnchor="page" w:x="1549" w:y="5446"/>
        <w:numPr>
          <w:ilvl w:val="0"/>
          <w:numId w:val="2"/>
        </w:numPr>
        <w:shd w:val="clear" w:color="auto" w:fill="auto"/>
        <w:tabs>
          <w:tab w:val="left" w:pos="682"/>
          <w:tab w:val="left" w:pos="1815"/>
          <w:tab w:val="left" w:pos="5281"/>
        </w:tabs>
        <w:spacing w:before="0" w:after="257"/>
        <w:jc w:val="both"/>
      </w:pPr>
      <w:r>
        <w:t>Společnost</w:t>
      </w:r>
      <w:r>
        <w:tab/>
        <w:t>není oprávněna dát prostory HDK do</w:t>
      </w:r>
      <w:r>
        <w:tab/>
        <w:t>podnájmu třetí osobě.</w:t>
      </w:r>
    </w:p>
    <w:p w:rsidR="00FC06F1" w:rsidRDefault="00F8580C">
      <w:pPr>
        <w:pStyle w:val="Bodytext20"/>
        <w:framePr w:w="8832" w:h="10067" w:hRule="exact" w:wrap="none" w:vAnchor="page" w:hAnchor="page" w:x="1549" w:y="5446"/>
        <w:numPr>
          <w:ilvl w:val="0"/>
          <w:numId w:val="2"/>
        </w:numPr>
        <w:shd w:val="clear" w:color="auto" w:fill="auto"/>
        <w:tabs>
          <w:tab w:val="left" w:pos="682"/>
          <w:tab w:val="left" w:pos="1825"/>
          <w:tab w:val="left" w:pos="5281"/>
          <w:tab w:val="right" w:pos="8538"/>
          <w:tab w:val="right" w:pos="8690"/>
        </w:tabs>
        <w:spacing w:before="0" w:after="0" w:line="278" w:lineRule="exact"/>
        <w:jc w:val="both"/>
      </w:pPr>
      <w:r>
        <w:t>Společnost</w:t>
      </w:r>
      <w:r>
        <w:tab/>
        <w:t>si je vědoma toho, že pokud vnese</w:t>
      </w:r>
      <w:r>
        <w:tab/>
        <w:t>do prostor divadla svá,</w:t>
      </w:r>
      <w:r>
        <w:tab/>
        <w:t>pronajatá,</w:t>
      </w:r>
      <w:r>
        <w:tab/>
        <w:t>či</w:t>
      </w:r>
    </w:p>
    <w:p w:rsidR="00FC06F1" w:rsidRDefault="00F8580C">
      <w:pPr>
        <w:pStyle w:val="Bodytext20"/>
        <w:framePr w:w="8832" w:h="10067" w:hRule="exact" w:wrap="none" w:vAnchor="page" w:hAnchor="page" w:x="1549" w:y="5446"/>
        <w:shd w:val="clear" w:color="auto" w:fill="auto"/>
        <w:spacing w:before="0" w:after="300" w:line="278" w:lineRule="exact"/>
        <w:jc w:val="both"/>
      </w:pPr>
      <w:r>
        <w:t>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FC06F1" w:rsidRDefault="00F8580C">
      <w:pPr>
        <w:pStyle w:val="Bodytext20"/>
        <w:framePr w:w="8832" w:h="10067" w:hRule="exact" w:wrap="none" w:vAnchor="page" w:hAnchor="page" w:x="1549" w:y="5446"/>
        <w:numPr>
          <w:ilvl w:val="0"/>
          <w:numId w:val="2"/>
        </w:numPr>
        <w:shd w:val="clear" w:color="auto" w:fill="auto"/>
        <w:tabs>
          <w:tab w:val="left" w:pos="682"/>
        </w:tabs>
        <w:spacing w:before="0" w:after="300" w:line="278" w:lineRule="exact"/>
        <w:jc w:val="both"/>
      </w:pPr>
      <w:r>
        <w:t>Společnost přebírá touto smlouvou plnou odpovědnost za bezpečnost jí nebo jejím dodavatelem instalovaných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rsidR="00FC06F1" w:rsidRDefault="00F8580C">
      <w:pPr>
        <w:pStyle w:val="Bodytext20"/>
        <w:framePr w:w="8832" w:h="10067" w:hRule="exact" w:wrap="none" w:vAnchor="page" w:hAnchor="page" w:x="1549" w:y="5446"/>
        <w:numPr>
          <w:ilvl w:val="0"/>
          <w:numId w:val="2"/>
        </w:numPr>
        <w:shd w:val="clear" w:color="auto" w:fill="auto"/>
        <w:tabs>
          <w:tab w:val="left" w:pos="682"/>
          <w:tab w:val="left" w:pos="1820"/>
          <w:tab w:val="left" w:pos="5290"/>
          <w:tab w:val="right" w:pos="8538"/>
          <w:tab w:val="right" w:pos="8690"/>
        </w:tabs>
        <w:spacing w:before="0" w:after="0" w:line="278" w:lineRule="exact"/>
        <w:jc w:val="both"/>
      </w:pPr>
      <w:r>
        <w:t>Společnost</w:t>
      </w:r>
      <w:r>
        <w:tab/>
        <w:t>se zavazuje učinit veškerá opatření</w:t>
      </w:r>
      <w:r>
        <w:tab/>
        <w:t>k tomu, aby nedošlo k</w:t>
      </w:r>
      <w:r>
        <w:tab/>
        <w:t>poškození</w:t>
      </w:r>
      <w:r>
        <w:tab/>
        <w:t>a</w:t>
      </w:r>
    </w:p>
    <w:p w:rsidR="00FC06F1" w:rsidRDefault="00F8580C">
      <w:pPr>
        <w:pStyle w:val="Bodytext20"/>
        <w:framePr w:w="8832" w:h="10067" w:hRule="exact" w:wrap="none" w:vAnchor="page" w:hAnchor="page" w:x="1549" w:y="5446"/>
        <w:shd w:val="clear" w:color="auto" w:fill="auto"/>
        <w:tabs>
          <w:tab w:val="left" w:pos="1812"/>
          <w:tab w:val="right" w:pos="8538"/>
        </w:tabs>
        <w:spacing w:before="0" w:after="0" w:line="278" w:lineRule="exact"/>
        <w:jc w:val="both"/>
      </w:pPr>
      <w:r>
        <w:t>ztrátě majetku a</w:t>
      </w:r>
      <w:r>
        <w:tab/>
        <w:t>zařízení divadla. Divadlo je povinno vznik škody oznámit</w:t>
      </w:r>
      <w:r>
        <w:tab/>
        <w:t>společnosti</w:t>
      </w:r>
    </w:p>
    <w:p w:rsidR="00FC06F1" w:rsidRDefault="00F8580C">
      <w:pPr>
        <w:pStyle w:val="Bodytext20"/>
        <w:framePr w:w="8832" w:h="10067" w:hRule="exact" w:wrap="none" w:vAnchor="page" w:hAnchor="page" w:x="1549" w:y="5446"/>
        <w:shd w:val="clear" w:color="auto" w:fill="auto"/>
        <w:spacing w:before="0" w:after="0" w:line="278" w:lineRule="exact"/>
        <w:jc w:val="both"/>
      </w:pPr>
      <w:r>
        <w:t>neprodleně po jejím zjištění a věc se společností projednat. Společnost se touto smlouvou zavazuje v případě poškození, či ztráty majetku a zařízení divadla, a to v jakémkoli prostoru objektu Hudebního divadla v Karlině vzniklých v souvislosti s činností společnosti dle článku I. této smlouvy, uhradit vzniklou škodu prokazatelně způsobenou samotnou společností, nebo dalšími s ní spolupracujícími a kooperujícími firmami a osobami a jejich dalšími subdodavateli a spolupracovníky, včetně hostů a účinkujících společnosti. Takovéto prokazatelně vzniklé</w:t>
      </w:r>
    </w:p>
    <w:p w:rsidR="00FC06F1" w:rsidRDefault="00FC06F1">
      <w:pPr>
        <w:rPr>
          <w:sz w:val="2"/>
          <w:szCs w:val="2"/>
        </w:rPr>
        <w:sectPr w:rsidR="00FC06F1">
          <w:pgSz w:w="11900" w:h="16840"/>
          <w:pgMar w:top="360" w:right="360" w:bottom="360" w:left="360" w:header="0" w:footer="3" w:gutter="0"/>
          <w:cols w:space="720"/>
          <w:noEndnote/>
          <w:docGrid w:linePitch="360"/>
        </w:sectPr>
      </w:pPr>
    </w:p>
    <w:p w:rsidR="00FC06F1" w:rsidRDefault="00F8580C">
      <w:pPr>
        <w:pStyle w:val="Bodytext20"/>
        <w:framePr w:w="8818" w:h="5406" w:hRule="exact" w:wrap="none" w:vAnchor="page" w:hAnchor="page" w:x="1556" w:y="1166"/>
        <w:shd w:val="clear" w:color="auto" w:fill="auto"/>
        <w:spacing w:before="0" w:after="280" w:line="278" w:lineRule="exact"/>
        <w:jc w:val="both"/>
      </w:pPr>
      <w:r>
        <w:lastRenderedPageBreak/>
        <w:t>škody budou společností divadlu uhrazeny v plném rozsahu do 14 dnů od jejich oznámení společnosti a vyčíslení těchto škod, a to na základě vystavené faktury divadlem.</w:t>
      </w:r>
    </w:p>
    <w:p w:rsidR="00FC06F1" w:rsidRDefault="00F8580C">
      <w:pPr>
        <w:pStyle w:val="Bodytext20"/>
        <w:framePr w:w="8818" w:h="5406" w:hRule="exact" w:wrap="none" w:vAnchor="page" w:hAnchor="page" w:x="1556" w:y="1166"/>
        <w:numPr>
          <w:ilvl w:val="0"/>
          <w:numId w:val="2"/>
        </w:numPr>
        <w:shd w:val="clear" w:color="auto" w:fill="auto"/>
        <w:tabs>
          <w:tab w:val="left" w:pos="689"/>
        </w:tabs>
        <w:spacing w:before="0" w:after="276" w:line="278" w:lineRule="exact"/>
        <w:jc w:val="both"/>
      </w:pPr>
      <w:r>
        <w:t>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v prostorách divadla je absolutní zákaz kouření a zavazuje se jej v plném rozsahu dodržovat. Vnášet jídlo a pití do prostor divadla je možné pouze na konkrétní místo k tomu divadlem určené.</w:t>
      </w:r>
    </w:p>
    <w:p w:rsidR="00FC06F1" w:rsidRDefault="00F8580C">
      <w:pPr>
        <w:pStyle w:val="Bodytext20"/>
        <w:framePr w:w="8818" w:h="5406" w:hRule="exact" w:wrap="none" w:vAnchor="page" w:hAnchor="page" w:x="1556" w:y="1166"/>
        <w:numPr>
          <w:ilvl w:val="0"/>
          <w:numId w:val="2"/>
        </w:numPr>
        <w:shd w:val="clear" w:color="auto" w:fill="auto"/>
        <w:tabs>
          <w:tab w:val="left" w:pos="689"/>
        </w:tabs>
        <w:spacing w:before="0" w:after="284" w:line="283" w:lineRule="exact"/>
        <w:jc w:val="both"/>
      </w:pPr>
      <w:r>
        <w:t>Cateringové služby v Hudebním divadle v Karlině je oprávněna konat výhradně společnost „ASTACUS s.r.o</w:t>
      </w:r>
      <w:r w:rsidR="0072096A">
        <w:t>.“.</w:t>
      </w:r>
      <w:r>
        <w:t xml:space="preserve"> Její služby si společnost v případě zájmu zajisti mimo tento smluvní vztah.</w:t>
      </w:r>
    </w:p>
    <w:p w:rsidR="00FC06F1" w:rsidRDefault="00F8580C">
      <w:pPr>
        <w:pStyle w:val="Bodytext20"/>
        <w:framePr w:w="8818" w:h="5406" w:hRule="exact" w:wrap="none" w:vAnchor="page" w:hAnchor="page" w:x="1556" w:y="1166"/>
        <w:numPr>
          <w:ilvl w:val="0"/>
          <w:numId w:val="2"/>
        </w:numPr>
        <w:shd w:val="clear" w:color="auto" w:fill="auto"/>
        <w:tabs>
          <w:tab w:val="left" w:pos="689"/>
        </w:tabs>
        <w:spacing w:before="0" w:after="0" w:line="278" w:lineRule="exact"/>
        <w:jc w:val="both"/>
      </w:pPr>
      <w:r>
        <w:t>Společnost dále zajistí na vlastní náklady a organizačně dostatečné množství osob (osob mimo personál divadla) pro manipulaci s předměty společností v prostoru divadla mimo velký divadelní sál, a to v době přípravy akce, v průběhu konání akce i po ukončení akce do doby plného vyklizení prostor divadla od předmětů společnosti. Divadlo těmto osobám umožní přístup do předmětných prostor HDK.</w:t>
      </w:r>
    </w:p>
    <w:p w:rsidR="00FC06F1" w:rsidRDefault="00F8580C">
      <w:pPr>
        <w:pStyle w:val="Bodytext20"/>
        <w:framePr w:w="8818" w:h="7908" w:hRule="exact" w:wrap="none" w:vAnchor="page" w:hAnchor="page" w:x="1556" w:y="7079"/>
        <w:numPr>
          <w:ilvl w:val="0"/>
          <w:numId w:val="2"/>
        </w:numPr>
        <w:shd w:val="clear" w:color="auto" w:fill="auto"/>
        <w:tabs>
          <w:tab w:val="left" w:pos="689"/>
        </w:tabs>
        <w:spacing w:before="0" w:after="276" w:line="278" w:lineRule="exact"/>
        <w:jc w:val="both"/>
      </w:pPr>
      <w:r>
        <w:t xml:space="preserve">Společností se touto smlouvou zakazuje vylepovat jakékoli materiály na venkovní a vnitřní zdi, sloupy a dveře divadla. V případě porušení zákazu a nereagování společností na výzvu divadla k jejich odstranění se strany smlouvy dohodly na smluvní pokutě pro společnost ve výši </w:t>
      </w:r>
      <w:r w:rsidR="00E471B5">
        <w:t>xx</w:t>
      </w:r>
      <w:r>
        <w:t>,- za každé jednotlivé prokazatelné porušení tohoto zákazu. Výše uvedenou smluvní pokutu uhradí společnost divadlu na základě vystavené faktury divadlem se splatností 14 dnů od jejího doručení společností, přičemž faktura bude vystavena do pěti pracovních dnů ode dne následujícího po dni doručení výzvy k odstranění vylepených materiálů. Strany této smlouvy se dohodly, že jako důkaz o porušení tohoto zákazu postačí fotografie z digitálního fotoaparátu, na které bude nafotografován nalepený materiál.</w:t>
      </w:r>
    </w:p>
    <w:p w:rsidR="00FC06F1" w:rsidRDefault="00F8580C">
      <w:pPr>
        <w:pStyle w:val="Bodytext20"/>
        <w:framePr w:w="8818" w:h="7908" w:hRule="exact" w:wrap="none" w:vAnchor="page" w:hAnchor="page" w:x="1556" w:y="7079"/>
        <w:numPr>
          <w:ilvl w:val="0"/>
          <w:numId w:val="2"/>
        </w:numPr>
        <w:shd w:val="clear" w:color="auto" w:fill="auto"/>
        <w:tabs>
          <w:tab w:val="left" w:pos="689"/>
        </w:tabs>
        <w:spacing w:before="0" w:after="337" w:line="283" w:lineRule="exact"/>
        <w:jc w:val="both"/>
      </w:pPr>
      <w:r>
        <w:t>Společností se touto smlouvou zakazuje v prostoru divadla umisťovat jakékoliv objekty a zařízení, jež nebyly divadlem písemně schváleny.</w:t>
      </w:r>
    </w:p>
    <w:p w:rsidR="00FC06F1" w:rsidRPr="0072096A" w:rsidRDefault="00F8580C">
      <w:pPr>
        <w:pStyle w:val="Heading230"/>
        <w:framePr w:w="8818" w:h="7908" w:hRule="exact" w:wrap="none" w:vAnchor="page" w:hAnchor="page" w:x="1556" w:y="7079"/>
        <w:shd w:val="clear" w:color="auto" w:fill="auto"/>
        <w:spacing w:before="0" w:after="50"/>
        <w:rPr>
          <w:sz w:val="22"/>
          <w:szCs w:val="22"/>
        </w:rPr>
      </w:pPr>
      <w:bookmarkStart w:id="8" w:name="bookmark8"/>
      <w:r w:rsidRPr="0072096A">
        <w:rPr>
          <w:sz w:val="22"/>
          <w:szCs w:val="22"/>
        </w:rPr>
        <w:t>III.</w:t>
      </w:r>
      <w:bookmarkEnd w:id="8"/>
    </w:p>
    <w:p w:rsidR="00FC06F1" w:rsidRDefault="00F8580C">
      <w:pPr>
        <w:pStyle w:val="Bodytext40"/>
        <w:framePr w:w="8818" w:h="7908" w:hRule="exact" w:wrap="none" w:vAnchor="page" w:hAnchor="page" w:x="1556" w:y="7079"/>
        <w:shd w:val="clear" w:color="auto" w:fill="auto"/>
        <w:spacing w:before="0" w:after="237"/>
      </w:pPr>
      <w:r>
        <w:t xml:space="preserve">Cenové </w:t>
      </w:r>
      <w:r>
        <w:rPr>
          <w:rStyle w:val="Bodytext4NotBold"/>
        </w:rPr>
        <w:t xml:space="preserve">a </w:t>
      </w:r>
      <w:r>
        <w:t>platební podmínky</w:t>
      </w:r>
    </w:p>
    <w:p w:rsidR="00FC06F1" w:rsidRDefault="00F8580C">
      <w:pPr>
        <w:pStyle w:val="Bodytext20"/>
        <w:framePr w:w="8818" w:h="7908" w:hRule="exact" w:wrap="none" w:vAnchor="page" w:hAnchor="page" w:x="1556" w:y="7079"/>
        <w:numPr>
          <w:ilvl w:val="0"/>
          <w:numId w:val="3"/>
        </w:numPr>
        <w:shd w:val="clear" w:color="auto" w:fill="auto"/>
        <w:tabs>
          <w:tab w:val="left" w:pos="689"/>
        </w:tabs>
        <w:spacing w:before="0" w:after="280" w:line="278" w:lineRule="exact"/>
        <w:jc w:val="both"/>
      </w:pPr>
      <w:r>
        <w:t xml:space="preserve">Smluvní strany se dohodly na spolupořadatelském podílu v celkové výši </w:t>
      </w:r>
      <w:r w:rsidR="00E471B5">
        <w:t>xx</w:t>
      </w:r>
      <w:r>
        <w:t xml:space="preserve">,- Kč [slovy: </w:t>
      </w:r>
      <w:r w:rsidR="00E471B5">
        <w:t>xx</w:t>
      </w:r>
      <w:r>
        <w:t xml:space="preserve"> korun českých] + DPH za užívání služeb, prostor a technických zařízení v rozsahu dle této smlouvy a za využití služeb s akcí spojených (vodné, stočné, elektrická energie, klimatizace, otop, personál atd.) za den konání zkoušek/představení.</w:t>
      </w:r>
    </w:p>
    <w:p w:rsidR="00FC06F1" w:rsidRDefault="00F8580C">
      <w:pPr>
        <w:pStyle w:val="Bodytext20"/>
        <w:framePr w:w="8818" w:h="7908" w:hRule="exact" w:wrap="none" w:vAnchor="page" w:hAnchor="page" w:x="1556" w:y="7079"/>
        <w:numPr>
          <w:ilvl w:val="0"/>
          <w:numId w:val="3"/>
        </w:numPr>
        <w:shd w:val="clear" w:color="auto" w:fill="auto"/>
        <w:tabs>
          <w:tab w:val="left" w:pos="689"/>
        </w:tabs>
        <w:spacing w:before="0" w:after="272" w:line="278" w:lineRule="exact"/>
        <w:jc w:val="both"/>
      </w:pPr>
      <w:r>
        <w:t xml:space="preserve">Divadlo vystaví po akci fakturu - daňový doklad na spolupořadatelský podíl ve výši </w:t>
      </w:r>
      <w:r w:rsidR="00E471B5">
        <w:t>xx</w:t>
      </w:r>
      <w:bookmarkStart w:id="9" w:name="_GoBack"/>
      <w:bookmarkEnd w:id="9"/>
      <w:r>
        <w:t>,- Kč + DPH. Faktura musí splňovat veškeré náležitostí dle platných právních předpisů. Fakturovanou částku uhradí společnost bezhotovostním převodem na bankovní účet uvedený v záhlaví této smlouvy a to do 15 dnů od jejího doručení společností.</w:t>
      </w:r>
    </w:p>
    <w:p w:rsidR="00FC06F1" w:rsidRDefault="00F8580C">
      <w:pPr>
        <w:pStyle w:val="Bodytext20"/>
        <w:framePr w:w="8818" w:h="7908" w:hRule="exact" w:wrap="none" w:vAnchor="page" w:hAnchor="page" w:x="1556" w:y="7079"/>
        <w:numPr>
          <w:ilvl w:val="0"/>
          <w:numId w:val="3"/>
        </w:numPr>
        <w:shd w:val="clear" w:color="auto" w:fill="auto"/>
        <w:tabs>
          <w:tab w:val="left" w:pos="689"/>
        </w:tabs>
        <w:spacing w:before="0" w:after="0" w:line="288" w:lineRule="exact"/>
        <w:jc w:val="both"/>
      </w:pPr>
      <w:r>
        <w:t>Vstupenky na akci se neprodávají, divadlu, ani dalším partnerům nenáleží provize z prodeje vstupného.</w:t>
      </w:r>
    </w:p>
    <w:p w:rsidR="00FC06F1" w:rsidRDefault="00FC06F1">
      <w:pPr>
        <w:rPr>
          <w:sz w:val="2"/>
          <w:szCs w:val="2"/>
        </w:rPr>
        <w:sectPr w:rsidR="00FC06F1">
          <w:pgSz w:w="11900" w:h="16840"/>
          <w:pgMar w:top="360" w:right="360" w:bottom="360" w:left="360" w:header="0" w:footer="3" w:gutter="0"/>
          <w:cols w:space="720"/>
          <w:noEndnote/>
          <w:docGrid w:linePitch="360"/>
        </w:sectPr>
      </w:pPr>
    </w:p>
    <w:p w:rsidR="00FC06F1" w:rsidRDefault="00F8580C">
      <w:pPr>
        <w:pStyle w:val="Bodytext40"/>
        <w:framePr w:w="8798" w:h="560" w:hRule="exact" w:wrap="none" w:vAnchor="page" w:hAnchor="page" w:x="1566" w:y="1205"/>
        <w:shd w:val="clear" w:color="auto" w:fill="auto"/>
        <w:spacing w:before="0" w:after="0"/>
      </w:pPr>
      <w:r>
        <w:lastRenderedPageBreak/>
        <w:t>IV.</w:t>
      </w:r>
    </w:p>
    <w:p w:rsidR="00FC06F1" w:rsidRDefault="00F8580C">
      <w:pPr>
        <w:pStyle w:val="Bodytext40"/>
        <w:framePr w:w="8798" w:h="560" w:hRule="exact" w:wrap="none" w:vAnchor="page" w:hAnchor="page" w:x="1566" w:y="1205"/>
        <w:shd w:val="clear" w:color="auto" w:fill="auto"/>
        <w:spacing w:before="0" w:after="0"/>
      </w:pPr>
      <w:r>
        <w:t>Zvláštní ustanovení</w:t>
      </w:r>
    </w:p>
    <w:p w:rsidR="00FC06F1" w:rsidRDefault="00F8580C">
      <w:pPr>
        <w:pStyle w:val="Bodytext20"/>
        <w:framePr w:w="8798" w:h="2315" w:hRule="exact" w:wrap="none" w:vAnchor="page" w:hAnchor="page" w:x="1566" w:y="2005"/>
        <w:numPr>
          <w:ilvl w:val="0"/>
          <w:numId w:val="4"/>
        </w:numPr>
        <w:shd w:val="clear" w:color="auto" w:fill="auto"/>
        <w:tabs>
          <w:tab w:val="left" w:pos="685"/>
        </w:tabs>
        <w:spacing w:before="0" w:after="300" w:line="278" w:lineRule="exact"/>
        <w:jc w:val="both"/>
      </w:pPr>
      <w:r>
        <w:t>Smluvní strany se dohodly, že divadlo, jakožto spolupořadatel, bude propagovat akci a to v rámci svých běžných propagačních aktivit ve smyslu umístění vizuálu akce do LED obrazovek před a v budově divadla v termínu 9/10/2019. Na vizuálu venkovní LED obrazovky musí být umístěn pruh s logem divadla dle specifikace, která je přílohou č. 7 smlouvy</w:t>
      </w:r>
    </w:p>
    <w:p w:rsidR="00FC06F1" w:rsidRDefault="00F8580C">
      <w:pPr>
        <w:pStyle w:val="Bodytext20"/>
        <w:framePr w:w="8798" w:h="2315" w:hRule="exact" w:wrap="none" w:vAnchor="page" w:hAnchor="page" w:x="1566" w:y="2005"/>
        <w:numPr>
          <w:ilvl w:val="0"/>
          <w:numId w:val="4"/>
        </w:numPr>
        <w:shd w:val="clear" w:color="auto" w:fill="auto"/>
        <w:tabs>
          <w:tab w:val="left" w:pos="685"/>
        </w:tabs>
        <w:spacing w:before="0" w:after="0" w:line="278" w:lineRule="exact"/>
        <w:jc w:val="both"/>
      </w:pPr>
      <w:r>
        <w:t>Dále se smluvní strany dohodly, že pokud tato propagace resp. reklama bude probíhat nad rámec služby dle bodu 1 tohoto odstavce, vystaví divadlo na tuto službu fakturu, a to na základě skutečně realizovaných nákladů dle zvláštní smlouvy o reklamě.</w:t>
      </w:r>
    </w:p>
    <w:p w:rsidR="00FC06F1" w:rsidRDefault="00F8580C">
      <w:pPr>
        <w:pStyle w:val="Bodytext40"/>
        <w:framePr w:w="8798" w:h="4790" w:hRule="exact" w:wrap="none" w:vAnchor="page" w:hAnchor="page" w:x="1566" w:y="4579"/>
        <w:shd w:val="clear" w:color="auto" w:fill="auto"/>
        <w:spacing w:before="0" w:after="0"/>
      </w:pPr>
      <w:r>
        <w:t>V.</w:t>
      </w:r>
    </w:p>
    <w:p w:rsidR="00FC06F1" w:rsidRDefault="00F8580C">
      <w:pPr>
        <w:pStyle w:val="Bodytext40"/>
        <w:framePr w:w="8798" w:h="4790" w:hRule="exact" w:wrap="none" w:vAnchor="page" w:hAnchor="page" w:x="1566" w:y="4579"/>
        <w:shd w:val="clear" w:color="auto" w:fill="auto"/>
        <w:spacing w:before="0" w:after="257"/>
      </w:pPr>
      <w:r>
        <w:t>Závěrečná ustanovení</w:t>
      </w:r>
    </w:p>
    <w:p w:rsidR="00FC06F1" w:rsidRDefault="00F8580C">
      <w:pPr>
        <w:pStyle w:val="Bodytext20"/>
        <w:framePr w:w="8798" w:h="4790" w:hRule="exact" w:wrap="none" w:vAnchor="page" w:hAnchor="page" w:x="1566" w:y="4579"/>
        <w:numPr>
          <w:ilvl w:val="0"/>
          <w:numId w:val="5"/>
        </w:numPr>
        <w:shd w:val="clear" w:color="auto" w:fill="auto"/>
        <w:tabs>
          <w:tab w:val="left" w:pos="685"/>
        </w:tabs>
        <w:spacing w:before="0" w:after="296" w:line="278" w:lineRule="exact"/>
        <w:jc w:val="both"/>
      </w:pPr>
      <w:r>
        <w:t>Smlouva nabývá platnosti a účinnosti dnem podpisu oběma smluvními stranami a uzavírá se na dobu určitou, stanovenou v čl. I. této smlouvy.</w:t>
      </w:r>
    </w:p>
    <w:p w:rsidR="00FC06F1" w:rsidRDefault="00F8580C">
      <w:pPr>
        <w:pStyle w:val="Bodytext20"/>
        <w:framePr w:w="8798" w:h="4790" w:hRule="exact" w:wrap="none" w:vAnchor="page" w:hAnchor="page" w:x="1566" w:y="4579"/>
        <w:numPr>
          <w:ilvl w:val="0"/>
          <w:numId w:val="5"/>
        </w:numPr>
        <w:shd w:val="clear" w:color="auto" w:fill="auto"/>
        <w:tabs>
          <w:tab w:val="left" w:pos="685"/>
        </w:tabs>
        <w:spacing w:before="0" w:after="347" w:line="283" w:lineRule="exact"/>
        <w:jc w:val="both"/>
      </w:pPr>
      <w:r>
        <w:t>Práva a povinnosti z této smlouvy vyplývající a v této smlouvě neupravená se řídí českým právem.</w:t>
      </w:r>
    </w:p>
    <w:p w:rsidR="00FC06F1" w:rsidRDefault="00F8580C">
      <w:pPr>
        <w:pStyle w:val="Bodytext20"/>
        <w:framePr w:w="8798" w:h="4790" w:hRule="exact" w:wrap="none" w:vAnchor="page" w:hAnchor="page" w:x="1566" w:y="4579"/>
        <w:numPr>
          <w:ilvl w:val="0"/>
          <w:numId w:val="5"/>
        </w:numPr>
        <w:shd w:val="clear" w:color="auto" w:fill="auto"/>
        <w:tabs>
          <w:tab w:val="left" w:pos="685"/>
        </w:tabs>
        <w:spacing w:before="0" w:after="257"/>
        <w:jc w:val="both"/>
      </w:pPr>
      <w:r>
        <w:t>Tato smlouva je vyhotovena ve 2 stejnopisech, z nichž 1 obdrží společnost a 1 divadlo.</w:t>
      </w:r>
    </w:p>
    <w:p w:rsidR="00FC06F1" w:rsidRDefault="00F8580C">
      <w:pPr>
        <w:pStyle w:val="Bodytext20"/>
        <w:framePr w:w="8798" w:h="4790" w:hRule="exact" w:wrap="none" w:vAnchor="page" w:hAnchor="page" w:x="1566" w:y="4579"/>
        <w:numPr>
          <w:ilvl w:val="0"/>
          <w:numId w:val="5"/>
        </w:numPr>
        <w:shd w:val="clear" w:color="auto" w:fill="auto"/>
        <w:tabs>
          <w:tab w:val="left" w:pos="685"/>
        </w:tabs>
        <w:spacing w:before="0" w:after="300" w:line="278" w:lineRule="exact"/>
        <w:jc w:val="both"/>
      </w:pPr>
      <w:r>
        <w:t>Změny a doplňky této smlouvy je možné činit pouze po vzájemné dohodě smluvních stran na základě písemného a číslovaného dodatku.</w:t>
      </w:r>
    </w:p>
    <w:p w:rsidR="00FC06F1" w:rsidRDefault="00F8580C">
      <w:pPr>
        <w:pStyle w:val="Bodytext20"/>
        <w:framePr w:w="8798" w:h="4790" w:hRule="exact" w:wrap="none" w:vAnchor="page" w:hAnchor="page" w:x="1566" w:y="4579"/>
        <w:numPr>
          <w:ilvl w:val="0"/>
          <w:numId w:val="5"/>
        </w:numPr>
        <w:shd w:val="clear" w:color="auto" w:fill="auto"/>
        <w:tabs>
          <w:tab w:val="left" w:pos="685"/>
        </w:tabs>
        <w:spacing w:before="0" w:after="0" w:line="278" w:lineRule="exact"/>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FC06F1" w:rsidRDefault="00F8580C">
      <w:pPr>
        <w:pStyle w:val="Bodytext20"/>
        <w:framePr w:wrap="none" w:vAnchor="page" w:hAnchor="page" w:x="1566" w:y="9917"/>
        <w:shd w:val="clear" w:color="auto" w:fill="auto"/>
        <w:spacing w:before="0" w:after="0"/>
        <w:ind w:right="6447"/>
        <w:jc w:val="both"/>
      </w:pPr>
      <w:r>
        <w:t>V Praze, dne 27. 08 2019</w:t>
      </w:r>
    </w:p>
    <w:p w:rsidR="00FC06F1" w:rsidRDefault="00F8580C">
      <w:pPr>
        <w:pStyle w:val="Bodytext20"/>
        <w:framePr w:w="8798" w:h="624" w:hRule="exact" w:wrap="none" w:vAnchor="page" w:hAnchor="page" w:x="1566" w:y="11531"/>
        <w:shd w:val="clear" w:color="auto" w:fill="auto"/>
        <w:spacing w:before="0" w:after="0" w:line="283" w:lineRule="exact"/>
        <w:ind w:left="10" w:right="5919"/>
        <w:jc w:val="both"/>
      </w:pPr>
      <w:r>
        <w:t>Hudební divadlo v Karl</w:t>
      </w:r>
      <w:r w:rsidR="0072096A">
        <w:t>í</w:t>
      </w:r>
      <w:r>
        <w:t>ně p. o.</w:t>
      </w:r>
      <w:r>
        <w:br/>
        <w:t>Egon Kulhánek, ředitel</w:t>
      </w:r>
    </w:p>
    <w:p w:rsidR="0072096A" w:rsidRDefault="0072096A" w:rsidP="0072096A">
      <w:pPr>
        <w:pStyle w:val="Picturecaption0"/>
        <w:framePr w:h="526" w:hRule="exact" w:wrap="none" w:vAnchor="page" w:hAnchor="page" w:x="5708" w:y="11521"/>
        <w:shd w:val="clear" w:color="auto" w:fill="auto"/>
      </w:pPr>
      <w:r>
        <w:t xml:space="preserve">                                 OSA, z.s.</w:t>
      </w:r>
    </w:p>
    <w:p w:rsidR="00FC06F1" w:rsidRDefault="00F8580C" w:rsidP="0072096A">
      <w:pPr>
        <w:pStyle w:val="Picturecaption0"/>
        <w:framePr w:h="526" w:hRule="exact" w:wrap="none" w:vAnchor="page" w:hAnchor="page" w:x="5708" w:y="11521"/>
        <w:shd w:val="clear" w:color="auto" w:fill="auto"/>
      </w:pPr>
      <w:r>
        <w:t>Ing.</w:t>
      </w:r>
      <w:r w:rsidR="0072096A">
        <w:t xml:space="preserve"> </w:t>
      </w:r>
      <w:r>
        <w:t>Roman Strejček, předseda představenstva</w:t>
      </w:r>
    </w:p>
    <w:p w:rsidR="00FC06F1" w:rsidRPr="0072096A" w:rsidRDefault="00F8580C">
      <w:pPr>
        <w:pStyle w:val="Bodytext50"/>
        <w:framePr w:wrap="none" w:vAnchor="page" w:hAnchor="page" w:x="1566" w:y="12970"/>
        <w:shd w:val="clear" w:color="auto" w:fill="auto"/>
        <w:spacing w:before="0" w:after="0"/>
        <w:ind w:left="4800"/>
        <w:rPr>
          <w:sz w:val="22"/>
          <w:szCs w:val="22"/>
        </w:rPr>
      </w:pPr>
      <w:r w:rsidRPr="0072096A">
        <w:rPr>
          <w:sz w:val="22"/>
          <w:szCs w:val="22"/>
        </w:rPr>
        <w:t>Mgr. Luboš Tesař</w:t>
      </w:r>
      <w:r w:rsidR="0072096A" w:rsidRPr="0072096A">
        <w:rPr>
          <w:sz w:val="22"/>
          <w:szCs w:val="22"/>
        </w:rPr>
        <w:t xml:space="preserve">, </w:t>
      </w:r>
      <w:r w:rsidRPr="0072096A">
        <w:rPr>
          <w:sz w:val="22"/>
          <w:szCs w:val="22"/>
        </w:rPr>
        <w:t>člen představenstva</w:t>
      </w:r>
    </w:p>
    <w:p w:rsidR="00FC06F1" w:rsidRDefault="00FC06F1">
      <w:pPr>
        <w:rPr>
          <w:sz w:val="2"/>
          <w:szCs w:val="2"/>
        </w:rPr>
      </w:pPr>
    </w:p>
    <w:sectPr w:rsidR="00FC06F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A49" w:rsidRDefault="00BA1A49">
      <w:r>
        <w:separator/>
      </w:r>
    </w:p>
  </w:endnote>
  <w:endnote w:type="continuationSeparator" w:id="0">
    <w:p w:rsidR="00BA1A49" w:rsidRDefault="00BA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JasmineUPC">
    <w:altName w:val="Times New Roman"/>
    <w:charset w:val="DE"/>
    <w:family w:val="roman"/>
    <w:pitch w:val="variable"/>
    <w:sig w:usb0="81000003" w:usb1="00000000" w:usb2="00000000" w:usb3="00000000" w:csb0="00010001" w:csb1="00000000"/>
  </w:font>
  <w:font w:name="Trebuchet MS">
    <w:panose1 w:val="020B0603020202020204"/>
    <w:charset w:val="EE"/>
    <w:family w:val="swiss"/>
    <w:pitch w:val="variable"/>
    <w:sig w:usb0="00000687" w:usb1="00000000" w:usb2="00000000" w:usb3="00000000" w:csb0="0000009F" w:csb1="00000000"/>
  </w:font>
  <w:font w:name="Euphemia">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A49" w:rsidRDefault="00BA1A49"/>
  </w:footnote>
  <w:footnote w:type="continuationSeparator" w:id="0">
    <w:p w:rsidR="00BA1A49" w:rsidRDefault="00BA1A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4EDF"/>
    <w:multiLevelType w:val="multilevel"/>
    <w:tmpl w:val="1CCC3A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5C1152"/>
    <w:multiLevelType w:val="multilevel"/>
    <w:tmpl w:val="4628E2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2A78AC"/>
    <w:multiLevelType w:val="multilevel"/>
    <w:tmpl w:val="3E92B1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361B4F"/>
    <w:multiLevelType w:val="multilevel"/>
    <w:tmpl w:val="95EAE1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332006"/>
    <w:multiLevelType w:val="multilevel"/>
    <w:tmpl w:val="9704DE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C06F1"/>
    <w:rsid w:val="0072096A"/>
    <w:rsid w:val="00BA1A49"/>
    <w:rsid w:val="00CB2AEF"/>
    <w:rsid w:val="00CB474A"/>
    <w:rsid w:val="00E471B5"/>
    <w:rsid w:val="00E662F7"/>
    <w:rsid w:val="00F8580C"/>
    <w:rsid w:val="00FC0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47F9"/>
  <w15:docId w15:val="{206D9F60-33D8-49B1-A354-17350321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JasmineUPC" w:eastAsia="JasmineUPC" w:hAnsi="JasmineUPC" w:cs="JasmineUPC"/>
      <w:b w:val="0"/>
      <w:bCs w:val="0"/>
      <w:i w:val="0"/>
      <w:iCs w:val="0"/>
      <w:smallCaps w:val="0"/>
      <w:strike w:val="0"/>
      <w:sz w:val="138"/>
      <w:szCs w:val="138"/>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2"/>
      <w:szCs w:val="22"/>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pacing w:val="0"/>
      <w:sz w:val="19"/>
      <w:szCs w:val="19"/>
      <w:u w:val="none"/>
    </w:rPr>
  </w:style>
  <w:style w:type="character" w:customStyle="1" w:styleId="Heading22">
    <w:name w:val="Heading #2 (2)_"/>
    <w:basedOn w:val="Standardnpsmoodstavce"/>
    <w:link w:val="Heading220"/>
    <w:rPr>
      <w:rFonts w:ascii="Calibri" w:eastAsia="Calibri" w:hAnsi="Calibri" w:cs="Calibri"/>
      <w:b/>
      <w:bCs/>
      <w:i w:val="0"/>
      <w:iCs w:val="0"/>
      <w:smallCaps w:val="0"/>
      <w:strike w:val="0"/>
      <w:spacing w:val="10"/>
      <w:sz w:val="16"/>
      <w:szCs w:val="16"/>
      <w:u w:val="none"/>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22"/>
      <w:szCs w:val="22"/>
      <w:u w:val="none"/>
    </w:rPr>
  </w:style>
  <w:style w:type="character" w:customStyle="1" w:styleId="Heading23">
    <w:name w:val="Heading #2 (3)_"/>
    <w:basedOn w:val="Standardnpsmoodstavce"/>
    <w:link w:val="Heading230"/>
    <w:rPr>
      <w:rFonts w:ascii="Calibri" w:eastAsia="Calibri" w:hAnsi="Calibri" w:cs="Calibri"/>
      <w:b/>
      <w:bCs/>
      <w:i w:val="0"/>
      <w:iCs w:val="0"/>
      <w:smallCaps w:val="0"/>
      <w:strike w:val="0"/>
      <w:sz w:val="19"/>
      <w:szCs w:val="19"/>
      <w:u w:val="none"/>
      <w:lang w:val="en-US" w:eastAsia="en-US" w:bidi="en-US"/>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2"/>
      <w:szCs w:val="22"/>
      <w:u w:val="none"/>
    </w:rPr>
  </w:style>
  <w:style w:type="character" w:customStyle="1" w:styleId="Bodytext5">
    <w:name w:val="Body text (5)_"/>
    <w:basedOn w:val="Standardnpsmoodstavce"/>
    <w:link w:val="Bodytext50"/>
    <w:rPr>
      <w:rFonts w:ascii="Calibri" w:eastAsia="Calibri" w:hAnsi="Calibri" w:cs="Calibri"/>
      <w:b w:val="0"/>
      <w:bCs w:val="0"/>
      <w:i w:val="0"/>
      <w:iCs w:val="0"/>
      <w:smallCaps w:val="0"/>
      <w:strike w:val="0"/>
      <w:sz w:val="20"/>
      <w:szCs w:val="20"/>
      <w:u w:val="none"/>
    </w:rPr>
  </w:style>
  <w:style w:type="character" w:customStyle="1" w:styleId="Bodytext6">
    <w:name w:val="Body text (6)_"/>
    <w:basedOn w:val="Standardnpsmoodstavce"/>
    <w:link w:val="Bodytext60"/>
    <w:rPr>
      <w:rFonts w:ascii="Trebuchet MS" w:eastAsia="Trebuchet MS" w:hAnsi="Trebuchet MS" w:cs="Trebuchet MS"/>
      <w:b w:val="0"/>
      <w:bCs w:val="0"/>
      <w:i w:val="0"/>
      <w:iCs w:val="0"/>
      <w:smallCaps w:val="0"/>
      <w:strike w:val="0"/>
      <w:sz w:val="16"/>
      <w:szCs w:val="16"/>
      <w:u w:val="none"/>
    </w:rPr>
  </w:style>
  <w:style w:type="character" w:customStyle="1" w:styleId="Bodytext61">
    <w:name w:val="Body text (6)"/>
    <w:basedOn w:val="Bodytext6"/>
    <w:rPr>
      <w:rFonts w:ascii="Trebuchet MS" w:eastAsia="Trebuchet MS" w:hAnsi="Trebuchet MS" w:cs="Trebuchet MS"/>
      <w:b w:val="0"/>
      <w:bCs w:val="0"/>
      <w:i w:val="0"/>
      <w:iCs w:val="0"/>
      <w:smallCaps w:val="0"/>
      <w:strike w:val="0"/>
      <w:color w:val="57A6DA"/>
      <w:spacing w:val="0"/>
      <w:w w:val="100"/>
      <w:position w:val="0"/>
      <w:sz w:val="16"/>
      <w:szCs w:val="16"/>
      <w:u w:val="none"/>
      <w:lang w:val="cs-CZ" w:eastAsia="cs-CZ" w:bidi="cs-CZ"/>
    </w:rPr>
  </w:style>
  <w:style w:type="character" w:customStyle="1" w:styleId="Bodytext6Euphemia75pt">
    <w:name w:val="Body text (6) + Euphemia;7.5 pt"/>
    <w:basedOn w:val="Bodytext6"/>
    <w:rPr>
      <w:rFonts w:ascii="Euphemia" w:eastAsia="Euphemia" w:hAnsi="Euphemia" w:cs="Euphemia"/>
      <w:b w:val="0"/>
      <w:bCs w:val="0"/>
      <w:i w:val="0"/>
      <w:iCs w:val="0"/>
      <w:smallCaps w:val="0"/>
      <w:strike w:val="0"/>
      <w:color w:val="57A6DA"/>
      <w:spacing w:val="0"/>
      <w:w w:val="100"/>
      <w:position w:val="0"/>
      <w:sz w:val="15"/>
      <w:szCs w:val="15"/>
      <w:u w:val="none"/>
      <w:lang w:val="cs-CZ" w:eastAsia="cs-CZ" w:bidi="cs-CZ"/>
    </w:rPr>
  </w:style>
  <w:style w:type="character" w:customStyle="1" w:styleId="Bodytext7">
    <w:name w:val="Body text (7)_"/>
    <w:basedOn w:val="Standardnpsmoodstavce"/>
    <w:link w:val="Bodytext70"/>
    <w:rPr>
      <w:rFonts w:ascii="Trebuchet MS" w:eastAsia="Trebuchet MS" w:hAnsi="Trebuchet MS" w:cs="Trebuchet MS"/>
      <w:b w:val="0"/>
      <w:bCs w:val="0"/>
      <w:i w:val="0"/>
      <w:iCs w:val="0"/>
      <w:smallCaps w:val="0"/>
      <w:strike w:val="0"/>
      <w:sz w:val="15"/>
      <w:szCs w:val="15"/>
      <w:u w:val="none"/>
    </w:rPr>
  </w:style>
  <w:style w:type="character" w:customStyle="1" w:styleId="Bodytext71">
    <w:name w:val="Body text (7)"/>
    <w:basedOn w:val="Bodytext7"/>
    <w:rPr>
      <w:rFonts w:ascii="Trebuchet MS" w:eastAsia="Trebuchet MS" w:hAnsi="Trebuchet MS" w:cs="Trebuchet MS"/>
      <w:b w:val="0"/>
      <w:bCs w:val="0"/>
      <w:i w:val="0"/>
      <w:iCs w:val="0"/>
      <w:smallCaps w:val="0"/>
      <w:strike w:val="0"/>
      <w:color w:val="80B5DD"/>
      <w:spacing w:val="0"/>
      <w:w w:val="100"/>
      <w:position w:val="0"/>
      <w:sz w:val="15"/>
      <w:szCs w:val="15"/>
      <w:u w:val="none"/>
      <w:lang w:val="cs-CZ" w:eastAsia="cs-CZ" w:bidi="cs-CZ"/>
    </w:rPr>
  </w:style>
  <w:style w:type="character" w:customStyle="1" w:styleId="Bodytext72">
    <w:name w:val="Body text (7)"/>
    <w:basedOn w:val="Bodytext7"/>
    <w:rPr>
      <w:rFonts w:ascii="Trebuchet MS" w:eastAsia="Trebuchet MS" w:hAnsi="Trebuchet MS" w:cs="Trebuchet MS"/>
      <w:b w:val="0"/>
      <w:bCs w:val="0"/>
      <w:i w:val="0"/>
      <w:iCs w:val="0"/>
      <w:smallCaps w:val="0"/>
      <w:strike w:val="0"/>
      <w:color w:val="57A6DA"/>
      <w:spacing w:val="0"/>
      <w:w w:val="100"/>
      <w:position w:val="0"/>
      <w:sz w:val="15"/>
      <w:szCs w:val="15"/>
      <w:u w:val="none"/>
      <w:lang w:val="cs-CZ" w:eastAsia="cs-CZ" w:bidi="cs-CZ"/>
    </w:rPr>
  </w:style>
  <w:style w:type="paragraph" w:customStyle="1" w:styleId="Bodytext30">
    <w:name w:val="Body text (3)"/>
    <w:basedOn w:val="Normln"/>
    <w:link w:val="Bodytext3"/>
    <w:pPr>
      <w:shd w:val="clear" w:color="auto" w:fill="FFFFFF"/>
      <w:spacing w:line="826" w:lineRule="exact"/>
    </w:pPr>
    <w:rPr>
      <w:rFonts w:ascii="JasmineUPC" w:eastAsia="JasmineUPC" w:hAnsi="JasmineUPC" w:cs="JasmineUPC"/>
      <w:sz w:val="138"/>
      <w:szCs w:val="138"/>
    </w:rPr>
  </w:style>
  <w:style w:type="paragraph" w:customStyle="1" w:styleId="Heading20">
    <w:name w:val="Heading #2"/>
    <w:basedOn w:val="Normln"/>
    <w:link w:val="Heading2"/>
    <w:pPr>
      <w:shd w:val="clear" w:color="auto" w:fill="FFFFFF"/>
      <w:spacing w:after="320" w:line="224" w:lineRule="exact"/>
      <w:jc w:val="center"/>
      <w:outlineLvl w:val="1"/>
    </w:pPr>
    <w:rPr>
      <w:rFonts w:ascii="Calibri" w:eastAsia="Calibri" w:hAnsi="Calibri" w:cs="Calibri"/>
      <w:b/>
      <w:bCs/>
      <w:sz w:val="22"/>
      <w:szCs w:val="22"/>
    </w:rPr>
  </w:style>
  <w:style w:type="paragraph" w:customStyle="1" w:styleId="Bodytext20">
    <w:name w:val="Body text (2)"/>
    <w:basedOn w:val="Normln"/>
    <w:link w:val="Bodytext2"/>
    <w:pPr>
      <w:shd w:val="clear" w:color="auto" w:fill="FFFFFF"/>
      <w:spacing w:before="320" w:after="320" w:line="224" w:lineRule="exact"/>
    </w:pPr>
    <w:rPr>
      <w:rFonts w:ascii="Calibri" w:eastAsia="Calibri" w:hAnsi="Calibri" w:cs="Calibri"/>
      <w:sz w:val="22"/>
      <w:szCs w:val="22"/>
    </w:rPr>
  </w:style>
  <w:style w:type="paragraph" w:customStyle="1" w:styleId="Heading10">
    <w:name w:val="Heading #1"/>
    <w:basedOn w:val="Normln"/>
    <w:link w:val="Heading1"/>
    <w:pPr>
      <w:shd w:val="clear" w:color="auto" w:fill="FFFFFF"/>
      <w:spacing w:before="620" w:line="224" w:lineRule="exact"/>
      <w:jc w:val="center"/>
      <w:outlineLvl w:val="0"/>
    </w:pPr>
    <w:rPr>
      <w:rFonts w:ascii="Calibri" w:eastAsia="Calibri" w:hAnsi="Calibri" w:cs="Calibri"/>
      <w:b/>
      <w:bCs/>
      <w:sz w:val="19"/>
      <w:szCs w:val="19"/>
    </w:rPr>
  </w:style>
  <w:style w:type="paragraph" w:customStyle="1" w:styleId="Heading220">
    <w:name w:val="Heading #2 (2)"/>
    <w:basedOn w:val="Normln"/>
    <w:link w:val="Heading22"/>
    <w:pPr>
      <w:shd w:val="clear" w:color="auto" w:fill="FFFFFF"/>
      <w:spacing w:before="300" w:after="80" w:line="190" w:lineRule="exact"/>
      <w:jc w:val="center"/>
      <w:outlineLvl w:val="1"/>
    </w:pPr>
    <w:rPr>
      <w:rFonts w:ascii="Calibri" w:eastAsia="Calibri" w:hAnsi="Calibri" w:cs="Calibri"/>
      <w:b/>
      <w:bCs/>
      <w:spacing w:val="10"/>
      <w:sz w:val="16"/>
      <w:szCs w:val="16"/>
    </w:rPr>
  </w:style>
  <w:style w:type="paragraph" w:customStyle="1" w:styleId="Bodytext40">
    <w:name w:val="Body text (4)"/>
    <w:basedOn w:val="Normln"/>
    <w:link w:val="Bodytext4"/>
    <w:pPr>
      <w:shd w:val="clear" w:color="auto" w:fill="FFFFFF"/>
      <w:spacing w:before="80" w:after="300" w:line="224" w:lineRule="exact"/>
      <w:jc w:val="center"/>
    </w:pPr>
    <w:rPr>
      <w:rFonts w:ascii="Calibri" w:eastAsia="Calibri" w:hAnsi="Calibri" w:cs="Calibri"/>
      <w:b/>
      <w:bCs/>
      <w:sz w:val="22"/>
      <w:szCs w:val="22"/>
    </w:rPr>
  </w:style>
  <w:style w:type="paragraph" w:customStyle="1" w:styleId="Heading230">
    <w:name w:val="Heading #2 (3)"/>
    <w:basedOn w:val="Normln"/>
    <w:link w:val="Heading23"/>
    <w:pPr>
      <w:shd w:val="clear" w:color="auto" w:fill="FFFFFF"/>
      <w:spacing w:before="280" w:after="60" w:line="212" w:lineRule="exact"/>
      <w:jc w:val="center"/>
      <w:outlineLvl w:val="1"/>
    </w:pPr>
    <w:rPr>
      <w:rFonts w:ascii="Calibri" w:eastAsia="Calibri" w:hAnsi="Calibri" w:cs="Calibri"/>
      <w:b/>
      <w:bCs/>
      <w:sz w:val="19"/>
      <w:szCs w:val="19"/>
      <w:lang w:val="en-US" w:eastAsia="en-US" w:bidi="en-US"/>
    </w:rPr>
  </w:style>
  <w:style w:type="paragraph" w:customStyle="1" w:styleId="Picturecaption0">
    <w:name w:val="Picture caption"/>
    <w:basedOn w:val="Normln"/>
    <w:link w:val="Picturecaption"/>
    <w:pPr>
      <w:shd w:val="clear" w:color="auto" w:fill="FFFFFF"/>
      <w:spacing w:line="224" w:lineRule="exact"/>
    </w:pPr>
    <w:rPr>
      <w:rFonts w:ascii="Calibri" w:eastAsia="Calibri" w:hAnsi="Calibri" w:cs="Calibri"/>
      <w:sz w:val="22"/>
      <w:szCs w:val="22"/>
    </w:rPr>
  </w:style>
  <w:style w:type="paragraph" w:customStyle="1" w:styleId="Bodytext50">
    <w:name w:val="Body text (5)"/>
    <w:basedOn w:val="Normln"/>
    <w:link w:val="Bodytext5"/>
    <w:pPr>
      <w:shd w:val="clear" w:color="auto" w:fill="FFFFFF"/>
      <w:spacing w:before="780" w:after="300" w:line="200" w:lineRule="exact"/>
    </w:pPr>
    <w:rPr>
      <w:rFonts w:ascii="Calibri" w:eastAsia="Calibri" w:hAnsi="Calibri" w:cs="Calibri"/>
      <w:sz w:val="20"/>
      <w:szCs w:val="20"/>
    </w:rPr>
  </w:style>
  <w:style w:type="paragraph" w:customStyle="1" w:styleId="Bodytext60">
    <w:name w:val="Body text (6)"/>
    <w:basedOn w:val="Normln"/>
    <w:link w:val="Bodytext6"/>
    <w:pPr>
      <w:shd w:val="clear" w:color="auto" w:fill="FFFFFF"/>
      <w:spacing w:before="300" w:line="197" w:lineRule="exact"/>
      <w:jc w:val="center"/>
    </w:pPr>
    <w:rPr>
      <w:rFonts w:ascii="Trebuchet MS" w:eastAsia="Trebuchet MS" w:hAnsi="Trebuchet MS" w:cs="Trebuchet MS"/>
      <w:sz w:val="16"/>
      <w:szCs w:val="16"/>
    </w:rPr>
  </w:style>
  <w:style w:type="paragraph" w:customStyle="1" w:styleId="Bodytext70">
    <w:name w:val="Body text (7)"/>
    <w:basedOn w:val="Normln"/>
    <w:link w:val="Bodytext7"/>
    <w:pPr>
      <w:shd w:val="clear" w:color="auto" w:fill="FFFFFF"/>
      <w:spacing w:line="197" w:lineRule="exact"/>
      <w:jc w:val="center"/>
    </w:pPr>
    <w:rPr>
      <w:rFonts w:ascii="Trebuchet MS" w:eastAsia="Trebuchet MS" w:hAnsi="Trebuchet MS" w:cs="Trebuchet M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1428</Words>
  <Characters>8429</Characters>
  <Application>Microsoft Office Word</Application>
  <DocSecurity>0</DocSecurity>
  <Lines>70</Lines>
  <Paragraphs>19</Paragraphs>
  <ScaleCrop>false</ScaleCrop>
  <Company>Hudební divadlo Karlín</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6</cp:revision>
  <dcterms:created xsi:type="dcterms:W3CDTF">2019-08-27T13:17:00Z</dcterms:created>
  <dcterms:modified xsi:type="dcterms:W3CDTF">2019-09-12T11:10:00Z</dcterms:modified>
</cp:coreProperties>
</file>