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8492B">
        <w:rPr>
          <w:rFonts w:ascii="Arial" w:hAnsi="Arial" w:cs="Arial"/>
          <w:color w:val="404040" w:themeColor="text1" w:themeTint="BF"/>
          <w:sz w:val="20"/>
          <w:szCs w:val="20"/>
        </w:rPr>
        <w:t>Dufka Jiří Ing.</w:t>
      </w:r>
    </w:p>
    <w:p w:rsidR="00E82F5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A00AC">
        <w:rPr>
          <w:rFonts w:ascii="Arial" w:hAnsi="Arial" w:cs="Arial"/>
          <w:color w:val="404040" w:themeColor="text1" w:themeTint="BF"/>
          <w:sz w:val="20"/>
          <w:szCs w:val="20"/>
        </w:rPr>
        <w:t>xxxxxxxxxxx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BD7E96">
        <w:rPr>
          <w:rFonts w:ascii="Arial" w:hAnsi="Arial" w:cs="Arial"/>
          <w:color w:val="404040" w:themeColor="text1" w:themeTint="BF"/>
          <w:sz w:val="20"/>
          <w:szCs w:val="20"/>
        </w:rPr>
        <w:t>xxxxxx</w:t>
      </w:r>
      <w:bookmarkStart w:id="0" w:name="_GoBack"/>
      <w:bookmarkEnd w:id="0"/>
      <w:r w:rsidR="00A8492B">
        <w:rPr>
          <w:rFonts w:ascii="Arial" w:hAnsi="Arial" w:cs="Arial"/>
          <w:color w:val="404040" w:themeColor="text1" w:themeTint="BF"/>
          <w:sz w:val="20"/>
          <w:szCs w:val="20"/>
        </w:rPr>
        <w:t xml:space="preserve"> Planá u M.L.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8492B">
        <w:rPr>
          <w:rFonts w:ascii="Arial" w:hAnsi="Arial" w:cs="Arial"/>
          <w:sz w:val="20"/>
          <w:szCs w:val="20"/>
        </w:rPr>
        <w:t>8.8.2019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967FB">
        <w:rPr>
          <w:rFonts w:ascii="Arial" w:hAnsi="Arial" w:cs="Arial"/>
          <w:b/>
          <w:sz w:val="20"/>
          <w:szCs w:val="20"/>
        </w:rPr>
        <w:t>74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2967FB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967FB">
        <w:rPr>
          <w:rFonts w:ascii="Arial" w:hAnsi="Arial" w:cs="Arial"/>
          <w:b/>
          <w:sz w:val="20"/>
          <w:szCs w:val="20"/>
        </w:rPr>
        <w:t>2.10.2015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967FB">
        <w:rPr>
          <w:rFonts w:ascii="Arial" w:hAnsi="Arial" w:cs="Arial"/>
          <w:bCs/>
          <w:iCs/>
          <w:sz w:val="20"/>
          <w:szCs w:val="20"/>
        </w:rPr>
        <w:t>2.10.2015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2967FB">
        <w:rPr>
          <w:rFonts w:ascii="Arial" w:hAnsi="Arial" w:cs="Arial"/>
          <w:bCs/>
          <w:iCs/>
          <w:sz w:val="20"/>
          <w:szCs w:val="20"/>
        </w:rPr>
        <w:t>74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967FB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8472CC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2967FB">
        <w:rPr>
          <w:rFonts w:ascii="Arial" w:hAnsi="Arial" w:cs="Arial"/>
          <w:b/>
          <w:iCs/>
          <w:sz w:val="20"/>
          <w:szCs w:val="20"/>
        </w:rPr>
        <w:t>1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r>
        <w:rPr>
          <w:rFonts w:ascii="Arial" w:hAnsi="Arial" w:cs="Arial"/>
          <w:iCs/>
          <w:sz w:val="20"/>
          <w:szCs w:val="20"/>
        </w:rPr>
        <w:t>nájemného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20</w:t>
      </w:r>
      <w:r w:rsidR="00731E57">
        <w:rPr>
          <w:rFonts w:ascii="Arial" w:hAnsi="Arial" w:cs="Arial"/>
          <w:b/>
          <w:sz w:val="20"/>
          <w:szCs w:val="20"/>
        </w:rPr>
        <w:t>18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731E57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2967FB">
        <w:rPr>
          <w:rFonts w:ascii="Arial" w:hAnsi="Arial" w:cs="Arial"/>
          <w:sz w:val="20"/>
          <w:szCs w:val="20"/>
        </w:rPr>
        <w:t>62 656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731E57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A8492B">
        <w:rPr>
          <w:rFonts w:ascii="Arial" w:hAnsi="Arial" w:cs="Arial"/>
          <w:sz w:val="20"/>
          <w:szCs w:val="20"/>
        </w:rPr>
        <w:t>1 3</w:t>
      </w:r>
      <w:r w:rsidR="002967FB">
        <w:rPr>
          <w:rFonts w:ascii="Arial" w:hAnsi="Arial" w:cs="Arial"/>
          <w:sz w:val="20"/>
          <w:szCs w:val="20"/>
        </w:rPr>
        <w:t>16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A8492B">
        <w:rPr>
          <w:rFonts w:ascii="Arial" w:hAnsi="Arial" w:cs="Arial"/>
          <w:sz w:val="20"/>
          <w:szCs w:val="20"/>
        </w:rPr>
        <w:t>jedentisíctřista</w:t>
      </w:r>
      <w:r w:rsidR="002967FB">
        <w:rPr>
          <w:rFonts w:ascii="Arial" w:hAnsi="Arial" w:cs="Arial"/>
          <w:sz w:val="20"/>
          <w:szCs w:val="20"/>
        </w:rPr>
        <w:t>šestnáct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2967FB">
        <w:rPr>
          <w:rFonts w:ascii="Arial" w:hAnsi="Arial" w:cs="Arial"/>
          <w:b/>
          <w:sz w:val="20"/>
          <w:szCs w:val="20"/>
        </w:rPr>
        <w:t>63</w:t>
      </w:r>
      <w:proofErr w:type="gramEnd"/>
      <w:r w:rsidR="002967FB">
        <w:rPr>
          <w:rFonts w:ascii="Arial" w:hAnsi="Arial" w:cs="Arial"/>
          <w:b/>
          <w:sz w:val="20"/>
          <w:szCs w:val="20"/>
        </w:rPr>
        <w:t xml:space="preserve"> 972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2967FB">
        <w:rPr>
          <w:rFonts w:ascii="Arial" w:hAnsi="Arial" w:cs="Arial"/>
          <w:sz w:val="20"/>
          <w:szCs w:val="20"/>
        </w:rPr>
        <w:t>šedesáttřitisícdevětsetsedmdesátdva</w:t>
      </w:r>
      <w:r w:rsidR="00A8492B">
        <w:rPr>
          <w:rFonts w:ascii="Arial" w:hAnsi="Arial" w:cs="Arial"/>
          <w:sz w:val="20"/>
          <w:szCs w:val="20"/>
        </w:rPr>
        <w:t>k</w:t>
      </w:r>
      <w:r w:rsidR="00731E57">
        <w:rPr>
          <w:rFonts w:ascii="Arial" w:hAnsi="Arial" w:cs="Arial"/>
          <w:sz w:val="20"/>
          <w:szCs w:val="20"/>
        </w:rPr>
        <w:t>osm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3062E5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bookmarkStart w:id="1" w:name="_Hlk13558892"/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967FB">
        <w:rPr>
          <w:rFonts w:ascii="Arial" w:hAnsi="Arial" w:cs="Arial"/>
          <w:b/>
          <w:sz w:val="20"/>
        </w:rPr>
        <w:t>74</w:t>
      </w:r>
      <w:r>
        <w:rPr>
          <w:rFonts w:ascii="Arial" w:hAnsi="Arial" w:cs="Arial"/>
          <w:b/>
          <w:sz w:val="20"/>
        </w:rPr>
        <w:t>N</w:t>
      </w:r>
      <w:r w:rsidR="002967FB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bookmarkEnd w:id="1"/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BD7E9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BD7E9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2" w:name="_GoBack"/>
                    <w:bookmarkEnd w:id="2"/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A00AC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41B1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BD7E96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19D0F5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B743C-32C4-4FF7-9CA6-092B4353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2019-08-08T12:19:00Z</cp:lastPrinted>
  <dcterms:created xsi:type="dcterms:W3CDTF">2019-08-09T08:58:00Z</dcterms:created>
  <dcterms:modified xsi:type="dcterms:W3CDTF">2019-09-11T11:24:00Z</dcterms:modified>
</cp:coreProperties>
</file>