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DE2E2A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DE2E2A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00019305 DIČ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 20439061/0710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040347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KLIMIZOL s.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r.o.</w:t>
      </w:r>
      <w:r w:rsidR="00B526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E2E2A" w:rsidRPr="00DE2E2A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Jindrova 172/24</w:t>
      </w:r>
      <w:r w:rsidR="007E369D">
        <w:rPr>
          <w:rFonts w:ascii="Times New Roman" w:hAnsi="Times New Roman" w:cs="Times New Roman"/>
          <w:sz w:val="24"/>
          <w:szCs w:val="24"/>
        </w:rPr>
        <w:t>, 50</w:t>
      </w:r>
      <w:r>
        <w:rPr>
          <w:rFonts w:ascii="Times New Roman" w:hAnsi="Times New Roman" w:cs="Times New Roman"/>
          <w:sz w:val="24"/>
          <w:szCs w:val="24"/>
        </w:rPr>
        <w:t>3</w:t>
      </w:r>
      <w:r w:rsidR="007E369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369D">
        <w:rPr>
          <w:rFonts w:ascii="Times New Roman" w:hAnsi="Times New Roman" w:cs="Times New Roman"/>
          <w:sz w:val="24"/>
          <w:szCs w:val="24"/>
        </w:rPr>
        <w:t xml:space="preserve"> Hradec Králové - Pl</w:t>
      </w:r>
      <w:r>
        <w:rPr>
          <w:rFonts w:ascii="Times New Roman" w:hAnsi="Times New Roman" w:cs="Times New Roman"/>
          <w:sz w:val="24"/>
          <w:szCs w:val="24"/>
        </w:rPr>
        <w:t>ácky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IČ </w:t>
      </w:r>
      <w:r w:rsidR="00040347">
        <w:rPr>
          <w:rFonts w:ascii="Times New Roman" w:hAnsi="Times New Roman" w:cs="Times New Roman"/>
          <w:sz w:val="24"/>
          <w:szCs w:val="24"/>
        </w:rPr>
        <w:t>28820479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 CZ</w:t>
      </w:r>
      <w:r w:rsidR="00040347">
        <w:rPr>
          <w:rFonts w:ascii="Times New Roman" w:hAnsi="Times New Roman" w:cs="Times New Roman"/>
          <w:sz w:val="24"/>
          <w:szCs w:val="24"/>
        </w:rPr>
        <w:t>28820479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40347">
        <w:rPr>
          <w:rFonts w:ascii="Times New Roman" w:hAnsi="Times New Roman" w:cs="Times New Roman"/>
          <w:sz w:val="24"/>
          <w:szCs w:val="24"/>
        </w:rPr>
        <w:t>6418292001</w:t>
      </w:r>
      <w:r w:rsidR="00B52633">
        <w:rPr>
          <w:rFonts w:ascii="Times New Roman" w:hAnsi="Times New Roman" w:cs="Times New Roman"/>
          <w:sz w:val="24"/>
          <w:szCs w:val="24"/>
        </w:rPr>
        <w:t>/</w:t>
      </w:r>
      <w:r w:rsidR="00040347">
        <w:rPr>
          <w:rFonts w:ascii="Times New Roman" w:hAnsi="Times New Roman" w:cs="Times New Roman"/>
          <w:sz w:val="24"/>
          <w:szCs w:val="24"/>
        </w:rPr>
        <w:t>5500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40347" w:rsidRPr="00040347">
        <w:rPr>
          <w:rFonts w:ascii="Times New Roman" w:hAnsi="Times New Roman" w:cs="Times New Roman"/>
          <w:bCs/>
          <w:sz w:val="24"/>
          <w:szCs w:val="24"/>
        </w:rPr>
        <w:t>Raiffeisenbank</w:t>
      </w:r>
      <w:proofErr w:type="spellEnd"/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jednatelem: Jiřím Jiroutem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0E6746">
        <w:rPr>
          <w:rFonts w:ascii="Times New Roman" w:hAnsi="Times New Roman" w:cs="Times New Roman"/>
          <w:b/>
          <w:sz w:val="24"/>
          <w:szCs w:val="24"/>
        </w:rPr>
        <w:t>nebytových prostor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č. 0</w:t>
      </w:r>
      <w:r w:rsidR="00040347">
        <w:rPr>
          <w:rFonts w:ascii="Times New Roman" w:hAnsi="Times New Roman" w:cs="Times New Roman"/>
          <w:b/>
          <w:sz w:val="24"/>
          <w:szCs w:val="24"/>
        </w:rPr>
        <w:t>5</w:t>
      </w:r>
      <w:r w:rsidR="000E6746">
        <w:rPr>
          <w:rFonts w:ascii="Times New Roman" w:hAnsi="Times New Roman" w:cs="Times New Roman"/>
          <w:b/>
          <w:sz w:val="24"/>
          <w:szCs w:val="24"/>
        </w:rPr>
        <w:t>/NB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/V/20</w:t>
      </w:r>
      <w:r w:rsidR="00B84A6E">
        <w:rPr>
          <w:rFonts w:ascii="Times New Roman" w:hAnsi="Times New Roman" w:cs="Times New Roman"/>
          <w:b/>
          <w:sz w:val="24"/>
          <w:szCs w:val="24"/>
        </w:rPr>
        <w:t>16</w:t>
      </w:r>
    </w:p>
    <w:p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Default="00DE2E2A" w:rsidP="00541A91">
      <w:pPr>
        <w:pStyle w:val="Nadpis2"/>
      </w:pPr>
      <w:r>
        <w:t>Článek 1.</w:t>
      </w:r>
    </w:p>
    <w:p w:rsidR="00DE2E2A" w:rsidRDefault="00A00D89" w:rsidP="00541A91">
      <w:pPr>
        <w:pStyle w:val="Nadpis2"/>
      </w:pPr>
      <w:r>
        <w:t>Úvodní ustanovení</w:t>
      </w:r>
    </w:p>
    <w:p w:rsidR="00DE2E2A" w:rsidRPr="000E6746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E6746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 w:rsidRPr="000E6746">
        <w:rPr>
          <w:rFonts w:ascii="Times New Roman" w:hAnsi="Times New Roman" w:cs="Times New Roman"/>
          <w:sz w:val="24"/>
          <w:szCs w:val="24"/>
        </w:rPr>
        <w:t xml:space="preserve"> prohlašuje, že je příslušný hospodařit s majetkem České republiky a jejím vystupování v právních vztazích a to kromě jiného také s</w:t>
      </w:r>
      <w:r w:rsidR="000E6746" w:rsidRPr="000E6746">
        <w:rPr>
          <w:rFonts w:ascii="Times New Roman" w:hAnsi="Times New Roman" w:cs="Times New Roman"/>
          <w:sz w:val="24"/>
          <w:szCs w:val="24"/>
        </w:rPr>
        <w:t xml:space="preserve"> objektem občanské vybavenosti  č.p. 353, ulice Jana Černého v Hradci Králové –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umístněného na stavební parcele st. 474 v </w:t>
      </w:r>
      <w:proofErr w:type="spellStart"/>
      <w:proofErr w:type="gramStart"/>
      <w:r w:rsidR="000E6746" w:rsidRPr="000E674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, obec Hradec Králové. Objekt se skládá s budovy zahrnující soubor místností a k tomu přilehlých pozemků. </w:t>
      </w:r>
      <w:r w:rsidR="00DC6FFF" w:rsidRPr="000E6746">
        <w:rPr>
          <w:rFonts w:ascii="Times New Roman" w:hAnsi="Times New Roman" w:cs="Times New Roman"/>
          <w:sz w:val="24"/>
          <w:szCs w:val="24"/>
        </w:rPr>
        <w:t>Nemovitost</w:t>
      </w:r>
      <w:r w:rsidR="00B52633" w:rsidRPr="000E6746">
        <w:rPr>
          <w:rFonts w:ascii="Times New Roman" w:hAnsi="Times New Roman" w:cs="Times New Roman"/>
          <w:sz w:val="24"/>
          <w:szCs w:val="24"/>
        </w:rPr>
        <w:t>i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j</w:t>
      </w:r>
      <w:r w:rsidR="00B52633" w:rsidRPr="000E6746">
        <w:rPr>
          <w:rFonts w:ascii="Times New Roman" w:hAnsi="Times New Roman" w:cs="Times New Roman"/>
          <w:sz w:val="24"/>
          <w:szCs w:val="24"/>
        </w:rPr>
        <w:t>sou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zapsán</w:t>
      </w:r>
      <w:r w:rsidR="00B52633" w:rsidRPr="000E6746">
        <w:rPr>
          <w:rFonts w:ascii="Times New Roman" w:hAnsi="Times New Roman" w:cs="Times New Roman"/>
          <w:sz w:val="24"/>
          <w:szCs w:val="24"/>
        </w:rPr>
        <w:t>y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v katastru nemovitostí vedeným Katastrálním úřadem pro Královohradecký kraj, Katastrální pracoviště Hradec Králové</w:t>
      </w:r>
      <w:r w:rsidR="00E60B8D" w:rsidRPr="000E6746">
        <w:rPr>
          <w:rFonts w:ascii="Times New Roman" w:hAnsi="Times New Roman" w:cs="Times New Roman"/>
          <w:sz w:val="24"/>
          <w:szCs w:val="24"/>
        </w:rPr>
        <w:t>,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a to na LV č. 11647 pro k.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DC6FFF" w:rsidRDefault="00DC6FFF" w:rsidP="00B61E55">
      <w:pPr>
        <w:pStyle w:val="Nadpis2"/>
        <w:ind w:left="644" w:hanging="502"/>
      </w:pPr>
    </w:p>
    <w:p w:rsidR="00DC6FFF" w:rsidRDefault="00DC6FFF" w:rsidP="00B61E55">
      <w:pPr>
        <w:pStyle w:val="Nadpis2"/>
        <w:ind w:left="644" w:hanging="502"/>
      </w:pPr>
      <w:r w:rsidRPr="00422D74">
        <w:t>Článek 2</w:t>
      </w:r>
      <w:r w:rsidR="00422D74">
        <w:t>.</w:t>
      </w:r>
    </w:p>
    <w:p w:rsidR="00F8627F" w:rsidRPr="00F8627F" w:rsidRDefault="00A00D89" w:rsidP="00B61E55">
      <w:pPr>
        <w:pStyle w:val="Nadpis2"/>
        <w:ind w:left="644" w:hanging="502"/>
      </w:pPr>
      <w:r>
        <w:t>Předmět</w:t>
      </w:r>
      <w:r w:rsidR="00F8627F">
        <w:t xml:space="preserve"> nájmu</w:t>
      </w:r>
    </w:p>
    <w:p w:rsidR="005075F3" w:rsidRPr="005075F3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45388" w:rsidRPr="00D45388" w:rsidRDefault="002D4722" w:rsidP="00B36D73">
      <w:pPr>
        <w:pStyle w:val="Odstavecseseznamem"/>
        <w:numPr>
          <w:ilvl w:val="1"/>
          <w:numId w:val="1"/>
        </w:numPr>
        <w:ind w:left="426" w:hanging="568"/>
        <w:jc w:val="both"/>
      </w:pPr>
      <w:r w:rsidRPr="007E369D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7E369D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7E369D">
        <w:rPr>
          <w:rFonts w:ascii="Times New Roman" w:hAnsi="Times New Roman" w:cs="Times New Roman"/>
          <w:sz w:val="24"/>
          <w:szCs w:val="24"/>
        </w:rPr>
        <w:t xml:space="preserve">nájemci do užívání </w:t>
      </w:r>
      <w:r w:rsidR="000E6746" w:rsidRPr="007E369D">
        <w:rPr>
          <w:rFonts w:ascii="Times New Roman" w:hAnsi="Times New Roman" w:cs="Times New Roman"/>
          <w:sz w:val="24"/>
          <w:szCs w:val="24"/>
        </w:rPr>
        <w:t>soubor místností označené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místnost </w:t>
      </w:r>
      <w:r w:rsidR="008165DB">
        <w:rPr>
          <w:rFonts w:ascii="Times New Roman" w:hAnsi="Times New Roman" w:cs="Times New Roman"/>
          <w:sz w:val="24"/>
          <w:szCs w:val="24"/>
        </w:rPr>
        <w:t>č. </w:t>
      </w:r>
      <w:r w:rsidR="00040347">
        <w:rPr>
          <w:rFonts w:ascii="Times New Roman" w:hAnsi="Times New Roman" w:cs="Times New Roman"/>
          <w:sz w:val="24"/>
          <w:szCs w:val="24"/>
        </w:rPr>
        <w:t>05 o celkové výměře 8,10 m</w:t>
      </w:r>
      <w:r w:rsidR="00040347" w:rsidRPr="00040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0347">
        <w:rPr>
          <w:rFonts w:ascii="Times New Roman" w:hAnsi="Times New Roman" w:cs="Times New Roman"/>
          <w:sz w:val="24"/>
          <w:szCs w:val="24"/>
        </w:rPr>
        <w:t xml:space="preserve"> a sklady č. 21, 22 23, 24</w:t>
      </w:r>
      <w:r w:rsidR="008165DB">
        <w:rPr>
          <w:rFonts w:ascii="Times New Roman" w:hAnsi="Times New Roman" w:cs="Times New Roman"/>
          <w:sz w:val="24"/>
          <w:szCs w:val="24"/>
        </w:rPr>
        <w:t xml:space="preserve"> </w:t>
      </w:r>
      <w:r w:rsidR="00040347">
        <w:rPr>
          <w:rFonts w:ascii="Times New Roman" w:hAnsi="Times New Roman" w:cs="Times New Roman"/>
          <w:sz w:val="24"/>
          <w:szCs w:val="24"/>
        </w:rPr>
        <w:t xml:space="preserve">s chodbou o celkové výměře 45 </w:t>
      </w:r>
      <w:r w:rsidR="007E369D" w:rsidRPr="007E369D">
        <w:rPr>
          <w:rFonts w:ascii="Times New Roman" w:hAnsi="Times New Roman" w:cs="Times New Roman"/>
          <w:sz w:val="24"/>
          <w:szCs w:val="24"/>
        </w:rPr>
        <w:t>m</w:t>
      </w:r>
      <w:r w:rsidR="007E369D" w:rsidRPr="007E3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7E369D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 xml:space="preserve">v objektu občanské vybavenosti </w:t>
      </w:r>
      <w:proofErr w:type="gramStart"/>
      <w:r w:rsidR="00C52741" w:rsidRPr="007E369D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C52741" w:rsidRPr="007E369D">
        <w:rPr>
          <w:rFonts w:ascii="Times New Roman" w:hAnsi="Times New Roman" w:cs="Times New Roman"/>
          <w:sz w:val="24"/>
          <w:szCs w:val="24"/>
        </w:rPr>
        <w:t xml:space="preserve"> 353, ulici Jana Černého  v Hradci Králové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 s možností přístupu klientů </w:t>
      </w:r>
      <w:r w:rsidR="000E6746" w:rsidRPr="007E369D">
        <w:rPr>
          <w:rFonts w:ascii="Times New Roman" w:hAnsi="Times New Roman" w:cs="Times New Roman"/>
          <w:sz w:val="24"/>
          <w:szCs w:val="24"/>
        </w:rPr>
        <w:lastRenderedPageBreak/>
        <w:t>nájemce. Grafické vymezení pronajatých prostor</w:t>
      </w:r>
      <w:r w:rsidR="00C52741" w:rsidRPr="007E369D">
        <w:rPr>
          <w:rFonts w:ascii="Times New Roman" w:hAnsi="Times New Roman" w:cs="Times New Roman"/>
          <w:sz w:val="24"/>
          <w:szCs w:val="24"/>
        </w:rPr>
        <w:t>u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je přílohou této smlouvy. </w:t>
      </w:r>
      <w:r w:rsidR="00C52741" w:rsidRPr="007E369D">
        <w:rPr>
          <w:rFonts w:ascii="Times New Roman" w:hAnsi="Times New Roman" w:cs="Times New Roman"/>
          <w:sz w:val="24"/>
          <w:szCs w:val="24"/>
        </w:rPr>
        <w:t xml:space="preserve">Pokud součástí nebytových prostor </w:t>
      </w:r>
      <w:proofErr w:type="gramStart"/>
      <w:r w:rsidR="00C52741" w:rsidRPr="007E369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C52741" w:rsidRPr="007E369D">
        <w:rPr>
          <w:rFonts w:ascii="Times New Roman" w:hAnsi="Times New Roman" w:cs="Times New Roman"/>
          <w:sz w:val="24"/>
          <w:szCs w:val="24"/>
        </w:rPr>
        <w:t xml:space="preserve"> jejich vybavenost soupis vybavenosti tvoří přílohu této smlouvy.</w:t>
      </w:r>
    </w:p>
    <w:p w:rsidR="00A00D89" w:rsidRPr="00004CB1" w:rsidRDefault="00C52741" w:rsidP="00D45388">
      <w:pPr>
        <w:pStyle w:val="Nadpis2"/>
        <w:ind w:left="644" w:hanging="502"/>
      </w:pPr>
      <w:r w:rsidRPr="00C52741">
        <w:rPr>
          <w:rFonts w:cs="Times New Roman"/>
          <w:szCs w:val="24"/>
        </w:rPr>
        <w:t xml:space="preserve"> </w:t>
      </w:r>
      <w:r w:rsidR="00A00D89" w:rsidRPr="00D45388">
        <w:t>Článek 3.</w:t>
      </w:r>
    </w:p>
    <w:p w:rsidR="00A00D89" w:rsidRPr="00A00D89" w:rsidRDefault="00A00D89" w:rsidP="00B61E55">
      <w:pPr>
        <w:pStyle w:val="Nadpis2"/>
        <w:ind w:left="644" w:hanging="502"/>
      </w:pPr>
      <w:r>
        <w:t>Účel nájmu</w:t>
      </w:r>
    </w:p>
    <w:p w:rsidR="00A00D89" w:rsidRPr="00A00D89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0042D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hAnsi="Times New Roman" w:cs="Times New Roman"/>
          <w:sz w:val="24"/>
          <w:szCs w:val="24"/>
        </w:rPr>
        <w:t>Nájemce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0042D">
        <w:rPr>
          <w:rFonts w:ascii="Times New Roman" w:hAnsi="Times New Roman" w:cs="Times New Roman"/>
          <w:sz w:val="24"/>
          <w:szCs w:val="24"/>
        </w:rPr>
        <w:t>ávněn shora uvedené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</w:t>
      </w:r>
      <w:r w:rsidR="006A69A8">
        <w:rPr>
          <w:rFonts w:ascii="Times New Roman" w:hAnsi="Times New Roman" w:cs="Times New Roman"/>
          <w:sz w:val="24"/>
          <w:szCs w:val="24"/>
        </w:rPr>
        <w:t>nebytové prostory</w:t>
      </w:r>
      <w:r w:rsidR="0010042D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>
        <w:rPr>
          <w:rFonts w:ascii="Times New Roman" w:hAnsi="Times New Roman" w:cs="Times New Roman"/>
          <w:sz w:val="24"/>
          <w:szCs w:val="24"/>
        </w:rPr>
        <w:t>činnosti</w:t>
      </w:r>
      <w:r w:rsidR="00B36D73">
        <w:rPr>
          <w:rFonts w:ascii="Times New Roman" w:hAnsi="Times New Roman" w:cs="Times New Roman"/>
          <w:sz w:val="24"/>
          <w:szCs w:val="24"/>
        </w:rPr>
        <w:t xml:space="preserve"> a to výhradně ke skladování</w:t>
      </w:r>
      <w:r w:rsidR="00040347">
        <w:rPr>
          <w:rFonts w:ascii="Times New Roman" w:hAnsi="Times New Roman" w:cs="Times New Roman"/>
          <w:sz w:val="24"/>
          <w:szCs w:val="24"/>
        </w:rPr>
        <w:t xml:space="preserve"> zboží a materiálu</w:t>
      </w:r>
      <w:r w:rsidR="00B36D73">
        <w:rPr>
          <w:rFonts w:ascii="Times New Roman" w:hAnsi="Times New Roman" w:cs="Times New Roman"/>
          <w:sz w:val="24"/>
          <w:szCs w:val="24"/>
        </w:rPr>
        <w:t>.</w:t>
      </w:r>
    </w:p>
    <w:p w:rsidR="00DC6FFF" w:rsidRPr="004C640D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C640D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4C640D">
        <w:rPr>
          <w:rFonts w:ascii="Times New Roman" w:hAnsi="Times New Roman" w:cs="Times New Roman"/>
          <w:sz w:val="24"/>
          <w:szCs w:val="24"/>
        </w:rPr>
        <w:t>povinnos</w:t>
      </w:r>
      <w:r w:rsidR="00A00D89">
        <w:rPr>
          <w:rFonts w:ascii="Times New Roman" w:hAnsi="Times New Roman" w:cs="Times New Roman"/>
          <w:sz w:val="24"/>
          <w:szCs w:val="24"/>
        </w:rPr>
        <w:t xml:space="preserve">tí dle odst. </w:t>
      </w:r>
      <w:proofErr w:type="gramStart"/>
      <w:r w:rsidR="00A00D89">
        <w:rPr>
          <w:rFonts w:ascii="Times New Roman" w:hAnsi="Times New Roman" w:cs="Times New Roman"/>
          <w:sz w:val="24"/>
          <w:szCs w:val="24"/>
        </w:rPr>
        <w:t>3</w:t>
      </w:r>
      <w:r w:rsidR="002D4722" w:rsidRPr="004C640D">
        <w:rPr>
          <w:rFonts w:ascii="Times New Roman" w:hAnsi="Times New Roman" w:cs="Times New Roman"/>
          <w:sz w:val="24"/>
          <w:szCs w:val="24"/>
        </w:rPr>
        <w:t>.</w:t>
      </w:r>
      <w:r w:rsidR="007A0200" w:rsidRPr="004C640D">
        <w:rPr>
          <w:rFonts w:ascii="Times New Roman" w:hAnsi="Times New Roman" w:cs="Times New Roman"/>
          <w:sz w:val="24"/>
          <w:szCs w:val="24"/>
        </w:rPr>
        <w:t>1</w:t>
      </w:r>
      <w:r w:rsidR="002D4722" w:rsidRPr="004C640D">
        <w:rPr>
          <w:rFonts w:ascii="Times New Roman" w:hAnsi="Times New Roman" w:cs="Times New Roman"/>
          <w:sz w:val="24"/>
          <w:szCs w:val="24"/>
        </w:rPr>
        <w:t>. této</w:t>
      </w:r>
      <w:proofErr w:type="gramEnd"/>
      <w:r w:rsidR="002D4722" w:rsidRPr="004C640D">
        <w:rPr>
          <w:rFonts w:ascii="Times New Roman" w:hAnsi="Times New Roman" w:cs="Times New Roman"/>
          <w:sz w:val="24"/>
          <w:szCs w:val="24"/>
        </w:rPr>
        <w:t xml:space="preserve"> smlouvy je p</w:t>
      </w:r>
      <w:r w:rsidR="00422D74" w:rsidRPr="004C640D">
        <w:rPr>
          <w:rFonts w:ascii="Times New Roman" w:hAnsi="Times New Roman" w:cs="Times New Roman"/>
          <w:sz w:val="24"/>
          <w:szCs w:val="24"/>
        </w:rPr>
        <w:t>ro</w:t>
      </w:r>
      <w:r w:rsidR="002D4722" w:rsidRPr="004C640D">
        <w:rPr>
          <w:rFonts w:ascii="Times New Roman" w:hAnsi="Times New Roman" w:cs="Times New Roman"/>
          <w:sz w:val="24"/>
          <w:szCs w:val="24"/>
        </w:rPr>
        <w:t>najímatel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4C640D">
        <w:rPr>
          <w:rFonts w:ascii="Times New Roman" w:hAnsi="Times New Roman" w:cs="Times New Roman"/>
          <w:sz w:val="24"/>
          <w:szCs w:val="24"/>
        </w:rPr>
        <w:t>90 dnů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4C640D">
        <w:rPr>
          <w:rFonts w:ascii="Times New Roman" w:hAnsi="Times New Roman" w:cs="Times New Roman"/>
          <w:sz w:val="24"/>
          <w:szCs w:val="24"/>
        </w:rPr>
        <w:t>nájemc</w:t>
      </w:r>
      <w:r w:rsidR="00422D74" w:rsidRPr="004C640D">
        <w:rPr>
          <w:rFonts w:ascii="Times New Roman" w:hAnsi="Times New Roman" w:cs="Times New Roman"/>
          <w:sz w:val="24"/>
          <w:szCs w:val="24"/>
        </w:rPr>
        <w:t>i</w:t>
      </w:r>
      <w:r w:rsidR="00F82E79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4C640D">
        <w:rPr>
          <w:rFonts w:ascii="Times New Roman" w:hAnsi="Times New Roman" w:cs="Times New Roman"/>
          <w:sz w:val="24"/>
          <w:szCs w:val="24"/>
        </w:rPr>
        <w:t>.</w:t>
      </w:r>
    </w:p>
    <w:p w:rsidR="00422D74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422D74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>
        <w:rPr>
          <w:rFonts w:ascii="Times New Roman" w:hAnsi="Times New Roman" w:cs="Times New Roman"/>
          <w:sz w:val="24"/>
          <w:szCs w:val="24"/>
        </w:rPr>
        <w:t>nebytového prostoru</w:t>
      </w:r>
      <w:r w:rsidR="00422D74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>
        <w:rPr>
          <w:rFonts w:ascii="Times New Roman" w:hAnsi="Times New Roman" w:cs="Times New Roman"/>
          <w:sz w:val="24"/>
          <w:szCs w:val="24"/>
        </w:rPr>
        <w:t>ý</w:t>
      </w:r>
      <w:r w:rsidR="00422D74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>
        <w:rPr>
          <w:rFonts w:ascii="Times New Roman" w:hAnsi="Times New Roman" w:cs="Times New Roman"/>
          <w:sz w:val="24"/>
          <w:szCs w:val="24"/>
        </w:rPr>
        <w:t xml:space="preserve"> dle odst. </w:t>
      </w:r>
      <w:proofErr w:type="gramStart"/>
      <w:r w:rsidR="00A00D89">
        <w:rPr>
          <w:rFonts w:ascii="Times New Roman" w:hAnsi="Times New Roman" w:cs="Times New Roman"/>
          <w:sz w:val="24"/>
          <w:szCs w:val="24"/>
        </w:rPr>
        <w:t>3</w:t>
      </w:r>
      <w:r w:rsidR="00422D74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="00422D74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004CB1" w:rsidRDefault="00422D74" w:rsidP="00B61E55">
      <w:pPr>
        <w:pStyle w:val="Nadpis2"/>
        <w:ind w:left="644" w:hanging="502"/>
      </w:pPr>
      <w:r w:rsidRPr="00004CB1">
        <w:t xml:space="preserve">Článek </w:t>
      </w:r>
      <w:r w:rsidR="00A00D89">
        <w:t>4</w:t>
      </w:r>
      <w:r w:rsidRPr="00004CB1">
        <w:t>.</w:t>
      </w:r>
    </w:p>
    <w:p w:rsidR="00422D74" w:rsidRPr="00004CB1" w:rsidRDefault="00703B8E" w:rsidP="00B61E55">
      <w:pPr>
        <w:pStyle w:val="Nadpis2"/>
        <w:ind w:left="644" w:hanging="502"/>
      </w:pPr>
      <w:r>
        <w:t>Práva a povinnosti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41E9B" w:rsidRPr="00741E9B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04A32" w:rsidRDefault="00A04A32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04A32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užívat nebytové prostory v souladu s touto smlouvou a plnit povinnosti s užíváním nebytových prostor spojených.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pronajaté nebytové prostory či jejich část k užívání či požívání třetí osobě, zřizovat k nim věcná břemena ani je dát do zástavy.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4.2.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dní od doručení písemné výpovědi nájemci, která počíná běžet 1. dne následujícího po doručení výpovědi, a požadovat  na nájemci zaplacení smluvní pokuty ve výši rovnající se ročnímu nájemnému za nebytové prostory dle čl. 6. této smlouvy za každý jednotlivý případ porušení povinnosti nájemcem.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se zavazuje majetek užívat v souladu s obecně právními předpisy zejména s předpisy bezpečnosti práce a požární ochrany, hygieny udržovat jej ve stavu, v jakém byl předán a řídit se pokyny pronajímatele a jeho zaměstnanců/správce objektu.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dbát na to, aby užíváním předmětu nájmu neobtěžoval nad míru obvyklou uživatele okolních nemovitostí a dbát na to, aby jeho zaměstnanci, zákazníci a obchodní partneři, kteří s jeho souhlasem předmět nájmu navštěvují, uživatele okolních nemovitostí neobtěžovali. 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 a kohouty technologických zařízení objektu, která se nacházejí v pronajímaných prostorách.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prostor, s výjimkou bodů </w:t>
      </w:r>
      <w:proofErr w:type="gramStart"/>
      <w:r>
        <w:rPr>
          <w:rFonts w:ascii="Times New Roman" w:hAnsi="Times New Roman" w:cs="Times New Roman"/>
          <w:sz w:val="24"/>
          <w:szCs w:val="24"/>
        </w:rPr>
        <w:t>4.7</w:t>
      </w:r>
      <w:proofErr w:type="gramEnd"/>
      <w:r>
        <w:rPr>
          <w:rFonts w:ascii="Times New Roman" w:hAnsi="Times New Roman" w:cs="Times New Roman"/>
          <w:sz w:val="24"/>
          <w:szCs w:val="24"/>
        </w:rPr>
        <w:t>. a 4.8. této smlouvy, řádný a nerušený výkon nájemních práv po celou dobu nájmu, bez přerušení a v souladu s podmínkami této smlouvy.</w:t>
      </w:r>
    </w:p>
    <w:p w:rsidR="00741E9B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422D74" w:rsidRPr="00D45388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P</w:t>
      </w:r>
      <w:r w:rsidR="00A04A32" w:rsidRPr="00D45388">
        <w:rPr>
          <w:rFonts w:ascii="Times New Roman" w:hAnsi="Times New Roman" w:cs="Times New Roman"/>
          <w:sz w:val="24"/>
          <w:szCs w:val="24"/>
        </w:rPr>
        <w:t xml:space="preserve">ronajímatel je povinen zajistit dodávky elektrické energie a vody, zajistit odvod použité vody, zajistit odvoz tuhého domovního odpadu, zajistit dodávky tepla, zajistit osvětlení společných </w:t>
      </w:r>
      <w:proofErr w:type="gramStart"/>
      <w:r w:rsidR="00A04A32" w:rsidRPr="00D45388">
        <w:rPr>
          <w:rFonts w:ascii="Times New Roman" w:hAnsi="Times New Roman" w:cs="Times New Roman"/>
          <w:sz w:val="24"/>
          <w:szCs w:val="24"/>
        </w:rPr>
        <w:t>prostor,  zajistit</w:t>
      </w:r>
      <w:proofErr w:type="gramEnd"/>
      <w:r w:rsidR="00A04A32" w:rsidRPr="00D45388">
        <w:rPr>
          <w:rFonts w:ascii="Times New Roman" w:hAnsi="Times New Roman" w:cs="Times New Roman"/>
          <w:sz w:val="24"/>
          <w:szCs w:val="24"/>
        </w:rPr>
        <w:t xml:space="preserve"> přístup k sociálním zařízením a odpovídající poměrovou výši těchto všech nákladů požadovat jako refundaci po nájemci dle bodu 6.</w:t>
      </w:r>
      <w:r w:rsidR="00A337EE" w:rsidRPr="00D45388">
        <w:rPr>
          <w:rFonts w:ascii="Times New Roman" w:hAnsi="Times New Roman" w:cs="Times New Roman"/>
          <w:sz w:val="24"/>
          <w:szCs w:val="24"/>
        </w:rPr>
        <w:t>1</w:t>
      </w:r>
      <w:r w:rsidR="00A04A32" w:rsidRPr="00D45388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D45388">
        <w:rPr>
          <w:rFonts w:ascii="Times New Roman" w:hAnsi="Times New Roman" w:cs="Times New Roman"/>
          <w:sz w:val="24"/>
          <w:szCs w:val="24"/>
        </w:rPr>
        <w:t>3.</w:t>
      </w:r>
    </w:p>
    <w:p w:rsidR="00422D74" w:rsidRPr="002A03D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5</w:t>
      </w:r>
      <w:r w:rsidRPr="002A03D7">
        <w:t>.</w:t>
      </w:r>
    </w:p>
    <w:p w:rsidR="00004CB1" w:rsidRPr="002A03D7" w:rsidRDefault="009D2399" w:rsidP="00B61E55">
      <w:pPr>
        <w:pStyle w:val="Nadpis2"/>
        <w:ind w:left="644" w:hanging="502"/>
      </w:pPr>
      <w:r>
        <w:t>Doba nájmu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Default="0005675C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>Nájem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se uzavírá na dobu určitou a to od </w:t>
      </w:r>
      <w:proofErr w:type="gramStart"/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D97E3D" w:rsidRPr="00565346">
        <w:rPr>
          <w:rFonts w:ascii="Times New Roman" w:hAnsi="Times New Roman" w:cs="Times New Roman"/>
          <w:sz w:val="24"/>
          <w:szCs w:val="24"/>
        </w:rPr>
        <w:t>1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04CB1" w:rsidRPr="00565346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565346">
        <w:rPr>
          <w:rFonts w:ascii="Times New Roman" w:hAnsi="Times New Roman" w:cs="Times New Roman"/>
          <w:sz w:val="24"/>
          <w:szCs w:val="24"/>
        </w:rPr>
        <w:t>3</w:t>
      </w:r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356B16" w:rsidRPr="00565346">
        <w:rPr>
          <w:rFonts w:ascii="Times New Roman" w:hAnsi="Times New Roman" w:cs="Times New Roman"/>
          <w:sz w:val="24"/>
          <w:szCs w:val="24"/>
        </w:rPr>
        <w:t>12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</w:p>
    <w:p w:rsidR="00004CB1" w:rsidRPr="00565346" w:rsidRDefault="00565346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 xml:space="preserve">Nájem je možné </w:t>
      </w:r>
      <w:r w:rsidR="00712064">
        <w:rPr>
          <w:rFonts w:ascii="Times New Roman" w:hAnsi="Times New Roman" w:cs="Times New Roman"/>
          <w:sz w:val="24"/>
          <w:szCs w:val="24"/>
        </w:rPr>
        <w:t xml:space="preserve">písemně prodloužit formou písemného </w:t>
      </w:r>
      <w:r w:rsidRPr="00565346">
        <w:rPr>
          <w:rFonts w:ascii="Times New Roman" w:hAnsi="Times New Roman" w:cs="Times New Roman"/>
          <w:sz w:val="24"/>
          <w:szCs w:val="24"/>
        </w:rPr>
        <w:t>dodatku ke smlouvě s tím, že celková maximální doba smluvního vztahu s týmž nájemcem nepřesáhne 8 let.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B1" w:rsidRDefault="00004CB1" w:rsidP="00A04A32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vtah se však dle předchozího odstavce neprodlouží v případě, že k poslednímu dni jeho trvání dle této smlouvy má </w:t>
      </w:r>
      <w:r w:rsidR="0005675C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5675C">
        <w:rPr>
          <w:rFonts w:ascii="Times New Roman" w:hAnsi="Times New Roman" w:cs="Times New Roman"/>
          <w:sz w:val="24"/>
          <w:szCs w:val="24"/>
        </w:rPr>
        <w:t>nájemcem</w:t>
      </w:r>
      <w:r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531FB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67"/>
        <w:gridCol w:w="1787"/>
        <w:gridCol w:w="1779"/>
        <w:gridCol w:w="1896"/>
        <w:gridCol w:w="1667"/>
      </w:tblGrid>
      <w:tr w:rsidR="00531FB1" w:rsidTr="008E4913">
        <w:tc>
          <w:tcPr>
            <w:tcW w:w="8896" w:type="dxa"/>
            <w:gridSpan w:val="5"/>
          </w:tcPr>
          <w:p w:rsidR="00531FB1" w:rsidRPr="00A337EE" w:rsidRDefault="00D4538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Tr="008E4913">
        <w:tc>
          <w:tcPr>
            <w:tcW w:w="17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8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79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B06B1" w:rsidRPr="00DB06B1" w:rsidTr="008E4913">
        <w:tc>
          <w:tcPr>
            <w:tcW w:w="1767" w:type="dxa"/>
          </w:tcPr>
          <w:p w:rsidR="00531FB1" w:rsidRPr="00DB06B1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Místnost</w:t>
            </w:r>
          </w:p>
        </w:tc>
        <w:tc>
          <w:tcPr>
            <w:tcW w:w="1787" w:type="dxa"/>
          </w:tcPr>
          <w:p w:rsidR="00531FB1" w:rsidRPr="00DB06B1" w:rsidRDefault="00531FB1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8E4" w:rsidRPr="00DB0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531FB1" w:rsidRPr="00DB06B1" w:rsidRDefault="000638E4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896" w:type="dxa"/>
          </w:tcPr>
          <w:p w:rsidR="00531FB1" w:rsidRPr="00DB06B1" w:rsidRDefault="000638E4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3E437B" w:rsidRPr="00DB0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DB06B1" w:rsidRDefault="000638E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4 455</w:t>
            </w:r>
            <w:r w:rsidR="00531FB1" w:rsidRPr="00DB0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DB06B1" w:rsidTr="008E4913">
        <w:tc>
          <w:tcPr>
            <w:tcW w:w="1767" w:type="dxa"/>
          </w:tcPr>
          <w:p w:rsidR="00F12323" w:rsidRPr="00DB06B1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87" w:type="dxa"/>
          </w:tcPr>
          <w:p w:rsidR="00F12323" w:rsidRPr="00DB06B1" w:rsidRDefault="00200EDD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9" w:type="dxa"/>
          </w:tcPr>
          <w:p w:rsidR="00F12323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6" w:type="dxa"/>
          </w:tcPr>
          <w:p w:rsidR="00F12323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12323" w:rsidRPr="00DB0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F12323" w:rsidRPr="00DB06B1" w:rsidRDefault="000638E4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F12323" w:rsidRPr="00DB0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DB06B1" w:rsidTr="008E4913">
        <w:tc>
          <w:tcPr>
            <w:tcW w:w="1767" w:type="dxa"/>
          </w:tcPr>
          <w:p w:rsidR="00200EDD" w:rsidRPr="00DB06B1" w:rsidRDefault="00200EDD">
            <w:r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87" w:type="dxa"/>
          </w:tcPr>
          <w:p w:rsidR="00200EDD" w:rsidRPr="00DB06B1" w:rsidRDefault="00200EDD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</w:tcPr>
          <w:p w:rsidR="00200EDD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6" w:type="dxa"/>
          </w:tcPr>
          <w:p w:rsidR="00200EDD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67" w:type="dxa"/>
          </w:tcPr>
          <w:p w:rsidR="00200EDD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DB06B1" w:rsidRPr="00DB06B1" w:rsidTr="008E4913">
        <w:tc>
          <w:tcPr>
            <w:tcW w:w="1767" w:type="dxa"/>
          </w:tcPr>
          <w:p w:rsidR="00200EDD" w:rsidRPr="00DB06B1" w:rsidRDefault="00200EDD">
            <w:r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87" w:type="dxa"/>
          </w:tcPr>
          <w:p w:rsidR="00200EDD" w:rsidRPr="00DB06B1" w:rsidRDefault="00200EDD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:rsidR="00200EDD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6" w:type="dxa"/>
          </w:tcPr>
          <w:p w:rsidR="00200EDD" w:rsidRPr="00DB06B1" w:rsidRDefault="00200EDD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67" w:type="dxa"/>
          </w:tcPr>
          <w:p w:rsidR="00200EDD" w:rsidRPr="00DB06B1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DB06B1" w:rsidRPr="00DB06B1" w:rsidTr="008E4913">
        <w:tc>
          <w:tcPr>
            <w:tcW w:w="1767" w:type="dxa"/>
          </w:tcPr>
          <w:p w:rsidR="00200EDD" w:rsidRPr="00DB06B1" w:rsidRDefault="00200EDD">
            <w:r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87" w:type="dxa"/>
          </w:tcPr>
          <w:p w:rsidR="00200EDD" w:rsidRPr="00DB06B1" w:rsidRDefault="00200EDD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:rsidR="00200EDD" w:rsidRPr="00DB06B1" w:rsidRDefault="00200EDD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6" w:type="dxa"/>
          </w:tcPr>
          <w:p w:rsidR="00200EDD" w:rsidRPr="00DB06B1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67" w:type="dxa"/>
          </w:tcPr>
          <w:p w:rsidR="00200EDD" w:rsidRPr="00DB06B1" w:rsidRDefault="00200EDD" w:rsidP="00200ED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DB06B1" w:rsidRPr="00DB06B1" w:rsidTr="008E4913">
        <w:tc>
          <w:tcPr>
            <w:tcW w:w="1767" w:type="dxa"/>
          </w:tcPr>
          <w:p w:rsidR="000638E4" w:rsidRPr="00DB06B1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Chodba</w:t>
            </w:r>
          </w:p>
        </w:tc>
        <w:tc>
          <w:tcPr>
            <w:tcW w:w="1787" w:type="dxa"/>
          </w:tcPr>
          <w:p w:rsidR="000638E4" w:rsidRPr="00DB06B1" w:rsidRDefault="00200EDD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9" w:type="dxa"/>
          </w:tcPr>
          <w:p w:rsidR="000638E4" w:rsidRPr="00DB06B1" w:rsidRDefault="00200EDD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96" w:type="dxa"/>
          </w:tcPr>
          <w:p w:rsidR="000638E4" w:rsidRPr="00DB06B1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67" w:type="dxa"/>
          </w:tcPr>
          <w:p w:rsidR="000638E4" w:rsidRPr="00DB06B1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DB06B1" w:rsidRPr="00DB06B1" w:rsidTr="008E4913">
        <w:tc>
          <w:tcPr>
            <w:tcW w:w="1767" w:type="dxa"/>
          </w:tcPr>
          <w:p w:rsidR="00531FB1" w:rsidRPr="00DB06B1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787" w:type="dxa"/>
          </w:tcPr>
          <w:p w:rsidR="00531FB1" w:rsidRPr="00DB06B1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6 místností</w:t>
            </w:r>
          </w:p>
        </w:tc>
        <w:tc>
          <w:tcPr>
            <w:tcW w:w="1779" w:type="dxa"/>
          </w:tcPr>
          <w:p w:rsidR="00531FB1" w:rsidRPr="00DB06B1" w:rsidRDefault="000638E4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53,10</w:t>
            </w:r>
          </w:p>
        </w:tc>
        <w:tc>
          <w:tcPr>
            <w:tcW w:w="1896" w:type="dxa"/>
          </w:tcPr>
          <w:p w:rsidR="00531FB1" w:rsidRPr="00DB06B1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667" w:type="dxa"/>
          </w:tcPr>
          <w:p w:rsidR="00531FB1" w:rsidRPr="00DB06B1" w:rsidRDefault="00200EDD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22 205,00</w:t>
            </w:r>
          </w:p>
        </w:tc>
      </w:tr>
      <w:tr w:rsidR="00DB06B1" w:rsidRPr="00DB06B1" w:rsidTr="008E4913">
        <w:tc>
          <w:tcPr>
            <w:tcW w:w="1767" w:type="dxa"/>
          </w:tcPr>
          <w:p w:rsidR="00200EDD" w:rsidRPr="00DB06B1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200EDD" w:rsidRPr="00DB06B1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00EDD" w:rsidRPr="00DB06B1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DB06B1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667" w:type="dxa"/>
          </w:tcPr>
          <w:p w:rsidR="00200EDD" w:rsidRPr="00DB06B1" w:rsidRDefault="00200EDD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1 850,00</w:t>
            </w:r>
          </w:p>
        </w:tc>
      </w:tr>
    </w:tbl>
    <w:p w:rsidR="003E437B" w:rsidRPr="00DB06B1" w:rsidRDefault="00512510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6B1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DB06B1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DB06B1">
        <w:rPr>
          <w:rFonts w:ascii="Times New Roman" w:hAnsi="Times New Roman" w:cs="Times New Roman"/>
          <w:sz w:val="24"/>
          <w:szCs w:val="24"/>
        </w:rPr>
        <w:t xml:space="preserve"> </w:t>
      </w:r>
      <w:r w:rsidR="00200EDD" w:rsidRPr="00DB06B1">
        <w:rPr>
          <w:rFonts w:ascii="Times New Roman" w:hAnsi="Times New Roman" w:cs="Times New Roman"/>
          <w:sz w:val="24"/>
          <w:szCs w:val="24"/>
        </w:rPr>
        <w:t>1</w:t>
      </w:r>
      <w:r w:rsidR="009D4383" w:rsidRPr="00DB06B1">
        <w:rPr>
          <w:rFonts w:ascii="Times New Roman" w:hAnsi="Times New Roman" w:cs="Times New Roman"/>
          <w:sz w:val="24"/>
          <w:szCs w:val="24"/>
        </w:rPr>
        <w:t> </w:t>
      </w:r>
      <w:r w:rsidR="00200EDD" w:rsidRPr="00DB06B1">
        <w:rPr>
          <w:rFonts w:ascii="Times New Roman" w:hAnsi="Times New Roman" w:cs="Times New Roman"/>
          <w:sz w:val="24"/>
          <w:szCs w:val="24"/>
        </w:rPr>
        <w:t>850</w:t>
      </w:r>
      <w:r w:rsidR="00A337EE" w:rsidRPr="00DB06B1">
        <w:rPr>
          <w:rFonts w:ascii="Times New Roman" w:hAnsi="Times New Roman" w:cs="Times New Roman"/>
          <w:sz w:val="24"/>
          <w:szCs w:val="24"/>
        </w:rPr>
        <w:t xml:space="preserve">,00 Kč/ měsíc tj. </w:t>
      </w:r>
      <w:r w:rsidR="00200EDD" w:rsidRPr="00DB06B1">
        <w:rPr>
          <w:rFonts w:ascii="Times New Roman" w:hAnsi="Times New Roman" w:cs="Times New Roman"/>
          <w:sz w:val="24"/>
          <w:szCs w:val="24"/>
        </w:rPr>
        <w:t>22</w:t>
      </w:r>
      <w:r w:rsidR="00F12323" w:rsidRPr="00DB06B1">
        <w:rPr>
          <w:rFonts w:ascii="Times New Roman" w:hAnsi="Times New Roman" w:cs="Times New Roman"/>
          <w:sz w:val="24"/>
          <w:szCs w:val="24"/>
        </w:rPr>
        <w:t> </w:t>
      </w:r>
      <w:r w:rsidR="00200EDD" w:rsidRPr="00DB06B1">
        <w:rPr>
          <w:rFonts w:ascii="Times New Roman" w:hAnsi="Times New Roman" w:cs="Times New Roman"/>
          <w:sz w:val="24"/>
          <w:szCs w:val="24"/>
        </w:rPr>
        <w:t>205</w:t>
      </w:r>
      <w:r w:rsidR="00F12323" w:rsidRPr="00DB06B1">
        <w:rPr>
          <w:rFonts w:ascii="Times New Roman" w:hAnsi="Times New Roman" w:cs="Times New Roman"/>
          <w:sz w:val="24"/>
          <w:szCs w:val="24"/>
        </w:rPr>
        <w:t>,</w:t>
      </w:r>
      <w:r w:rsidR="00200EDD" w:rsidRPr="00DB06B1">
        <w:rPr>
          <w:rFonts w:ascii="Times New Roman" w:hAnsi="Times New Roman" w:cs="Times New Roman"/>
          <w:sz w:val="24"/>
          <w:szCs w:val="24"/>
        </w:rPr>
        <w:t>0</w:t>
      </w:r>
      <w:r w:rsidR="00F12323" w:rsidRPr="00DB06B1">
        <w:rPr>
          <w:rFonts w:ascii="Times New Roman" w:hAnsi="Times New Roman" w:cs="Times New Roman"/>
          <w:sz w:val="24"/>
          <w:szCs w:val="24"/>
        </w:rPr>
        <w:t>0</w:t>
      </w:r>
      <w:r w:rsidR="00A337EE" w:rsidRPr="00DB06B1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DB0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7B" w:rsidRPr="00DB06B1" w:rsidRDefault="003E437B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DB06B1" w:rsidRPr="00DB06B1" w:rsidTr="008E4913">
        <w:tc>
          <w:tcPr>
            <w:tcW w:w="3118" w:type="dxa"/>
            <w:vAlign w:val="center"/>
          </w:tcPr>
          <w:p w:rsidR="00D303AC" w:rsidRPr="00DB06B1" w:rsidRDefault="00A337EE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03AC"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DB06B1" w:rsidRDefault="00D303AC" w:rsidP="002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Započitatelná </w:t>
            </w:r>
            <w:proofErr w:type="spellStart"/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. plocha: </w:t>
            </w:r>
            <w:r w:rsidR="00200EDD"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>53,10</w:t>
            </w:r>
            <w:r w:rsidRPr="00DB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DB06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DB06B1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B06B1" w:rsidRPr="00DB06B1" w:rsidTr="008E4913">
        <w:tc>
          <w:tcPr>
            <w:tcW w:w="3118" w:type="dxa"/>
          </w:tcPr>
          <w:p w:rsidR="00D303AC" w:rsidRPr="00DB06B1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DB06B1" w:rsidRDefault="00B857A7" w:rsidP="0070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0F32" w:rsidRPr="00DB06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DB06B1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="00200EDD"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. měř. </w:t>
            </w:r>
            <w:proofErr w:type="spellStart"/>
            <w:proofErr w:type="gramStart"/>
            <w:r w:rsidR="00200EDD" w:rsidRPr="00DB06B1">
              <w:rPr>
                <w:rFonts w:ascii="Times New Roman" w:hAnsi="Times New Roman" w:cs="Times New Roman"/>
                <w:sz w:val="24"/>
                <w:szCs w:val="24"/>
              </w:rPr>
              <w:t>č.GJ</w:t>
            </w:r>
            <w:proofErr w:type="spellEnd"/>
            <w:proofErr w:type="gramEnd"/>
            <w:r w:rsidR="00200EDD"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303AC" w:rsidRPr="00DB06B1" w:rsidRDefault="00200ED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323" w:rsidRPr="00DB06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303AC" w:rsidRPr="00DB0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DB06B1" w:rsidTr="008E4913">
        <w:tc>
          <w:tcPr>
            <w:tcW w:w="3118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. měř. P)</w:t>
            </w:r>
          </w:p>
        </w:tc>
        <w:tc>
          <w:tcPr>
            <w:tcW w:w="2693" w:type="dxa"/>
          </w:tcPr>
          <w:p w:rsidR="00200EDD" w:rsidRPr="00DB06B1" w:rsidRDefault="00C355B9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EDD" w:rsidRPr="00DB06B1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B06B1" w:rsidRPr="00DB06B1" w:rsidTr="008E4913">
        <w:tc>
          <w:tcPr>
            <w:tcW w:w="3118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200EDD" w:rsidRPr="00DB06B1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. elektro. č. 41/E)</w:t>
            </w:r>
          </w:p>
        </w:tc>
        <w:tc>
          <w:tcPr>
            <w:tcW w:w="2693" w:type="dxa"/>
          </w:tcPr>
          <w:p w:rsidR="00200EDD" w:rsidRPr="00DB06B1" w:rsidRDefault="00200EDD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B06B1" w:rsidRPr="00DB06B1" w:rsidTr="008E4913">
        <w:tc>
          <w:tcPr>
            <w:tcW w:w="3118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200EDD" w:rsidRPr="00DB06B1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DB06B1" w:rsidRDefault="00200ED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DB06B1" w:rsidRPr="00DB06B1" w:rsidTr="008E4913">
        <w:tc>
          <w:tcPr>
            <w:tcW w:w="3118" w:type="dxa"/>
          </w:tcPr>
          <w:p w:rsidR="00200EDD" w:rsidRPr="00DB06B1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DB06B1" w:rsidRDefault="00C355B9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  <w:r w:rsidR="00200EDD" w:rsidRPr="00DB0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DB06B1" w:rsidTr="008E4913">
        <w:tc>
          <w:tcPr>
            <w:tcW w:w="3118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119" w:type="dxa"/>
          </w:tcPr>
          <w:p w:rsidR="00200EDD" w:rsidRPr="00630988" w:rsidRDefault="00200EDD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2693" w:type="dxa"/>
          </w:tcPr>
          <w:p w:rsidR="00200EDD" w:rsidRPr="00630988" w:rsidRDefault="00200EDD" w:rsidP="00C355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355B9"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>36 860</w:t>
            </w:r>
            <w:r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B06B1" w:rsidRPr="00DB06B1" w:rsidTr="008E4913">
        <w:tc>
          <w:tcPr>
            <w:tcW w:w="3118" w:type="dxa"/>
          </w:tcPr>
          <w:p w:rsidR="00200EDD" w:rsidRPr="00DB06B1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630988" w:rsidRDefault="00200EDD" w:rsidP="006C5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693" w:type="dxa"/>
          </w:tcPr>
          <w:p w:rsidR="00200EDD" w:rsidRPr="00630988" w:rsidRDefault="00C355B9" w:rsidP="00C355B9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8">
              <w:rPr>
                <w:rFonts w:ascii="Times New Roman" w:hAnsi="Times New Roman" w:cs="Times New Roman"/>
                <w:b/>
                <w:sz w:val="24"/>
                <w:szCs w:val="24"/>
              </w:rPr>
              <w:t>3 072,00</w:t>
            </w:r>
          </w:p>
        </w:tc>
      </w:tr>
    </w:tbl>
    <w:bookmarkEnd w:id="0"/>
    <w:p w:rsidR="00D303AC" w:rsidRPr="00DB06B1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06B1">
        <w:rPr>
          <w:rFonts w:ascii="Times New Roman" w:hAnsi="Times New Roman" w:cs="Times New Roman"/>
          <w:sz w:val="24"/>
          <w:szCs w:val="24"/>
        </w:rPr>
        <w:t xml:space="preserve">Nájemce se zavazuje platit zálohy na refundaci služeb za pronajaté prostory (úhrada za elektrickou energii, topení, vodné, stočné, teplou vodu, osvětlení společných prostor, údržba, odvoz odpadků), a to v měsíční částce </w:t>
      </w:r>
      <w:r w:rsidR="00C355B9" w:rsidRPr="00DB06B1">
        <w:rPr>
          <w:rFonts w:ascii="Times New Roman" w:hAnsi="Times New Roman" w:cs="Times New Roman"/>
          <w:sz w:val="24"/>
          <w:szCs w:val="24"/>
        </w:rPr>
        <w:t>3</w:t>
      </w:r>
      <w:r w:rsidR="00B857A7" w:rsidRPr="00DB06B1">
        <w:rPr>
          <w:rFonts w:ascii="Times New Roman" w:hAnsi="Times New Roman" w:cs="Times New Roman"/>
          <w:sz w:val="24"/>
          <w:szCs w:val="24"/>
        </w:rPr>
        <w:t> </w:t>
      </w:r>
      <w:r w:rsidR="00C355B9" w:rsidRPr="00DB06B1">
        <w:rPr>
          <w:rFonts w:ascii="Times New Roman" w:hAnsi="Times New Roman" w:cs="Times New Roman"/>
          <w:sz w:val="24"/>
          <w:szCs w:val="24"/>
        </w:rPr>
        <w:t>072</w:t>
      </w:r>
      <w:r w:rsidR="00F12323" w:rsidRPr="00DB06B1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C355B9" w:rsidRPr="00DB06B1">
        <w:rPr>
          <w:rFonts w:ascii="Times New Roman" w:hAnsi="Times New Roman" w:cs="Times New Roman"/>
          <w:sz w:val="24"/>
          <w:szCs w:val="24"/>
        </w:rPr>
        <w:t>36 860,</w:t>
      </w:r>
      <w:r w:rsidR="00F12323" w:rsidRPr="00DB06B1">
        <w:rPr>
          <w:rFonts w:ascii="Times New Roman" w:hAnsi="Times New Roman" w:cs="Times New Roman"/>
          <w:sz w:val="24"/>
          <w:szCs w:val="24"/>
        </w:rPr>
        <w:t>-</w:t>
      </w:r>
      <w:r w:rsidRPr="00DB06B1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DB06B1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6B1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činní </w:t>
      </w:r>
      <w:r w:rsidR="00C355B9" w:rsidRPr="00DB06B1">
        <w:rPr>
          <w:rFonts w:ascii="Times New Roman" w:hAnsi="Times New Roman" w:cs="Times New Roman"/>
          <w:sz w:val="24"/>
          <w:szCs w:val="24"/>
        </w:rPr>
        <w:t>4</w:t>
      </w:r>
      <w:r w:rsidR="00B857A7" w:rsidRPr="00DB06B1">
        <w:rPr>
          <w:rFonts w:ascii="Times New Roman" w:hAnsi="Times New Roman" w:cs="Times New Roman"/>
          <w:sz w:val="24"/>
          <w:szCs w:val="24"/>
        </w:rPr>
        <w:t> </w:t>
      </w:r>
      <w:r w:rsidR="00C355B9" w:rsidRPr="00DB06B1">
        <w:rPr>
          <w:rFonts w:ascii="Times New Roman" w:hAnsi="Times New Roman" w:cs="Times New Roman"/>
          <w:sz w:val="24"/>
          <w:szCs w:val="24"/>
        </w:rPr>
        <w:t>925</w:t>
      </w:r>
      <w:r w:rsidR="006C5B94" w:rsidRPr="00DB06B1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C355B9" w:rsidRPr="00DB06B1">
        <w:rPr>
          <w:rFonts w:ascii="Times New Roman" w:hAnsi="Times New Roman" w:cs="Times New Roman"/>
          <w:sz w:val="24"/>
          <w:szCs w:val="24"/>
        </w:rPr>
        <w:t>59</w:t>
      </w:r>
      <w:r w:rsidR="00B857A7" w:rsidRPr="00DB06B1">
        <w:rPr>
          <w:rFonts w:ascii="Times New Roman" w:hAnsi="Times New Roman" w:cs="Times New Roman"/>
          <w:sz w:val="24"/>
          <w:szCs w:val="24"/>
        </w:rPr>
        <w:t> </w:t>
      </w:r>
      <w:r w:rsidR="00C355B9" w:rsidRPr="00DB06B1">
        <w:rPr>
          <w:rFonts w:ascii="Times New Roman" w:hAnsi="Times New Roman" w:cs="Times New Roman"/>
          <w:sz w:val="24"/>
          <w:szCs w:val="24"/>
        </w:rPr>
        <w:t>065</w:t>
      </w:r>
      <w:r w:rsidRPr="00DB06B1">
        <w:rPr>
          <w:rFonts w:ascii="Times New Roman" w:hAnsi="Times New Roman" w:cs="Times New Roman"/>
          <w:sz w:val="24"/>
          <w:szCs w:val="24"/>
        </w:rPr>
        <w:t>,</w:t>
      </w:r>
      <w:r w:rsidR="00C355B9" w:rsidRPr="00DB06B1">
        <w:rPr>
          <w:rFonts w:ascii="Times New Roman" w:hAnsi="Times New Roman" w:cs="Times New Roman"/>
          <w:sz w:val="24"/>
          <w:szCs w:val="24"/>
        </w:rPr>
        <w:t>-</w:t>
      </w:r>
      <w:r w:rsidR="00B857A7" w:rsidRPr="00DB06B1">
        <w:rPr>
          <w:rFonts w:ascii="Times New Roman" w:hAnsi="Times New Roman" w:cs="Times New Roman"/>
          <w:sz w:val="24"/>
          <w:szCs w:val="24"/>
        </w:rPr>
        <w:t xml:space="preserve"> </w:t>
      </w:r>
      <w:r w:rsidRPr="00DB06B1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DB06B1">
        <w:rPr>
          <w:rFonts w:ascii="Times New Roman" w:hAnsi="Times New Roman" w:cs="Times New Roman"/>
          <w:sz w:val="24"/>
          <w:szCs w:val="24"/>
        </w:rPr>
        <w:t>Úhrada za nájem a refun</w:t>
      </w:r>
      <w:r w:rsidR="009D4383" w:rsidRPr="00DB06B1">
        <w:rPr>
          <w:rFonts w:ascii="Times New Roman" w:hAnsi="Times New Roman" w:cs="Times New Roman"/>
          <w:sz w:val="24"/>
          <w:szCs w:val="24"/>
        </w:rPr>
        <w:t>d</w:t>
      </w:r>
      <w:r w:rsidR="00A337EE" w:rsidRPr="00DB06B1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C355B9" w:rsidRPr="00DB06B1">
        <w:rPr>
          <w:rFonts w:ascii="Times New Roman" w:hAnsi="Times New Roman" w:cs="Times New Roman"/>
          <w:sz w:val="24"/>
          <w:szCs w:val="24"/>
        </w:rPr>
        <w:t>4</w:t>
      </w:r>
      <w:r w:rsidR="00B857A7" w:rsidRPr="00DB06B1">
        <w:rPr>
          <w:rFonts w:ascii="Times New Roman" w:hAnsi="Times New Roman" w:cs="Times New Roman"/>
          <w:sz w:val="24"/>
          <w:szCs w:val="24"/>
        </w:rPr>
        <w:t> </w:t>
      </w:r>
      <w:r w:rsidR="00C355B9" w:rsidRPr="00DB06B1">
        <w:rPr>
          <w:rFonts w:ascii="Times New Roman" w:hAnsi="Times New Roman" w:cs="Times New Roman"/>
          <w:sz w:val="24"/>
          <w:szCs w:val="24"/>
        </w:rPr>
        <w:t>925</w:t>
      </w:r>
      <w:r w:rsidR="00A337EE" w:rsidRPr="00DB06B1">
        <w:rPr>
          <w:rFonts w:ascii="Times New Roman" w:hAnsi="Times New Roman" w:cs="Times New Roman"/>
          <w:sz w:val="24"/>
          <w:szCs w:val="24"/>
        </w:rPr>
        <w:t>,00 Kč splatná vždy do patnáctého dne každého příslušného kalendářního měsíce na bankovní účet pronajímatele č. 20439061/0710 vedený u ČNB variabilní symbol 6034010</w:t>
      </w:r>
      <w:r w:rsidR="00C355B9" w:rsidRPr="00DB06B1">
        <w:rPr>
          <w:rFonts w:ascii="Times New Roman" w:hAnsi="Times New Roman" w:cs="Times New Roman"/>
          <w:sz w:val="24"/>
          <w:szCs w:val="24"/>
        </w:rPr>
        <w:t>8</w:t>
      </w:r>
      <w:r w:rsidR="00D45388" w:rsidRPr="00DB06B1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o DPH, se 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>
        <w:rPr>
          <w:rFonts w:ascii="Times New Roman" w:hAnsi="Times New Roman" w:cs="Times New Roman"/>
          <w:sz w:val="24"/>
          <w:szCs w:val="24"/>
        </w:rPr>
        <w:t>započitatelné plochy pronajatých prostor k úhrnu započitatelné plochy (</w:t>
      </w:r>
      <w:r w:rsidR="00C16131">
        <w:rPr>
          <w:rFonts w:ascii="Times New Roman" w:hAnsi="Times New Roman" w:cs="Times New Roman"/>
          <w:sz w:val="24"/>
          <w:szCs w:val="24"/>
        </w:rPr>
        <w:t>bez podružného měření) v budově</w:t>
      </w:r>
    </w:p>
    <w:p w:rsidR="00512510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C16131">
        <w:rPr>
          <w:rFonts w:ascii="Times New Roman" w:hAnsi="Times New Roman" w:cs="Times New Roman"/>
          <w:sz w:val="24"/>
          <w:szCs w:val="24"/>
        </w:rPr>
        <w:t>poměru podlahových plochy pronajatých prostor k úhrnu pronajaté podlahové plochy (bez podružného měření v budově).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>
        <w:rPr>
          <w:rFonts w:ascii="Times New Roman" w:hAnsi="Times New Roman" w:cs="Times New Roman"/>
          <w:sz w:val="24"/>
          <w:szCs w:val="24"/>
        </w:rPr>
        <w:t>dle poměru podlahových plochy pronajatých prostor k úhrnu pronajaté podlahové plochy (bez podružného měření v budově)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proofErr w:type="gramStart"/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této smlouvy.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 budou vyúčtován</w:t>
      </w:r>
      <w:r w:rsidR="00D453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:rsidR="00D45388" w:rsidRDefault="006C5B94" w:rsidP="00D453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CD4593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:rsidR="006C5B94" w:rsidRPr="006C5B94" w:rsidRDefault="006C5B94" w:rsidP="006C5B9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za předmět nájmu je dle ustanovení § 56a odst. 1 zák. č. 235/2015 Sb., o dani z přidané hodnoty osvobozeným plněním od DPH. Stanovenou roční výši nájemného může pronajímatel upravit o poměr podle oficiálně vyhlašované míry inflace vyjádřené podle oficiálních údajů Českého statistického úřadu, v případě že od posledního ročního stanovení výše částky došlo ke změně míry inflace o minimálně 3 %.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hrazeného formou přeúčtování nákladů dle § 36 odst. 11 zákona o DPH.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>
        <w:rPr>
          <w:rFonts w:ascii="Times New Roman" w:hAnsi="Times New Roman" w:cs="Times New Roman"/>
          <w:sz w:val="24"/>
          <w:szCs w:val="24"/>
        </w:rPr>
        <w:t>nebytových prostor</w:t>
      </w:r>
      <w:r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:rsidR="00C56801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D3560" w:rsidRDefault="00DD3560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2A03D7" w:rsidRDefault="00A46087" w:rsidP="00B61E55">
      <w:pPr>
        <w:pStyle w:val="Nadpis2"/>
        <w:ind w:left="644" w:hanging="502"/>
      </w:pPr>
      <w:r w:rsidRPr="002A03D7">
        <w:t xml:space="preserve">Článek </w:t>
      </w:r>
      <w:r w:rsidR="00A00D89">
        <w:t>7</w:t>
      </w:r>
      <w:r w:rsidRPr="002A03D7">
        <w:t>.</w:t>
      </w:r>
    </w:p>
    <w:p w:rsidR="00A46087" w:rsidRDefault="00A46087" w:rsidP="00B61E55">
      <w:pPr>
        <w:pStyle w:val="Nadpis2"/>
        <w:ind w:left="644" w:hanging="502"/>
      </w:pPr>
      <w:r>
        <w:t>Úpravy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512510">
      <w:pPr>
        <w:pStyle w:val="Odstavecseseznamem"/>
        <w:numPr>
          <w:ilvl w:val="1"/>
          <w:numId w:val="1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písemného předchozího souhlasu pronajímatele jakékoliv změny, úpravy či opravy nebytových prostor. Při porušení této povinnosti je pronajímatel oprávněn vypovědět tuto smlouvu s výpovědní dobou 90 dnů od doručení písemné výpovědi nájemci, která počíná běžet 1. dne následujícího po doručení </w:t>
      </w:r>
      <w:r w:rsidRPr="00741E9B">
        <w:rPr>
          <w:rFonts w:ascii="Times New Roman" w:hAnsi="Times New Roman" w:cs="Times New Roman"/>
          <w:sz w:val="24"/>
          <w:szCs w:val="24"/>
        </w:rPr>
        <w:lastRenderedPageBreak/>
        <w:t xml:space="preserve">výpovědi, a požadovat na nájemci zaplacení smluvní pokuty ve výši rovnající se ročnímu nájemnému nebytových prostor dle čl. 6. této smlouvy. </w:t>
      </w:r>
    </w:p>
    <w:p w:rsidR="00996BCA" w:rsidRPr="00741E9B" w:rsidRDefault="00741E9B" w:rsidP="00512510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>Nájemce je oprávněn požadovat při skončení této smlouvy po pronajímateli náhradu za provedené změny, úpravy či investice do pronajatého nebytového prostoru pouze v případě, že se k tomu pronajímatel výslovně písemně zavázal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996BCA" w:rsidRPr="002A03D7" w:rsidRDefault="00996BCA" w:rsidP="00B61E55">
      <w:pPr>
        <w:pStyle w:val="Nadpis2"/>
        <w:ind w:left="644" w:hanging="502"/>
      </w:pPr>
      <w:r w:rsidRPr="002A03D7">
        <w:t xml:space="preserve">Článek </w:t>
      </w:r>
      <w:r w:rsidR="00A00D89">
        <w:t>8</w:t>
      </w:r>
      <w:r w:rsidRPr="002A03D7">
        <w:t>.</w:t>
      </w:r>
    </w:p>
    <w:p w:rsidR="00996BCA" w:rsidRDefault="00996BCA" w:rsidP="00B61E55">
      <w:pPr>
        <w:pStyle w:val="Nadpis2"/>
        <w:ind w:left="644" w:hanging="502"/>
      </w:pPr>
      <w:r>
        <w:t>Pořádek a vyklizení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udržovat pořádek v pronajatých nebytových prostorech a v jejich okolí.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>
        <w:rPr>
          <w:rFonts w:ascii="Times New Roman" w:hAnsi="Times New Roman" w:cs="Times New Roman"/>
          <w:sz w:val="24"/>
          <w:szCs w:val="24"/>
        </w:rPr>
        <w:t>8.1.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dnů od doručení písemné výpovědi nájemci, která počíná běžet 1. dne následujícího po doručení výpovědi, a požadovat na nájemci zaplacení smluvní pokuty ve výši 500,- Kč 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pětset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českých) za každý den prodlení, kterou je nájemce  povinen zaplatit pronajímateli. 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nejpozději poslední den doby nájmu nebytové prostory vyklidit a vyklizený předat pronajímateli ve stavu, v jakém pronajaté nebytové prostory převzal, s přihlédnutím k obvyklému opotřebení. </w:t>
      </w:r>
    </w:p>
    <w:p w:rsidR="00C16131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 w:rsidRPr="00741E9B">
        <w:rPr>
          <w:rFonts w:ascii="Times New Roman" w:hAnsi="Times New Roman" w:cs="Times New Roman"/>
          <w:sz w:val="24"/>
          <w:szCs w:val="24"/>
        </w:rPr>
        <w:t>8.3. této</w:t>
      </w:r>
      <w:proofErr w:type="gramEnd"/>
      <w:r w:rsidRPr="00741E9B"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 nebytových prostor dle čl. 6. této smlouvy a zajistit splnění povinnosti vyklidit pronajatý nebytový prostor na náklady nájemce tak, že dojde k odstranění a likvidaci všech věcí a jejich součástí dle předchozího odstavce. Smluvní strany se dohodly, že pronajímatel je oprávněn v případě prodlení vyklizení nebytových prostor nájemcem nebytové prostory vyklidit a věci nájemce nechat uskladnit, to vše na náklad nájemce</w:t>
      </w:r>
      <w:r w:rsidR="008165DB">
        <w:rPr>
          <w:rFonts w:ascii="Times New Roman" w:hAnsi="Times New Roman" w:cs="Times New Roman"/>
          <w:sz w:val="24"/>
          <w:szCs w:val="24"/>
        </w:rPr>
        <w:t>.</w:t>
      </w:r>
    </w:p>
    <w:p w:rsidR="00C16131" w:rsidRDefault="00C16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04B5" w:rsidRPr="00741E9B" w:rsidRDefault="009104B5" w:rsidP="00C1613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541A91" w:rsidRDefault="009104B5" w:rsidP="00B61E55">
      <w:pPr>
        <w:pStyle w:val="Nadpis2"/>
        <w:ind w:left="644" w:hanging="502"/>
      </w:pPr>
      <w:r w:rsidRPr="00541A91">
        <w:t xml:space="preserve">Článek </w:t>
      </w:r>
      <w:r w:rsidR="00A00D89">
        <w:t>9</w:t>
      </w:r>
      <w:r w:rsidRPr="00541A91">
        <w:t>.</w:t>
      </w:r>
    </w:p>
    <w:p w:rsidR="009104B5" w:rsidRDefault="009104B5" w:rsidP="00B61E55">
      <w:pPr>
        <w:pStyle w:val="Nadpis2"/>
        <w:ind w:left="644" w:hanging="502"/>
      </w:pPr>
      <w:r w:rsidRPr="00541A91">
        <w:t>Smluvní pokuty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3504C1" w:rsidRDefault="009104B5" w:rsidP="00512510">
      <w:pPr>
        <w:pStyle w:val="Odstavecseseznamem"/>
        <w:numPr>
          <w:ilvl w:val="1"/>
          <w:numId w:val="1"/>
        </w:numPr>
        <w:ind w:left="363" w:hanging="505"/>
        <w:jc w:val="both"/>
        <w:rPr>
          <w:rFonts w:ascii="Times New Roman" w:hAnsi="Times New Roman" w:cs="Times New Roman"/>
          <w:sz w:val="24"/>
          <w:szCs w:val="24"/>
        </w:rPr>
      </w:pPr>
      <w:r w:rsidRPr="003504C1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3504C1">
        <w:rPr>
          <w:rFonts w:ascii="Times New Roman" w:hAnsi="Times New Roman" w:cs="Times New Roman"/>
          <w:sz w:val="24"/>
          <w:szCs w:val="24"/>
        </w:rPr>
        <w:t xml:space="preserve"> právo</w:t>
      </w:r>
      <w:r w:rsidRPr="003504C1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3504C1">
        <w:rPr>
          <w:rFonts w:ascii="Times New Roman" w:hAnsi="Times New Roman" w:cs="Times New Roman"/>
          <w:sz w:val="24"/>
          <w:szCs w:val="24"/>
        </w:rPr>
        <w:t>,</w:t>
      </w:r>
      <w:r w:rsidRPr="003504C1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 ustanovení §</w:t>
      </w:r>
      <w:r w:rsidR="00AD1096" w:rsidRPr="003504C1">
        <w:rPr>
          <w:rFonts w:ascii="Times New Roman" w:hAnsi="Times New Roman" w:cs="Times New Roman"/>
          <w:sz w:val="24"/>
          <w:szCs w:val="24"/>
        </w:rPr>
        <w:t> </w:t>
      </w:r>
      <w:r w:rsidRPr="003504C1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2A03D7" w:rsidRDefault="009104B5" w:rsidP="00B61E55">
      <w:pPr>
        <w:pStyle w:val="Nadpis2"/>
        <w:ind w:left="644" w:hanging="502"/>
      </w:pPr>
      <w:r w:rsidRPr="002A03D7">
        <w:t xml:space="preserve">Článek </w:t>
      </w:r>
      <w:r w:rsidR="00A00D89">
        <w:t>10</w:t>
      </w:r>
      <w:r w:rsidRPr="002A03D7">
        <w:t>.</w:t>
      </w:r>
    </w:p>
    <w:p w:rsidR="009104B5" w:rsidRPr="00AD1096" w:rsidRDefault="009104B5" w:rsidP="00B61E55">
      <w:pPr>
        <w:pStyle w:val="Nadpis2"/>
        <w:ind w:left="644" w:hanging="502"/>
      </w:pPr>
      <w:r>
        <w:t>Skončení smlouvy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Default="007C7418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</w:t>
      </w:r>
      <w:r w:rsidR="009104B5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9104B5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D14">
        <w:rPr>
          <w:rFonts w:ascii="Times New Roman" w:hAnsi="Times New Roman" w:cs="Times New Roman"/>
          <w:sz w:val="24"/>
          <w:szCs w:val="24"/>
        </w:rPr>
        <w:t>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B5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>
        <w:rPr>
          <w:rFonts w:ascii="Times New Roman" w:hAnsi="Times New Roman" w:cs="Times New Roman"/>
          <w:sz w:val="24"/>
          <w:szCs w:val="24"/>
        </w:rPr>
        <w:t>nájemci</w:t>
      </w:r>
      <w:r w:rsidR="009104B5">
        <w:rPr>
          <w:rFonts w:ascii="Times New Roman" w:hAnsi="Times New Roman" w:cs="Times New Roman"/>
          <w:sz w:val="24"/>
          <w:szCs w:val="24"/>
        </w:rPr>
        <w:t xml:space="preserve"> písemnou výpověď, pokud není ve smlouvě sjednáno jinak, v případě hrubého porušení práv a povinností </w:t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9D2399">
        <w:rPr>
          <w:rFonts w:ascii="Times New Roman" w:hAnsi="Times New Roman" w:cs="Times New Roman"/>
          <w:sz w:val="24"/>
          <w:szCs w:val="24"/>
        </w:rPr>
        <w:t>, za které se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 xml:space="preserve">považuje zejména prodlení nájemce s placením nájemného delším jak 1 měsíc, pronájem </w:t>
      </w:r>
      <w:r w:rsidR="001E6C52">
        <w:rPr>
          <w:rFonts w:ascii="Times New Roman" w:hAnsi="Times New Roman" w:cs="Times New Roman"/>
          <w:sz w:val="24"/>
          <w:szCs w:val="24"/>
        </w:rPr>
        <w:t xml:space="preserve">nebytových prostor </w:t>
      </w:r>
      <w:r w:rsidR="009D2399">
        <w:rPr>
          <w:rFonts w:ascii="Times New Roman" w:hAnsi="Times New Roman" w:cs="Times New Roman"/>
          <w:sz w:val="24"/>
          <w:szCs w:val="24"/>
        </w:rPr>
        <w:t xml:space="preserve">jiným subjektům, </w:t>
      </w:r>
      <w:r w:rsidR="00A818BA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104B5">
        <w:rPr>
          <w:rFonts w:ascii="Times New Roman" w:hAnsi="Times New Roman" w:cs="Times New Roman"/>
          <w:sz w:val="24"/>
          <w:szCs w:val="24"/>
        </w:rPr>
        <w:t>doručení výpovědi.</w:t>
      </w:r>
    </w:p>
    <w:p w:rsidR="00C67D14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C67D14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C67D14">
        <w:rPr>
          <w:rFonts w:ascii="Times New Roman" w:hAnsi="Times New Roman" w:cs="Times New Roman"/>
          <w:sz w:val="24"/>
          <w:szCs w:val="24"/>
        </w:rPr>
        <w:t>.</w:t>
      </w:r>
    </w:p>
    <w:p w:rsidR="00986AF6" w:rsidRDefault="00986AF6" w:rsidP="00986AF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Default="00C67D14" w:rsidP="0057583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>
        <w:rPr>
          <w:rFonts w:ascii="Times New Roman" w:hAnsi="Times New Roman" w:cs="Times New Roman"/>
          <w:sz w:val="24"/>
          <w:szCs w:val="24"/>
        </w:rPr>
        <w:t>pronajímateli</w:t>
      </w:r>
      <w:r w:rsidRPr="00C67D14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>
        <w:rPr>
          <w:rFonts w:ascii="Times New Roman" w:hAnsi="Times New Roman" w:cs="Times New Roman"/>
          <w:sz w:val="24"/>
          <w:szCs w:val="24"/>
        </w:rPr>
        <w:t>s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>předmětnými pozemky uvedený</w:t>
      </w:r>
      <w:r w:rsidR="005E16A3">
        <w:rPr>
          <w:rFonts w:ascii="Times New Roman" w:hAnsi="Times New Roman" w:cs="Times New Roman"/>
          <w:sz w:val="24"/>
          <w:szCs w:val="24"/>
        </w:rPr>
        <w:t>mi</w:t>
      </w:r>
      <w:r w:rsidR="009D2399">
        <w:rPr>
          <w:rFonts w:ascii="Times New Roman" w:hAnsi="Times New Roman" w:cs="Times New Roman"/>
          <w:sz w:val="24"/>
          <w:szCs w:val="24"/>
        </w:rPr>
        <w:t xml:space="preserve"> ve smlouvě </w:t>
      </w:r>
      <w:r w:rsidR="002805A0">
        <w:rPr>
          <w:rFonts w:ascii="Times New Roman" w:hAnsi="Times New Roman" w:cs="Times New Roman"/>
          <w:sz w:val="24"/>
          <w:szCs w:val="24"/>
        </w:rPr>
        <w:t>z důvodu realizace privatizace. Den převodu předmětných pozemků na nového majitele stanoví Ministerstvo zemědělství.</w:t>
      </w:r>
    </w:p>
    <w:p w:rsidR="00A67AD2" w:rsidRPr="00A67AD2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2A03D7" w:rsidRDefault="002124B0" w:rsidP="00575831">
      <w:pPr>
        <w:pStyle w:val="Nadpis2"/>
        <w:ind w:left="644" w:hanging="502"/>
      </w:pPr>
      <w:r w:rsidRPr="002A03D7">
        <w:t xml:space="preserve">Článek </w:t>
      </w:r>
      <w:r>
        <w:t>1</w:t>
      </w:r>
      <w:r w:rsidR="00A00D89">
        <w:t>1</w:t>
      </w:r>
      <w:r w:rsidRPr="002A03D7">
        <w:t>.</w:t>
      </w:r>
    </w:p>
    <w:p w:rsidR="002124B0" w:rsidRDefault="00575831" w:rsidP="00575831">
      <w:pPr>
        <w:pStyle w:val="Nadpis2"/>
        <w:ind w:left="644" w:hanging="502"/>
      </w:pPr>
      <w:r>
        <w:t>Závěrečná u</w:t>
      </w:r>
      <w:r w:rsidR="000945CA">
        <w:t>stanovení</w:t>
      </w:r>
    </w:p>
    <w:p w:rsidR="003504C1" w:rsidRPr="003504C1" w:rsidRDefault="003504C1" w:rsidP="008E49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nahrazuje dosavadní smlouvy o nájmu nebytových prostor uzavřené mezi smluvními stranami. 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smluvních stran.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vztahy smluvních stran se řídí právními předpisy platnými na území České republiky, zejména pak zákonem č. 89/2012 Sb. v platném znění.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uzavřely svobodně a vážně a pokládají ji za určitou a srozumitelnou. Po jejím přečtení prohlašují, že s jejím zněním souhlasí, což stvrzují svými podpisy.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proofErr w:type="gramStart"/>
      <w:r w:rsidR="00B84A6E">
        <w:rPr>
          <w:rFonts w:ascii="Times New Roman" w:hAnsi="Times New Roman" w:cs="Times New Roman"/>
          <w:sz w:val="24"/>
          <w:szCs w:val="24"/>
        </w:rPr>
        <w:t>1.12.2016</w:t>
      </w:r>
      <w:proofErr w:type="gramEnd"/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E24D0D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DB06B1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F56C6E">
        <w:rPr>
          <w:rFonts w:ascii="Times New Roman" w:hAnsi="Times New Roman" w:cs="Times New Roman"/>
          <w:sz w:val="24"/>
          <w:szCs w:val="24"/>
        </w:rPr>
        <w:t xml:space="preserve">       </w:t>
      </w:r>
      <w:r w:rsidR="005278E8">
        <w:rPr>
          <w:rFonts w:ascii="Times New Roman" w:hAnsi="Times New Roman" w:cs="Times New Roman"/>
          <w:sz w:val="24"/>
          <w:szCs w:val="24"/>
        </w:rPr>
        <w:t>Jiří Jirout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 w:rsidP="008B0278">
      <w:pPr>
        <w:spacing w:after="0" w:line="240" w:lineRule="auto"/>
      </w:pPr>
      <w:r>
        <w:separator/>
      </w:r>
    </w:p>
  </w:endnote>
  <w:end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88">
          <w:rPr>
            <w:noProof/>
          </w:rPr>
          <w:t>8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 w:rsidP="008B0278">
      <w:pPr>
        <w:spacing w:after="0" w:line="240" w:lineRule="auto"/>
      </w:pPr>
      <w:r>
        <w:separator/>
      </w:r>
    </w:p>
  </w:footnote>
  <w:foot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5675C"/>
    <w:rsid w:val="000638E4"/>
    <w:rsid w:val="00087F3F"/>
    <w:rsid w:val="000945CA"/>
    <w:rsid w:val="000E6746"/>
    <w:rsid w:val="0010042D"/>
    <w:rsid w:val="00103DF8"/>
    <w:rsid w:val="00105C87"/>
    <w:rsid w:val="00135AA4"/>
    <w:rsid w:val="001711E3"/>
    <w:rsid w:val="00186C7B"/>
    <w:rsid w:val="001B495D"/>
    <w:rsid w:val="001B7EB5"/>
    <w:rsid w:val="001E2C2E"/>
    <w:rsid w:val="001E6C52"/>
    <w:rsid w:val="00200EDD"/>
    <w:rsid w:val="002124B0"/>
    <w:rsid w:val="002805A0"/>
    <w:rsid w:val="002A03D7"/>
    <w:rsid w:val="002A4A91"/>
    <w:rsid w:val="002D4722"/>
    <w:rsid w:val="002F3521"/>
    <w:rsid w:val="003504C1"/>
    <w:rsid w:val="00356B16"/>
    <w:rsid w:val="003C72C6"/>
    <w:rsid w:val="003E437B"/>
    <w:rsid w:val="004017F4"/>
    <w:rsid w:val="00422D74"/>
    <w:rsid w:val="00445D16"/>
    <w:rsid w:val="00470155"/>
    <w:rsid w:val="004A51F5"/>
    <w:rsid w:val="004C640D"/>
    <w:rsid w:val="004F26C4"/>
    <w:rsid w:val="00506968"/>
    <w:rsid w:val="005075F3"/>
    <w:rsid w:val="00512510"/>
    <w:rsid w:val="005278E8"/>
    <w:rsid w:val="00531FB1"/>
    <w:rsid w:val="00541A91"/>
    <w:rsid w:val="00554C13"/>
    <w:rsid w:val="0056133E"/>
    <w:rsid w:val="00565346"/>
    <w:rsid w:val="00575831"/>
    <w:rsid w:val="005E16A3"/>
    <w:rsid w:val="00630988"/>
    <w:rsid w:val="00680D8E"/>
    <w:rsid w:val="00695395"/>
    <w:rsid w:val="006A69A8"/>
    <w:rsid w:val="006C5B94"/>
    <w:rsid w:val="006F1C5F"/>
    <w:rsid w:val="00700F32"/>
    <w:rsid w:val="00703B8E"/>
    <w:rsid w:val="00712064"/>
    <w:rsid w:val="007361E6"/>
    <w:rsid w:val="00741E9B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25DE5"/>
    <w:rsid w:val="00864004"/>
    <w:rsid w:val="0089186F"/>
    <w:rsid w:val="008B0278"/>
    <w:rsid w:val="008C5DC2"/>
    <w:rsid w:val="008E4913"/>
    <w:rsid w:val="009104B5"/>
    <w:rsid w:val="009206F3"/>
    <w:rsid w:val="00930B06"/>
    <w:rsid w:val="0093466A"/>
    <w:rsid w:val="00986AF6"/>
    <w:rsid w:val="00996BCA"/>
    <w:rsid w:val="009D2399"/>
    <w:rsid w:val="009D3865"/>
    <w:rsid w:val="009D4383"/>
    <w:rsid w:val="009E27DB"/>
    <w:rsid w:val="009F5D00"/>
    <w:rsid w:val="00A00D89"/>
    <w:rsid w:val="00A04A32"/>
    <w:rsid w:val="00A337EE"/>
    <w:rsid w:val="00A46087"/>
    <w:rsid w:val="00A67AD2"/>
    <w:rsid w:val="00A818BA"/>
    <w:rsid w:val="00A83D09"/>
    <w:rsid w:val="00AA64AB"/>
    <w:rsid w:val="00AD1096"/>
    <w:rsid w:val="00AD39E6"/>
    <w:rsid w:val="00B20539"/>
    <w:rsid w:val="00B36D73"/>
    <w:rsid w:val="00B52633"/>
    <w:rsid w:val="00B61E55"/>
    <w:rsid w:val="00B84A6E"/>
    <w:rsid w:val="00B857A7"/>
    <w:rsid w:val="00BD4760"/>
    <w:rsid w:val="00C16131"/>
    <w:rsid w:val="00C355B9"/>
    <w:rsid w:val="00C52741"/>
    <w:rsid w:val="00C56801"/>
    <w:rsid w:val="00C67D14"/>
    <w:rsid w:val="00C867A3"/>
    <w:rsid w:val="00CB6832"/>
    <w:rsid w:val="00CD4593"/>
    <w:rsid w:val="00CE4823"/>
    <w:rsid w:val="00D07166"/>
    <w:rsid w:val="00D27DFD"/>
    <w:rsid w:val="00D303AC"/>
    <w:rsid w:val="00D33B18"/>
    <w:rsid w:val="00D45388"/>
    <w:rsid w:val="00D95540"/>
    <w:rsid w:val="00D97E3D"/>
    <w:rsid w:val="00DA1391"/>
    <w:rsid w:val="00DB06B1"/>
    <w:rsid w:val="00DC6FFF"/>
    <w:rsid w:val="00DD3560"/>
    <w:rsid w:val="00DE1F20"/>
    <w:rsid w:val="00DE2E2A"/>
    <w:rsid w:val="00E24D0D"/>
    <w:rsid w:val="00E41269"/>
    <w:rsid w:val="00E60B8D"/>
    <w:rsid w:val="00E8283A"/>
    <w:rsid w:val="00EC3391"/>
    <w:rsid w:val="00ED3929"/>
    <w:rsid w:val="00EE5434"/>
    <w:rsid w:val="00F12323"/>
    <w:rsid w:val="00F56C6E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EB5F-4361-4C24-81B5-564CDABF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2341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12</cp:revision>
  <cp:lastPrinted>2016-12-09T07:03:00Z</cp:lastPrinted>
  <dcterms:created xsi:type="dcterms:W3CDTF">2016-11-30T12:55:00Z</dcterms:created>
  <dcterms:modified xsi:type="dcterms:W3CDTF">2016-12-09T07:06:00Z</dcterms:modified>
</cp:coreProperties>
</file>