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MVDr. Marek Vaněk</w:t>
      </w:r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Mánesova 763/15</w:t>
      </w:r>
      <w:r w:rsidR="00466DA1">
        <w:rPr>
          <w:rFonts w:ascii="Times New Roman" w:hAnsi="Times New Roman" w:cs="Times New Roman"/>
          <w:sz w:val="24"/>
          <w:szCs w:val="24"/>
        </w:rPr>
        <w:t>, 50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66DA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6DA1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5460A0">
        <w:rPr>
          <w:rFonts w:ascii="Times New Roman" w:hAnsi="Times New Roman" w:cs="Times New Roman"/>
          <w:sz w:val="24"/>
          <w:szCs w:val="24"/>
        </w:rPr>
        <w:t>44556136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</w:t>
      </w:r>
      <w:r w:rsidR="005460A0">
        <w:rPr>
          <w:rFonts w:ascii="Times New Roman" w:hAnsi="Times New Roman" w:cs="Times New Roman"/>
          <w:sz w:val="24"/>
          <w:szCs w:val="24"/>
        </w:rPr>
        <w:t>6805282286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5460A0">
        <w:rPr>
          <w:rFonts w:ascii="Times New Roman" w:hAnsi="Times New Roman" w:cs="Times New Roman"/>
          <w:sz w:val="24"/>
          <w:szCs w:val="24"/>
        </w:rPr>
        <w:t>78-7773190207</w:t>
      </w:r>
      <w:r w:rsidR="00B52633">
        <w:rPr>
          <w:rFonts w:ascii="Times New Roman" w:hAnsi="Times New Roman" w:cs="Times New Roman"/>
          <w:sz w:val="24"/>
          <w:szCs w:val="24"/>
        </w:rPr>
        <w:t>/</w:t>
      </w:r>
      <w:r w:rsidR="005460A0">
        <w:rPr>
          <w:rFonts w:ascii="Times New Roman" w:hAnsi="Times New Roman" w:cs="Times New Roman"/>
          <w:sz w:val="24"/>
          <w:szCs w:val="24"/>
        </w:rPr>
        <w:t>01</w:t>
      </w:r>
      <w:r w:rsidR="00D72E36">
        <w:rPr>
          <w:rFonts w:ascii="Times New Roman" w:hAnsi="Times New Roman" w:cs="Times New Roman"/>
          <w:sz w:val="24"/>
          <w:szCs w:val="24"/>
        </w:rPr>
        <w:t>00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5460A0">
        <w:rPr>
          <w:rFonts w:ascii="Times New Roman" w:hAnsi="Times New Roman" w:cs="Times New Roman"/>
          <w:sz w:val="24"/>
          <w:szCs w:val="24"/>
        </w:rPr>
        <w:t>Komerční banky,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DE2E2A" w:rsidRPr="00DE2E2A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="00DE2E2A"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0E6746">
        <w:rPr>
          <w:rFonts w:ascii="Times New Roman" w:hAnsi="Times New Roman" w:cs="Times New Roman"/>
          <w:b/>
          <w:sz w:val="24"/>
          <w:szCs w:val="24"/>
        </w:rPr>
        <w:t>nebytových prostor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č. 0</w:t>
      </w:r>
      <w:r w:rsidR="005460A0">
        <w:rPr>
          <w:rFonts w:ascii="Times New Roman" w:hAnsi="Times New Roman" w:cs="Times New Roman"/>
          <w:b/>
          <w:sz w:val="24"/>
          <w:szCs w:val="24"/>
        </w:rPr>
        <w:t>8</w:t>
      </w:r>
      <w:r w:rsidR="000E6746">
        <w:rPr>
          <w:rFonts w:ascii="Times New Roman" w:hAnsi="Times New Roman" w:cs="Times New Roman"/>
          <w:b/>
          <w:sz w:val="24"/>
          <w:szCs w:val="24"/>
        </w:rPr>
        <w:t>/NB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Default="00DE2E2A" w:rsidP="00541A91">
      <w:pPr>
        <w:pStyle w:val="Nadpis2"/>
      </w:pPr>
      <w:r>
        <w:t>Článek 1.</w:t>
      </w:r>
    </w:p>
    <w:p w:rsidR="00DE2E2A" w:rsidRDefault="00A00D89" w:rsidP="00541A91">
      <w:pPr>
        <w:pStyle w:val="Nadpis2"/>
      </w:pPr>
      <w:r>
        <w:t>Úvodní ustanovení</w:t>
      </w:r>
    </w:p>
    <w:p w:rsidR="00DE2E2A" w:rsidRPr="000E6746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E6746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0E6746">
        <w:rPr>
          <w:rFonts w:ascii="Times New Roman" w:hAnsi="Times New Roman" w:cs="Times New Roman"/>
          <w:sz w:val="24"/>
          <w:szCs w:val="24"/>
        </w:rPr>
        <w:t xml:space="preserve"> prohlašuje, že je příslušný hospodařit s majetkem České republiky a jejím vystupování v právních vztazích a to kromě jiného také s</w:t>
      </w:r>
      <w:r w:rsidR="000E6746" w:rsidRPr="000E6746">
        <w:rPr>
          <w:rFonts w:ascii="Times New Roman" w:hAnsi="Times New Roman" w:cs="Times New Roman"/>
          <w:sz w:val="24"/>
          <w:szCs w:val="24"/>
        </w:rPr>
        <w:t xml:space="preserve"> objektem občanské vybavenosti  č.p. 353, ulice Jana Černého v Hradci Králové –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umístněného na stavební parcele st. 474 v </w:t>
      </w:r>
      <w:proofErr w:type="spellStart"/>
      <w:proofErr w:type="gramStart"/>
      <w:r w:rsidR="000E6746" w:rsidRPr="000E67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, obec Hradec Králové. Objekt se skládá s budovy zahrnující soubor místností a k tomu přilehlých pozemků. </w:t>
      </w:r>
      <w:r w:rsidR="00DC6FFF" w:rsidRPr="000E6746">
        <w:rPr>
          <w:rFonts w:ascii="Times New Roman" w:hAnsi="Times New Roman" w:cs="Times New Roman"/>
          <w:sz w:val="24"/>
          <w:szCs w:val="24"/>
        </w:rPr>
        <w:t>Nemovitost</w:t>
      </w:r>
      <w:r w:rsidR="00B52633" w:rsidRPr="000E6746">
        <w:rPr>
          <w:rFonts w:ascii="Times New Roman" w:hAnsi="Times New Roman" w:cs="Times New Roman"/>
          <w:sz w:val="24"/>
          <w:szCs w:val="24"/>
        </w:rPr>
        <w:t>i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j</w:t>
      </w:r>
      <w:r w:rsidR="00B52633" w:rsidRPr="000E6746">
        <w:rPr>
          <w:rFonts w:ascii="Times New Roman" w:hAnsi="Times New Roman" w:cs="Times New Roman"/>
          <w:sz w:val="24"/>
          <w:szCs w:val="24"/>
        </w:rPr>
        <w:t>sou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zapsán</w:t>
      </w:r>
      <w:r w:rsidR="00B52633" w:rsidRPr="000E6746">
        <w:rPr>
          <w:rFonts w:ascii="Times New Roman" w:hAnsi="Times New Roman" w:cs="Times New Roman"/>
          <w:sz w:val="24"/>
          <w:szCs w:val="24"/>
        </w:rPr>
        <w:t>y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v katastru nemovitostí vedeným Katastrálním úřadem pro Královohradecký kraj, Katastrální pracoviště Hradec Králové</w:t>
      </w:r>
      <w:r w:rsidR="00E60B8D" w:rsidRPr="000E6746">
        <w:rPr>
          <w:rFonts w:ascii="Times New Roman" w:hAnsi="Times New Roman" w:cs="Times New Roman"/>
          <w:sz w:val="24"/>
          <w:szCs w:val="24"/>
        </w:rPr>
        <w:t>,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a to na LV č. 11647 pro k.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DC6FFF" w:rsidRDefault="00DC6FFF" w:rsidP="00B61E55">
      <w:pPr>
        <w:pStyle w:val="Nadpis2"/>
        <w:ind w:left="644" w:hanging="502"/>
      </w:pPr>
    </w:p>
    <w:p w:rsidR="00DC6FFF" w:rsidRDefault="00DC6FFF" w:rsidP="00B61E55">
      <w:pPr>
        <w:pStyle w:val="Nadpis2"/>
        <w:ind w:left="644" w:hanging="502"/>
      </w:pPr>
      <w:r w:rsidRPr="00422D74">
        <w:t>Článek 2</w:t>
      </w:r>
      <w:r w:rsidR="00422D74">
        <w:t>.</w:t>
      </w:r>
    </w:p>
    <w:p w:rsidR="00F8627F" w:rsidRPr="00F8627F" w:rsidRDefault="00A00D89" w:rsidP="00B61E55">
      <w:pPr>
        <w:pStyle w:val="Nadpis2"/>
        <w:ind w:left="644" w:hanging="502"/>
      </w:pPr>
      <w:r>
        <w:t>Předmět</w:t>
      </w:r>
      <w:r w:rsidR="00F8627F">
        <w:t xml:space="preserve"> nájmu</w:t>
      </w:r>
    </w:p>
    <w:p w:rsidR="005075F3" w:rsidRPr="005075F3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45388" w:rsidRPr="00D45388" w:rsidRDefault="002D4722" w:rsidP="00B36D73">
      <w:pPr>
        <w:pStyle w:val="Odstavecseseznamem"/>
        <w:numPr>
          <w:ilvl w:val="1"/>
          <w:numId w:val="1"/>
        </w:numPr>
        <w:ind w:left="426" w:hanging="568"/>
        <w:jc w:val="both"/>
      </w:pPr>
      <w:r w:rsidRPr="007E369D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7E369D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7E369D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E6746" w:rsidRPr="007E369D">
        <w:rPr>
          <w:rFonts w:ascii="Times New Roman" w:hAnsi="Times New Roman" w:cs="Times New Roman"/>
          <w:sz w:val="24"/>
          <w:szCs w:val="24"/>
        </w:rPr>
        <w:t>soubor místností označené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5460A0">
        <w:rPr>
          <w:rFonts w:ascii="Times New Roman" w:hAnsi="Times New Roman" w:cs="Times New Roman"/>
          <w:sz w:val="24"/>
          <w:szCs w:val="24"/>
        </w:rPr>
        <w:t>zdravotí</w:t>
      </w:r>
      <w:proofErr w:type="spellEnd"/>
      <w:r w:rsidR="005460A0">
        <w:rPr>
          <w:rFonts w:ascii="Times New Roman" w:hAnsi="Times New Roman" w:cs="Times New Roman"/>
          <w:sz w:val="24"/>
          <w:szCs w:val="24"/>
        </w:rPr>
        <w:t xml:space="preserve"> prostory č. 012-015</w:t>
      </w:r>
      <w:r w:rsidR="00B66A0A">
        <w:rPr>
          <w:rFonts w:ascii="Times New Roman" w:hAnsi="Times New Roman" w:cs="Times New Roman"/>
          <w:sz w:val="24"/>
          <w:szCs w:val="24"/>
        </w:rPr>
        <w:t>;</w:t>
      </w:r>
      <w:r w:rsidR="005460A0">
        <w:rPr>
          <w:rFonts w:ascii="Times New Roman" w:hAnsi="Times New Roman" w:cs="Times New Roman"/>
          <w:sz w:val="24"/>
          <w:szCs w:val="24"/>
        </w:rPr>
        <w:t xml:space="preserve"> sklad č. 037;</w:t>
      </w:r>
      <w:r w:rsidR="00B66A0A">
        <w:rPr>
          <w:rFonts w:ascii="Times New Roman" w:hAnsi="Times New Roman" w:cs="Times New Roman"/>
          <w:sz w:val="24"/>
          <w:szCs w:val="24"/>
        </w:rPr>
        <w:t xml:space="preserve"> </w:t>
      </w:r>
      <w:r w:rsidR="005460A0">
        <w:rPr>
          <w:rFonts w:ascii="Times New Roman" w:hAnsi="Times New Roman" w:cs="Times New Roman"/>
          <w:sz w:val="24"/>
          <w:szCs w:val="24"/>
        </w:rPr>
        <w:t xml:space="preserve">sklady bez oken č. 016-019; ostatní prostory č. 09,010,015a,020,021 </w:t>
      </w:r>
      <w:r w:rsidR="00B66A0A">
        <w:rPr>
          <w:rFonts w:ascii="Times New Roman" w:hAnsi="Times New Roman" w:cs="Times New Roman"/>
          <w:sz w:val="24"/>
          <w:szCs w:val="24"/>
        </w:rPr>
        <w:t xml:space="preserve">025 o celkové výměře </w:t>
      </w:r>
      <w:r w:rsidR="005460A0">
        <w:rPr>
          <w:rFonts w:ascii="Times New Roman" w:hAnsi="Times New Roman" w:cs="Times New Roman"/>
          <w:sz w:val="24"/>
          <w:szCs w:val="24"/>
        </w:rPr>
        <w:t>205</w:t>
      </w:r>
      <w:r w:rsidR="00B66A0A">
        <w:rPr>
          <w:rFonts w:ascii="Times New Roman" w:hAnsi="Times New Roman" w:cs="Times New Roman"/>
          <w:sz w:val="24"/>
          <w:szCs w:val="24"/>
        </w:rPr>
        <w:t>,</w:t>
      </w:r>
      <w:r w:rsidR="005460A0">
        <w:rPr>
          <w:rFonts w:ascii="Times New Roman" w:hAnsi="Times New Roman" w:cs="Times New Roman"/>
          <w:sz w:val="24"/>
          <w:szCs w:val="24"/>
        </w:rPr>
        <w:t>22</w:t>
      </w:r>
      <w:r w:rsidR="00B66A0A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E369D">
        <w:rPr>
          <w:rFonts w:ascii="Times New Roman" w:hAnsi="Times New Roman" w:cs="Times New Roman"/>
          <w:sz w:val="24"/>
          <w:szCs w:val="24"/>
        </w:rPr>
        <w:t>m</w:t>
      </w:r>
      <w:r w:rsidR="007E369D"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7E369D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v objektu občanské vybavenosti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353, ulici Jana Černého  v Hradci Králové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 s možností přístupu klientů nájemce. Grafické vymezení </w:t>
      </w:r>
      <w:r w:rsidR="000E6746" w:rsidRPr="007E369D">
        <w:rPr>
          <w:rFonts w:ascii="Times New Roman" w:hAnsi="Times New Roman" w:cs="Times New Roman"/>
          <w:sz w:val="24"/>
          <w:szCs w:val="24"/>
        </w:rPr>
        <w:lastRenderedPageBreak/>
        <w:t>pronajatých prostor</w:t>
      </w:r>
      <w:r w:rsidR="00C52741" w:rsidRPr="007E369D">
        <w:rPr>
          <w:rFonts w:ascii="Times New Roman" w:hAnsi="Times New Roman" w:cs="Times New Roman"/>
          <w:sz w:val="24"/>
          <w:szCs w:val="24"/>
        </w:rPr>
        <w:t>u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je přílohou této smlouvy.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Pokud součástí nebytových prostor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jejich vybavenost soupis vybavenosti tvoří přílohu této smlouvy.</w:t>
      </w:r>
    </w:p>
    <w:p w:rsidR="00A00D89" w:rsidRPr="00004CB1" w:rsidRDefault="00C52741" w:rsidP="00D45388">
      <w:pPr>
        <w:pStyle w:val="Nadpis2"/>
        <w:ind w:left="644" w:hanging="502"/>
      </w:pPr>
      <w:r w:rsidRPr="00C52741">
        <w:rPr>
          <w:rFonts w:cs="Times New Roman"/>
          <w:szCs w:val="24"/>
        </w:rPr>
        <w:t xml:space="preserve"> </w:t>
      </w:r>
      <w:r w:rsidR="00A00D89" w:rsidRPr="00D45388">
        <w:t>Článek 3.</w:t>
      </w:r>
    </w:p>
    <w:p w:rsidR="00A00D89" w:rsidRPr="00A00D89" w:rsidRDefault="00A00D89" w:rsidP="00B61E55">
      <w:pPr>
        <w:pStyle w:val="Nadpis2"/>
        <w:ind w:left="644" w:hanging="502"/>
      </w:pPr>
      <w:r>
        <w:t>Účel nájmu</w:t>
      </w:r>
    </w:p>
    <w:p w:rsidR="00A00D89" w:rsidRPr="00A00D89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0042D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>Nájemce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0042D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  <w:r w:rsidR="006A69A8">
        <w:rPr>
          <w:rFonts w:ascii="Times New Roman" w:hAnsi="Times New Roman" w:cs="Times New Roman"/>
          <w:sz w:val="24"/>
          <w:szCs w:val="24"/>
        </w:rPr>
        <w:t>nebytové prostory</w:t>
      </w:r>
      <w:r w:rsidR="0010042D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>
        <w:rPr>
          <w:rFonts w:ascii="Times New Roman" w:hAnsi="Times New Roman" w:cs="Times New Roman"/>
          <w:sz w:val="24"/>
          <w:szCs w:val="24"/>
        </w:rPr>
        <w:t>činnosti</w:t>
      </w:r>
      <w:r w:rsidR="00B36D73">
        <w:rPr>
          <w:rFonts w:ascii="Times New Roman" w:hAnsi="Times New Roman" w:cs="Times New Roman"/>
          <w:sz w:val="24"/>
          <w:szCs w:val="24"/>
        </w:rPr>
        <w:t xml:space="preserve"> a to výhradně k</w:t>
      </w:r>
      <w:r w:rsidR="005460A0">
        <w:rPr>
          <w:rFonts w:ascii="Times New Roman" w:hAnsi="Times New Roman" w:cs="Times New Roman"/>
          <w:sz w:val="24"/>
          <w:szCs w:val="24"/>
        </w:rPr>
        <w:t> výkonu veterinární léčebné a preventivní činnosti</w:t>
      </w:r>
      <w:r w:rsidR="00B36D73">
        <w:rPr>
          <w:rFonts w:ascii="Times New Roman" w:hAnsi="Times New Roman" w:cs="Times New Roman"/>
          <w:sz w:val="24"/>
          <w:szCs w:val="24"/>
        </w:rPr>
        <w:t>.</w:t>
      </w:r>
    </w:p>
    <w:p w:rsidR="00DC6FFF" w:rsidRPr="004C640D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4C640D">
        <w:rPr>
          <w:rFonts w:ascii="Times New Roman" w:hAnsi="Times New Roman" w:cs="Times New Roman"/>
          <w:sz w:val="24"/>
          <w:szCs w:val="24"/>
        </w:rPr>
        <w:t>povinnos</w:t>
      </w:r>
      <w:r w:rsidR="00A00D89">
        <w:rPr>
          <w:rFonts w:ascii="Times New Roman" w:hAnsi="Times New Roman" w:cs="Times New Roman"/>
          <w:sz w:val="24"/>
          <w:szCs w:val="24"/>
        </w:rPr>
        <w:t xml:space="preserve">tí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2D4722" w:rsidRPr="004C640D">
        <w:rPr>
          <w:rFonts w:ascii="Times New Roman" w:hAnsi="Times New Roman" w:cs="Times New Roman"/>
          <w:sz w:val="24"/>
          <w:szCs w:val="24"/>
        </w:rPr>
        <w:t>.</w:t>
      </w:r>
      <w:r w:rsidR="007A0200" w:rsidRPr="004C640D">
        <w:rPr>
          <w:rFonts w:ascii="Times New Roman" w:hAnsi="Times New Roman" w:cs="Times New Roman"/>
          <w:sz w:val="24"/>
          <w:szCs w:val="24"/>
        </w:rPr>
        <w:t>1</w:t>
      </w:r>
      <w:r w:rsidR="002D4722" w:rsidRPr="004C640D">
        <w:rPr>
          <w:rFonts w:ascii="Times New Roman" w:hAnsi="Times New Roman" w:cs="Times New Roman"/>
          <w:sz w:val="24"/>
          <w:szCs w:val="24"/>
        </w:rPr>
        <w:t>. této</w:t>
      </w:r>
      <w:proofErr w:type="gramEnd"/>
      <w:r w:rsidR="002D4722" w:rsidRPr="004C640D">
        <w:rPr>
          <w:rFonts w:ascii="Times New Roman" w:hAnsi="Times New Roman" w:cs="Times New Roman"/>
          <w:sz w:val="24"/>
          <w:szCs w:val="24"/>
        </w:rPr>
        <w:t xml:space="preserve"> smlouvy je p</w:t>
      </w:r>
      <w:r w:rsidR="00422D74" w:rsidRPr="004C640D">
        <w:rPr>
          <w:rFonts w:ascii="Times New Roman" w:hAnsi="Times New Roman" w:cs="Times New Roman"/>
          <w:sz w:val="24"/>
          <w:szCs w:val="24"/>
        </w:rPr>
        <w:t>ro</w:t>
      </w:r>
      <w:r w:rsidR="002D4722" w:rsidRPr="004C640D">
        <w:rPr>
          <w:rFonts w:ascii="Times New Roman" w:hAnsi="Times New Roman" w:cs="Times New Roman"/>
          <w:sz w:val="24"/>
          <w:szCs w:val="24"/>
        </w:rPr>
        <w:t>najímatel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 dnů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4C640D">
        <w:rPr>
          <w:rFonts w:ascii="Times New Roman" w:hAnsi="Times New Roman" w:cs="Times New Roman"/>
          <w:sz w:val="24"/>
          <w:szCs w:val="24"/>
        </w:rPr>
        <w:t>nájemc</w:t>
      </w:r>
      <w:r w:rsidR="00422D74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4C640D">
        <w:rPr>
          <w:rFonts w:ascii="Times New Roman" w:hAnsi="Times New Roman" w:cs="Times New Roman"/>
          <w:sz w:val="24"/>
          <w:szCs w:val="24"/>
        </w:rPr>
        <w:t>.</w:t>
      </w:r>
    </w:p>
    <w:p w:rsidR="00422D74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422D74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>
        <w:rPr>
          <w:rFonts w:ascii="Times New Roman" w:hAnsi="Times New Roman" w:cs="Times New Roman"/>
          <w:sz w:val="24"/>
          <w:szCs w:val="24"/>
        </w:rPr>
        <w:t>nebytového prostoru</w:t>
      </w:r>
      <w:r w:rsidR="00422D74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>
        <w:rPr>
          <w:rFonts w:ascii="Times New Roman" w:hAnsi="Times New Roman" w:cs="Times New Roman"/>
          <w:sz w:val="24"/>
          <w:szCs w:val="24"/>
        </w:rPr>
        <w:t>ý</w:t>
      </w:r>
      <w:r w:rsidR="00422D74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422D74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004CB1" w:rsidRDefault="00422D74" w:rsidP="00B61E55">
      <w:pPr>
        <w:pStyle w:val="Nadpis2"/>
        <w:ind w:left="644" w:hanging="502"/>
      </w:pPr>
      <w:r w:rsidRPr="00004CB1">
        <w:t xml:space="preserve">Článek </w:t>
      </w:r>
      <w:r w:rsidR="00A00D89">
        <w:t>4</w:t>
      </w:r>
      <w:r w:rsidRPr="00004CB1">
        <w:t>.</w:t>
      </w:r>
    </w:p>
    <w:p w:rsidR="00422D74" w:rsidRPr="00004CB1" w:rsidRDefault="00703B8E" w:rsidP="00B61E55">
      <w:pPr>
        <w:pStyle w:val="Nadpis2"/>
        <w:ind w:left="644" w:hanging="502"/>
      </w:pPr>
      <w:r>
        <w:t>Práva a povinnosti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41E9B" w:rsidRPr="00741E9B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04A32" w:rsidRDefault="00A04A32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04A32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užívat nebytové prostory v souladu s touto smlouvou a plnit povinnosti s užíváním nebytových prostor spojených.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pronajaté nebytové prostory či jejich část k užívání či požívání třetí osobě, zřizovat k nim věcná břemena ani je dát do zástavy.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4.2.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 nebytové prostory dle čl. 6. této smlouvy za každý jednotlivý případ porušení povinnosti nájemcem.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se zavazuje majetek užívat v souladu s obecně právními předpisy zejména s předpisy bezpečnosti práce a požární ochrany, hygieny udržovat jej ve stavu, v jakém byl předán a řídit se pokyny pronajímatele a jeho zaměstnanců/správce objektu.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dbát na to, aby užíváním předmětu nájmu neobtěžoval nad míru obvyklou uživatele okolních nemovitostí a dbát na to, aby jeho zaměstnanci, zákazníci a obchodní partneři, kteří s jeho souhlasem předmět nájmu navštěvují, uživatele okolních nemovitostí neobtěžovali. 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 a kohouty technologických zařízení objektu, která se nacházejí v pronajímaných prostorách.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 výjimkou bodů </w:t>
      </w:r>
      <w:proofErr w:type="gramStart"/>
      <w:r>
        <w:rPr>
          <w:rFonts w:ascii="Times New Roman" w:hAnsi="Times New Roman" w:cs="Times New Roman"/>
          <w:sz w:val="24"/>
          <w:szCs w:val="24"/>
        </w:rPr>
        <w:t>4.7</w:t>
      </w:r>
      <w:proofErr w:type="gramEnd"/>
      <w:r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 souladu s podmínkami této smlouvy.</w:t>
      </w:r>
    </w:p>
    <w:p w:rsidR="00741E9B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D45388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P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ronajímatel je povinen zajistit dodávky elektrické energie a vody, zajistit odvod použité vody, zajistit odvoz tuhého domovního odpadu, zajistit dodávky tepla, zajistit osvětlení společných </w:t>
      </w:r>
      <w:proofErr w:type="gramStart"/>
      <w:r w:rsidR="00A04A32" w:rsidRPr="00D45388">
        <w:rPr>
          <w:rFonts w:ascii="Times New Roman" w:hAnsi="Times New Roman" w:cs="Times New Roman"/>
          <w:sz w:val="24"/>
          <w:szCs w:val="24"/>
        </w:rPr>
        <w:t>prostor,  zajistit</w:t>
      </w:r>
      <w:proofErr w:type="gramEnd"/>
      <w:r w:rsidR="00A04A32" w:rsidRPr="00D45388">
        <w:rPr>
          <w:rFonts w:ascii="Times New Roman" w:hAnsi="Times New Roman" w:cs="Times New Roman"/>
          <w:sz w:val="24"/>
          <w:szCs w:val="24"/>
        </w:rPr>
        <w:t xml:space="preserve"> přístup k sociálním zařízením a odpovídající poměrovou výši těchto všech nákladů požadovat jako refundaci po nájemci dle bodu 6.</w:t>
      </w:r>
      <w:r w:rsidR="00A337EE" w:rsidRPr="00D45388">
        <w:rPr>
          <w:rFonts w:ascii="Times New Roman" w:hAnsi="Times New Roman" w:cs="Times New Roman"/>
          <w:sz w:val="24"/>
          <w:szCs w:val="24"/>
        </w:rPr>
        <w:t>1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D45388">
        <w:rPr>
          <w:rFonts w:ascii="Times New Roman" w:hAnsi="Times New Roman" w:cs="Times New Roman"/>
          <w:sz w:val="24"/>
          <w:szCs w:val="24"/>
        </w:rPr>
        <w:t>3.</w:t>
      </w:r>
    </w:p>
    <w:p w:rsidR="00422D74" w:rsidRPr="002A03D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5</w:t>
      </w:r>
      <w:r w:rsidRPr="002A03D7">
        <w:t>.</w:t>
      </w:r>
    </w:p>
    <w:p w:rsidR="00004CB1" w:rsidRPr="002A03D7" w:rsidRDefault="009D2399" w:rsidP="00B61E55">
      <w:pPr>
        <w:pStyle w:val="Nadpis2"/>
        <w:ind w:left="644" w:hanging="502"/>
      </w:pPr>
      <w:r>
        <w:t>Doba nájmu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Default="0005675C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>Nájem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se uzavírá na dobu určitou a to od </w:t>
      </w:r>
      <w:proofErr w:type="gramStart"/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D97E3D" w:rsidRPr="00565346">
        <w:rPr>
          <w:rFonts w:ascii="Times New Roman" w:hAnsi="Times New Roman" w:cs="Times New Roman"/>
          <w:sz w:val="24"/>
          <w:szCs w:val="24"/>
        </w:rPr>
        <w:t>1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04CB1" w:rsidRPr="00565346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565346">
        <w:rPr>
          <w:rFonts w:ascii="Times New Roman" w:hAnsi="Times New Roman" w:cs="Times New Roman"/>
          <w:sz w:val="24"/>
          <w:szCs w:val="24"/>
        </w:rPr>
        <w:t>3</w:t>
      </w:r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356B16" w:rsidRPr="00565346">
        <w:rPr>
          <w:rFonts w:ascii="Times New Roman" w:hAnsi="Times New Roman" w:cs="Times New Roman"/>
          <w:sz w:val="24"/>
          <w:szCs w:val="24"/>
        </w:rPr>
        <w:t>12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</w:p>
    <w:p w:rsidR="00004CB1" w:rsidRPr="00565346" w:rsidRDefault="00565346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 xml:space="preserve">Nájem je možné </w:t>
      </w:r>
      <w:r w:rsidR="00712064">
        <w:rPr>
          <w:rFonts w:ascii="Times New Roman" w:hAnsi="Times New Roman" w:cs="Times New Roman"/>
          <w:sz w:val="24"/>
          <w:szCs w:val="24"/>
        </w:rPr>
        <w:t xml:space="preserve">písemně prodloužit formou písemného </w:t>
      </w:r>
      <w:r w:rsidRPr="00565346">
        <w:rPr>
          <w:rFonts w:ascii="Times New Roman" w:hAnsi="Times New Roman" w:cs="Times New Roman"/>
          <w:sz w:val="24"/>
          <w:szCs w:val="24"/>
        </w:rPr>
        <w:t>dodatku ke smlouvě s tím, že celková maximální doba smluvního vztahu s týmž nájemcem nepřesáhne 8 let.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B1" w:rsidRDefault="00004CB1" w:rsidP="00A04A32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vtah se však dle předchozího odstavce neprodlouží v případě, že k poslednímu dni jeho trvání dle této smlouvy má </w:t>
      </w:r>
      <w:r w:rsidR="0005675C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531FB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03"/>
        <w:gridCol w:w="2243"/>
        <w:gridCol w:w="1579"/>
        <w:gridCol w:w="1713"/>
        <w:gridCol w:w="1558"/>
      </w:tblGrid>
      <w:tr w:rsidR="00531FB1" w:rsidTr="008E4913">
        <w:tc>
          <w:tcPr>
            <w:tcW w:w="8896" w:type="dxa"/>
            <w:gridSpan w:val="5"/>
          </w:tcPr>
          <w:p w:rsidR="00531FB1" w:rsidRPr="00A337EE" w:rsidRDefault="00D4538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2743B" w:rsidTr="005460A0">
        <w:tc>
          <w:tcPr>
            <w:tcW w:w="1984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570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037DF" w:rsidRPr="003037DF" w:rsidTr="005460A0">
        <w:tc>
          <w:tcPr>
            <w:tcW w:w="1984" w:type="dxa"/>
          </w:tcPr>
          <w:p w:rsidR="00531FB1" w:rsidRPr="003037DF" w:rsidRDefault="005460A0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Zdravotní </w:t>
            </w:r>
            <w:proofErr w:type="spellStart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prostr</w:t>
            </w:r>
            <w:proofErr w:type="spellEnd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531FB1" w:rsidRPr="003037DF" w:rsidRDefault="0052743B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012-015</w:t>
            </w:r>
          </w:p>
        </w:tc>
        <w:tc>
          <w:tcPr>
            <w:tcW w:w="1779" w:type="dxa"/>
          </w:tcPr>
          <w:p w:rsidR="00531FB1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  <w:tc>
          <w:tcPr>
            <w:tcW w:w="1896" w:type="dxa"/>
          </w:tcPr>
          <w:p w:rsidR="00531FB1" w:rsidRPr="003037DF" w:rsidRDefault="0052743B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3E437B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51 743</w:t>
            </w:r>
            <w:r w:rsidR="00531FB1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F12323" w:rsidRPr="003037DF" w:rsidRDefault="00F15142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:rsidR="00F12323" w:rsidRPr="003037DF" w:rsidRDefault="0052743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779" w:type="dxa"/>
          </w:tcPr>
          <w:p w:rsidR="00F12323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96" w:type="dxa"/>
          </w:tcPr>
          <w:p w:rsidR="00F12323" w:rsidRPr="003037DF" w:rsidRDefault="00F15142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37DF" w:rsidRPr="003037DF" w:rsidTr="005460A0">
        <w:tc>
          <w:tcPr>
            <w:tcW w:w="1984" w:type="dxa"/>
          </w:tcPr>
          <w:p w:rsidR="00200EDD" w:rsidRPr="003037DF" w:rsidRDefault="00B66A0A" w:rsidP="00B66A0A"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60A0" w:rsidRPr="003037DF">
              <w:rPr>
                <w:rFonts w:ascii="Times New Roman" w:hAnsi="Times New Roman" w:cs="Times New Roman"/>
                <w:sz w:val="24"/>
                <w:szCs w:val="24"/>
              </w:rPr>
              <w:t>klady bez oken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200EDD" w:rsidRPr="003037DF" w:rsidRDefault="0052743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016-019</w:t>
            </w:r>
          </w:p>
        </w:tc>
        <w:tc>
          <w:tcPr>
            <w:tcW w:w="1779" w:type="dxa"/>
          </w:tcPr>
          <w:p w:rsidR="00200EDD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896" w:type="dxa"/>
          </w:tcPr>
          <w:p w:rsidR="00200EDD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142"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B66A0A" w:rsidRPr="003037DF" w:rsidRDefault="005460A0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Ostatní prostory</w:t>
            </w:r>
          </w:p>
        </w:tc>
        <w:tc>
          <w:tcPr>
            <w:tcW w:w="1570" w:type="dxa"/>
          </w:tcPr>
          <w:p w:rsidR="00B66A0A" w:rsidRPr="003037DF" w:rsidRDefault="0052743B" w:rsidP="00F1514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09,010,015a,020,021</w:t>
            </w:r>
          </w:p>
        </w:tc>
        <w:tc>
          <w:tcPr>
            <w:tcW w:w="1779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6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B66A0A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25 879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531FB1" w:rsidRPr="003037DF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70" w:type="dxa"/>
          </w:tcPr>
          <w:p w:rsidR="00531FB1" w:rsidRPr="003037DF" w:rsidRDefault="0052743B" w:rsidP="0052743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5142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8E4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1779" w:type="dxa"/>
          </w:tcPr>
          <w:p w:rsidR="00531FB1" w:rsidRPr="003037DF" w:rsidRDefault="0052743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205,22</w:t>
            </w:r>
          </w:p>
        </w:tc>
        <w:tc>
          <w:tcPr>
            <w:tcW w:w="1896" w:type="dxa"/>
          </w:tcPr>
          <w:p w:rsidR="00531FB1" w:rsidRPr="003037D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667" w:type="dxa"/>
          </w:tcPr>
          <w:p w:rsidR="00531FB1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B66A0A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37DF" w:rsidRPr="003037DF" w:rsidTr="005460A0">
        <w:tc>
          <w:tcPr>
            <w:tcW w:w="1984" w:type="dxa"/>
          </w:tcPr>
          <w:p w:rsidR="00200EDD" w:rsidRPr="003037D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00EDD" w:rsidRPr="003037DF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3037DF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3037DF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200EDD" w:rsidRPr="003037DF" w:rsidRDefault="0052743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3E437B" w:rsidRPr="003037DF" w:rsidRDefault="00512510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3037DF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3037DF">
        <w:rPr>
          <w:rFonts w:ascii="Times New Roman" w:hAnsi="Times New Roman" w:cs="Times New Roman"/>
          <w:sz w:val="24"/>
          <w:szCs w:val="24"/>
        </w:rPr>
        <w:t xml:space="preserve"> </w:t>
      </w:r>
      <w:r w:rsidR="0052743B" w:rsidRPr="003037DF">
        <w:rPr>
          <w:rFonts w:ascii="Times New Roman" w:hAnsi="Times New Roman" w:cs="Times New Roman"/>
          <w:sz w:val="24"/>
          <w:szCs w:val="24"/>
        </w:rPr>
        <w:t>8</w:t>
      </w:r>
      <w:r w:rsidR="003C168D" w:rsidRPr="003037DF">
        <w:rPr>
          <w:rFonts w:ascii="Times New Roman" w:hAnsi="Times New Roman" w:cs="Times New Roman"/>
          <w:sz w:val="24"/>
          <w:szCs w:val="24"/>
        </w:rPr>
        <w:t> </w:t>
      </w:r>
      <w:r w:rsidR="0052743B" w:rsidRPr="003037DF">
        <w:rPr>
          <w:rFonts w:ascii="Times New Roman" w:hAnsi="Times New Roman" w:cs="Times New Roman"/>
          <w:sz w:val="24"/>
          <w:szCs w:val="24"/>
        </w:rPr>
        <w:t>202</w:t>
      </w:r>
      <w:r w:rsidR="00A337EE" w:rsidRPr="003037DF">
        <w:rPr>
          <w:rFonts w:ascii="Times New Roman" w:hAnsi="Times New Roman" w:cs="Times New Roman"/>
          <w:sz w:val="24"/>
          <w:szCs w:val="24"/>
        </w:rPr>
        <w:t xml:space="preserve">,00 Kč/ měsíc tj. </w:t>
      </w:r>
      <w:r w:rsidR="0052743B" w:rsidRPr="003037DF">
        <w:rPr>
          <w:rFonts w:ascii="Times New Roman" w:hAnsi="Times New Roman" w:cs="Times New Roman"/>
          <w:sz w:val="24"/>
          <w:szCs w:val="24"/>
        </w:rPr>
        <w:t>98 430,</w:t>
      </w:r>
      <w:r w:rsidR="00200EDD" w:rsidRPr="003037DF">
        <w:rPr>
          <w:rFonts w:ascii="Times New Roman" w:hAnsi="Times New Roman" w:cs="Times New Roman"/>
          <w:sz w:val="24"/>
          <w:szCs w:val="24"/>
        </w:rPr>
        <w:t>0</w:t>
      </w:r>
      <w:r w:rsidR="00F12323" w:rsidRPr="003037DF">
        <w:rPr>
          <w:rFonts w:ascii="Times New Roman" w:hAnsi="Times New Roman" w:cs="Times New Roman"/>
          <w:sz w:val="24"/>
          <w:szCs w:val="24"/>
        </w:rPr>
        <w:t>0</w:t>
      </w:r>
      <w:r w:rsidR="00A337EE" w:rsidRPr="003037DF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30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7B" w:rsidRPr="003037DF" w:rsidRDefault="003E437B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3037DF" w:rsidRPr="003037DF" w:rsidTr="008E4913">
        <w:tc>
          <w:tcPr>
            <w:tcW w:w="3118" w:type="dxa"/>
            <w:vAlign w:val="center"/>
          </w:tcPr>
          <w:p w:rsidR="00D303AC" w:rsidRPr="003037DF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3037DF" w:rsidRDefault="00D303AC" w:rsidP="00C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Započitatelná </w:t>
            </w:r>
            <w:proofErr w:type="spellStart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. plocha: </w:t>
            </w:r>
            <w:r w:rsidR="00CD770F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200EDD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70F"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303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3037DF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037DF" w:rsidRPr="003037DF" w:rsidTr="008E4913">
        <w:tc>
          <w:tcPr>
            <w:tcW w:w="3118" w:type="dxa"/>
          </w:tcPr>
          <w:p w:rsidR="00D303AC" w:rsidRPr="003037DF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3037DF" w:rsidRDefault="00D303AC" w:rsidP="0052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3AC" w:rsidRPr="003037DF" w:rsidRDefault="0052743B" w:rsidP="00B6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12323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303AC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3037DF" w:rsidRDefault="00200EDD" w:rsidP="00A2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68D" w:rsidRPr="003037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3037DF" w:rsidRDefault="00200EDD" w:rsidP="00CD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. elektro. </w:t>
            </w:r>
            <w:r w:rsidR="00A21379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CD770F" w:rsidRPr="003037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6F704F" w:rsidRPr="00303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70F" w:rsidRPr="003037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704F" w:rsidRPr="003037DF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3037DF" w:rsidRDefault="00B66A0A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3037DF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3 500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3037DF" w:rsidRDefault="0052743B" w:rsidP="00527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A0A" w:rsidRPr="003037DF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3037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0EDD" w:rsidRPr="003037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119" w:type="dxa"/>
          </w:tcPr>
          <w:p w:rsidR="00200EDD" w:rsidRPr="009A1AD9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2693" w:type="dxa"/>
          </w:tcPr>
          <w:p w:rsidR="00200EDD" w:rsidRPr="009A1AD9" w:rsidRDefault="0052743B" w:rsidP="00313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 w:rsidR="00A21379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 000</w:t>
            </w:r>
            <w:r w:rsidR="00200EDD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37DF" w:rsidRPr="003037DF" w:rsidTr="008E4913">
        <w:tc>
          <w:tcPr>
            <w:tcW w:w="3118" w:type="dxa"/>
          </w:tcPr>
          <w:p w:rsidR="00200EDD" w:rsidRPr="003037DF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9A1AD9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693" w:type="dxa"/>
          </w:tcPr>
          <w:p w:rsidR="00200EDD" w:rsidRPr="009A1AD9" w:rsidRDefault="0052743B" w:rsidP="00313101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C168D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083</w:t>
            </w:r>
            <w:r w:rsidR="00C355B9" w:rsidRPr="009A1A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bookmarkEnd w:id="0"/>
    <w:p w:rsidR="00D303AC" w:rsidRPr="003037DF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 xml:space="preserve">Nájemce se zavazuje platit zálohy na refundaci služeb za pronajaté prostory (úhrada za elektrickou energii, topení, vodné, stočné, teplou vodu, osvětlení společných prostor, údržba, odvoz odpadků), a to v měsíční částce </w:t>
      </w:r>
      <w:r w:rsidR="0052743B" w:rsidRPr="003037DF">
        <w:rPr>
          <w:rFonts w:ascii="Times New Roman" w:hAnsi="Times New Roman" w:cs="Times New Roman"/>
          <w:sz w:val="24"/>
          <w:szCs w:val="24"/>
        </w:rPr>
        <w:t>14 083</w:t>
      </w:r>
      <w:r w:rsidR="00F12323" w:rsidRPr="003037D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52743B" w:rsidRPr="003037DF">
        <w:rPr>
          <w:rFonts w:ascii="Times New Roman" w:hAnsi="Times New Roman" w:cs="Times New Roman"/>
          <w:sz w:val="24"/>
          <w:szCs w:val="24"/>
        </w:rPr>
        <w:t>169</w:t>
      </w:r>
      <w:r w:rsidR="003C168D" w:rsidRPr="003037DF">
        <w:rPr>
          <w:rFonts w:ascii="Times New Roman" w:hAnsi="Times New Roman" w:cs="Times New Roman"/>
          <w:sz w:val="24"/>
          <w:szCs w:val="24"/>
        </w:rPr>
        <w:t> 000</w:t>
      </w:r>
      <w:r w:rsidR="00C355B9" w:rsidRPr="003037DF">
        <w:rPr>
          <w:rFonts w:ascii="Times New Roman" w:hAnsi="Times New Roman" w:cs="Times New Roman"/>
          <w:sz w:val="24"/>
          <w:szCs w:val="24"/>
        </w:rPr>
        <w:t>,</w:t>
      </w:r>
      <w:r w:rsidR="00F12323" w:rsidRPr="003037DF">
        <w:rPr>
          <w:rFonts w:ascii="Times New Roman" w:hAnsi="Times New Roman" w:cs="Times New Roman"/>
          <w:sz w:val="24"/>
          <w:szCs w:val="24"/>
        </w:rPr>
        <w:t>-</w:t>
      </w:r>
      <w:r w:rsidRPr="003037DF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3037DF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činní </w:t>
      </w:r>
      <w:r w:rsidR="0052743B" w:rsidRPr="003037DF">
        <w:rPr>
          <w:rFonts w:ascii="Times New Roman" w:hAnsi="Times New Roman" w:cs="Times New Roman"/>
          <w:sz w:val="24"/>
          <w:szCs w:val="24"/>
        </w:rPr>
        <w:t>22</w:t>
      </w:r>
      <w:r w:rsidR="00442A8E" w:rsidRPr="003037DF">
        <w:rPr>
          <w:rFonts w:ascii="Times New Roman" w:hAnsi="Times New Roman" w:cs="Times New Roman"/>
          <w:sz w:val="24"/>
          <w:szCs w:val="24"/>
        </w:rPr>
        <w:t> </w:t>
      </w:r>
      <w:r w:rsidR="0052743B" w:rsidRPr="003037DF">
        <w:rPr>
          <w:rFonts w:ascii="Times New Roman" w:hAnsi="Times New Roman" w:cs="Times New Roman"/>
          <w:sz w:val="24"/>
          <w:szCs w:val="24"/>
        </w:rPr>
        <w:t>285</w:t>
      </w:r>
      <w:r w:rsidR="006C5B94" w:rsidRPr="003037D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52743B" w:rsidRPr="003037DF">
        <w:rPr>
          <w:rFonts w:ascii="Times New Roman" w:hAnsi="Times New Roman" w:cs="Times New Roman"/>
          <w:sz w:val="24"/>
          <w:szCs w:val="24"/>
        </w:rPr>
        <w:t>267 430</w:t>
      </w:r>
      <w:r w:rsidRPr="003037DF">
        <w:rPr>
          <w:rFonts w:ascii="Times New Roman" w:hAnsi="Times New Roman" w:cs="Times New Roman"/>
          <w:sz w:val="24"/>
          <w:szCs w:val="24"/>
        </w:rPr>
        <w:t>,</w:t>
      </w:r>
      <w:r w:rsidR="00C355B9" w:rsidRPr="003037DF">
        <w:rPr>
          <w:rFonts w:ascii="Times New Roman" w:hAnsi="Times New Roman" w:cs="Times New Roman"/>
          <w:sz w:val="24"/>
          <w:szCs w:val="24"/>
        </w:rPr>
        <w:t>-</w:t>
      </w:r>
      <w:r w:rsidR="00B857A7" w:rsidRPr="003037DF">
        <w:rPr>
          <w:rFonts w:ascii="Times New Roman" w:hAnsi="Times New Roman" w:cs="Times New Roman"/>
          <w:sz w:val="24"/>
          <w:szCs w:val="24"/>
        </w:rPr>
        <w:t xml:space="preserve"> </w:t>
      </w:r>
      <w:r w:rsidRPr="003037D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3037DF">
        <w:rPr>
          <w:rFonts w:ascii="Times New Roman" w:hAnsi="Times New Roman" w:cs="Times New Roman"/>
          <w:sz w:val="24"/>
          <w:szCs w:val="24"/>
        </w:rPr>
        <w:t>Úhrada za nájem a refun</w:t>
      </w:r>
      <w:r w:rsidR="00CD770F" w:rsidRPr="003037DF">
        <w:rPr>
          <w:rFonts w:ascii="Times New Roman" w:hAnsi="Times New Roman" w:cs="Times New Roman"/>
          <w:sz w:val="24"/>
          <w:szCs w:val="24"/>
        </w:rPr>
        <w:t>d</w:t>
      </w:r>
      <w:r w:rsidR="00A337EE" w:rsidRPr="003037DF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CD770F" w:rsidRPr="003037DF">
        <w:rPr>
          <w:rFonts w:ascii="Times New Roman" w:hAnsi="Times New Roman" w:cs="Times New Roman"/>
          <w:sz w:val="24"/>
          <w:szCs w:val="24"/>
        </w:rPr>
        <w:t>22</w:t>
      </w:r>
      <w:r w:rsidR="00442A8E" w:rsidRPr="003037DF">
        <w:rPr>
          <w:rFonts w:ascii="Times New Roman" w:hAnsi="Times New Roman" w:cs="Times New Roman"/>
          <w:sz w:val="24"/>
          <w:szCs w:val="24"/>
        </w:rPr>
        <w:t> </w:t>
      </w:r>
      <w:r w:rsidR="00CD770F" w:rsidRPr="003037DF">
        <w:rPr>
          <w:rFonts w:ascii="Times New Roman" w:hAnsi="Times New Roman" w:cs="Times New Roman"/>
          <w:sz w:val="24"/>
          <w:szCs w:val="24"/>
        </w:rPr>
        <w:t>285</w:t>
      </w:r>
      <w:r w:rsidR="00A337EE" w:rsidRPr="003037DF">
        <w:rPr>
          <w:rFonts w:ascii="Times New Roman" w:hAnsi="Times New Roman" w:cs="Times New Roman"/>
          <w:sz w:val="24"/>
          <w:szCs w:val="24"/>
        </w:rPr>
        <w:t>,00 Kč splatná vždy do patnáctého dne každého příslušného kalendářního měsíce na bankovní účet pronajímatele č. 20439061/0710 vedený u ČNB variabilní symbol 6034010</w:t>
      </w:r>
      <w:r w:rsidR="00CD770F" w:rsidRPr="003037DF">
        <w:rPr>
          <w:rFonts w:ascii="Times New Roman" w:hAnsi="Times New Roman" w:cs="Times New Roman"/>
          <w:sz w:val="24"/>
          <w:szCs w:val="24"/>
        </w:rPr>
        <w:t>1</w:t>
      </w:r>
      <w:r w:rsidR="00D45388" w:rsidRPr="003037DF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7DF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</w:t>
      </w:r>
      <w:r>
        <w:rPr>
          <w:rFonts w:ascii="Times New Roman" w:hAnsi="Times New Roman" w:cs="Times New Roman"/>
          <w:sz w:val="24"/>
          <w:szCs w:val="24"/>
        </w:rPr>
        <w:t xml:space="preserve">prostor budou nájemci vyúčtovány podle skutečných nákladů po ukončení zúčtovacího období pronajímatelem vždy jednou ročně, a to na základě faktury, a to formou přeúčtování nákladů dle § 36 odst. 11 zákona o DPH, se 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 xml:space="preserve">dle </w:t>
      </w:r>
      <w:r w:rsidR="00CD770F">
        <w:rPr>
          <w:rFonts w:ascii="Times New Roman" w:hAnsi="Times New Roman" w:cs="Times New Roman"/>
          <w:sz w:val="24"/>
          <w:szCs w:val="24"/>
        </w:rPr>
        <w:t xml:space="preserve">poměru započitatelné plochy pronajatých prostor k úhrnu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započit</w:t>
      </w:r>
      <w:proofErr w:type="spellEnd"/>
      <w:r w:rsidR="00CD7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CD770F">
        <w:rPr>
          <w:rFonts w:ascii="Times New Roman" w:hAnsi="Times New Roman" w:cs="Times New Roman"/>
          <w:sz w:val="24"/>
          <w:szCs w:val="24"/>
        </w:rPr>
        <w:t>. (bez podružného měření) v budově</w:t>
      </w:r>
      <w:r w:rsidR="00442A8E">
        <w:rPr>
          <w:rFonts w:ascii="Times New Roman" w:hAnsi="Times New Roman" w:cs="Times New Roman"/>
          <w:sz w:val="24"/>
          <w:szCs w:val="24"/>
        </w:rPr>
        <w:t>.</w:t>
      </w:r>
    </w:p>
    <w:p w:rsid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CD770F">
        <w:rPr>
          <w:rFonts w:ascii="Times New Roman" w:hAnsi="Times New Roman" w:cs="Times New Roman"/>
          <w:sz w:val="24"/>
          <w:szCs w:val="24"/>
        </w:rPr>
        <w:t xml:space="preserve">poměru podlahové plochy pronajatých prostor k úhrnu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="00CD770F">
        <w:rPr>
          <w:rFonts w:ascii="Times New Roman" w:hAnsi="Times New Roman" w:cs="Times New Roman"/>
          <w:sz w:val="24"/>
          <w:szCs w:val="24"/>
        </w:rPr>
        <w:t xml:space="preserve">. pronajatých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CD4F5C">
        <w:rPr>
          <w:rFonts w:ascii="Times New Roman" w:hAnsi="Times New Roman" w:cs="Times New Roman"/>
          <w:sz w:val="24"/>
          <w:szCs w:val="24"/>
        </w:rPr>
        <w:t>.</w:t>
      </w:r>
      <w:r w:rsidR="00CD770F">
        <w:rPr>
          <w:rFonts w:ascii="Times New Roman" w:hAnsi="Times New Roman" w:cs="Times New Roman"/>
          <w:sz w:val="24"/>
          <w:szCs w:val="24"/>
        </w:rPr>
        <w:t xml:space="preserve"> (bez podružného měření) v budově.</w:t>
      </w:r>
    </w:p>
    <w:p w:rsid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D770F" w:rsidRPr="00442A8E">
        <w:rPr>
          <w:rFonts w:ascii="Times New Roman" w:hAnsi="Times New Roman" w:cs="Times New Roman"/>
          <w:sz w:val="24"/>
          <w:szCs w:val="24"/>
        </w:rPr>
        <w:t xml:space="preserve">dle </w:t>
      </w:r>
      <w:r w:rsidR="00CD770F">
        <w:rPr>
          <w:rFonts w:ascii="Times New Roman" w:hAnsi="Times New Roman" w:cs="Times New Roman"/>
          <w:sz w:val="24"/>
          <w:szCs w:val="24"/>
        </w:rPr>
        <w:t xml:space="preserve">poměru podlahové plochy pronajatých prostor k úhrnu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="00CD770F">
        <w:rPr>
          <w:rFonts w:ascii="Times New Roman" w:hAnsi="Times New Roman" w:cs="Times New Roman"/>
          <w:sz w:val="24"/>
          <w:szCs w:val="24"/>
        </w:rPr>
        <w:t xml:space="preserve">. pronajatých </w:t>
      </w:r>
      <w:proofErr w:type="spellStart"/>
      <w:r w:rsidR="00CD770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CD4F5C">
        <w:rPr>
          <w:rFonts w:ascii="Times New Roman" w:hAnsi="Times New Roman" w:cs="Times New Roman"/>
          <w:sz w:val="24"/>
          <w:szCs w:val="24"/>
        </w:rPr>
        <w:t>.</w:t>
      </w:r>
      <w:r w:rsidR="00CD770F">
        <w:rPr>
          <w:rFonts w:ascii="Times New Roman" w:hAnsi="Times New Roman" w:cs="Times New Roman"/>
          <w:sz w:val="24"/>
          <w:szCs w:val="24"/>
        </w:rPr>
        <w:t xml:space="preserve"> (bez podružného měření) v budově.</w:t>
      </w:r>
    </w:p>
    <w:p w:rsidR="006C5B94" w:rsidRPr="00442A8E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proofErr w:type="gramStart"/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>l.</w:t>
      </w:r>
      <w:proofErr w:type="gramEnd"/>
      <w:r w:rsidRPr="00442A8E">
        <w:rPr>
          <w:rFonts w:ascii="Times New Roman" w:hAnsi="Times New Roman" w:cs="Times New Roman"/>
          <w:sz w:val="24"/>
          <w:szCs w:val="24"/>
        </w:rPr>
        <w:t xml:space="preserve"> 1 této smlouvy.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 budou vyúčtován</w:t>
      </w:r>
      <w:r w:rsidR="00D453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D45388" w:rsidRDefault="006C5B94" w:rsidP="00D453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6C5B94" w:rsidRPr="006C5B94" w:rsidRDefault="006C5B94" w:rsidP="006C5B9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za předmět nájmu je dle ustanovení § 56a odst. 1 zák. č. 235/2015 Sb., o dani z přidané hodnoty osvobozeným plněním od DPH. Stanovenou roční výši nájemného může pronajímatel upravit o poměr podle oficiálně vyhlašované míry inflace vyjádřené podle oficiálních údajů Českého statistického úřadu, v případě že od posledního ročního stanovení výše částky došlo ke změně míry inflace o minimálně 3 %.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hrazeného formou přeúčtování nákladů dle § 36 odst. 11 zákona o DPH.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>
        <w:rPr>
          <w:rFonts w:ascii="Times New Roman" w:hAnsi="Times New Roman" w:cs="Times New Roman"/>
          <w:sz w:val="24"/>
          <w:szCs w:val="24"/>
        </w:rPr>
        <w:t>nebytových prostor</w:t>
      </w:r>
      <w:r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2A03D7" w:rsidRDefault="00A46087" w:rsidP="00B61E55">
      <w:pPr>
        <w:pStyle w:val="Nadpis2"/>
        <w:ind w:left="644" w:hanging="502"/>
      </w:pPr>
      <w:r w:rsidRPr="002A03D7">
        <w:t xml:space="preserve">Článek </w:t>
      </w:r>
      <w:r w:rsidR="00A00D89">
        <w:t>7</w:t>
      </w:r>
      <w:r w:rsidRPr="002A03D7">
        <w:t>.</w:t>
      </w:r>
    </w:p>
    <w:p w:rsidR="00A46087" w:rsidRDefault="00A46087" w:rsidP="00B61E55">
      <w:pPr>
        <w:pStyle w:val="Nadpis2"/>
        <w:ind w:left="644" w:hanging="502"/>
      </w:pPr>
      <w:r>
        <w:t>Úpravy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512510">
      <w:pPr>
        <w:pStyle w:val="Odstavecseseznamem"/>
        <w:numPr>
          <w:ilvl w:val="1"/>
          <w:numId w:val="1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písemného předchozího souhlasu pronajímatele jakékoliv změny, úpravy či opravy nebytových prostor. Při porušení této povinnosti je pronajímatel oprávněn vypovědět tuto smlouvu s výpovědní dobou 90 dnů od doručení písemné výpovědi nájemci, která počíná běžet 1. dne následujícího po doručení výpovědi, a požadovat na nájemci zaplacení smluvní pokuty ve výši rovnající se ročnímu nájemnému nebytových prostor dle čl. 6. této smlouvy. </w:t>
      </w:r>
    </w:p>
    <w:p w:rsidR="00996BCA" w:rsidRPr="00741E9B" w:rsidRDefault="00741E9B" w:rsidP="00512510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lastRenderedPageBreak/>
        <w:t>Nájemce je oprávněn požadovat při skončení této smlouvy po pronajímateli náhradu za provedené změny, úpravy či investice do pronajatého nebytového prostoru pouze v případě, že se k tomu pronajímatel výslovně písemně zavázal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996BCA" w:rsidRPr="002A03D7" w:rsidRDefault="00996BCA" w:rsidP="00B61E55">
      <w:pPr>
        <w:pStyle w:val="Nadpis2"/>
        <w:ind w:left="644" w:hanging="502"/>
      </w:pPr>
      <w:r w:rsidRPr="002A03D7">
        <w:t xml:space="preserve">Článek </w:t>
      </w:r>
      <w:r w:rsidR="00A00D89">
        <w:t>8</w:t>
      </w:r>
      <w:r w:rsidRPr="002A03D7">
        <w:t>.</w:t>
      </w:r>
    </w:p>
    <w:p w:rsidR="00996BCA" w:rsidRDefault="00996BCA" w:rsidP="00B61E55">
      <w:pPr>
        <w:pStyle w:val="Nadpis2"/>
        <w:ind w:left="644" w:hanging="502"/>
      </w:pPr>
      <w:r>
        <w:t>Pořádek a vyklizení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udržovat pořádek v pronajatých nebytových prostorech a v jejich okolí.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>
        <w:rPr>
          <w:rFonts w:ascii="Times New Roman" w:hAnsi="Times New Roman" w:cs="Times New Roman"/>
          <w:sz w:val="24"/>
          <w:szCs w:val="24"/>
        </w:rPr>
        <w:t>8.1.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dnů od doručení písemné výpovědi nájemci, která počíná běžet 1. dne následujícího po doručení výpovědi, a požadovat na nájemci zaplacení smluvní pokuty ve výši 500,-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 za každý den prodlení, kterou je nájemce  povinen zaplatit pronajímateli. 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nebytové prostory vyklidit a vyklizený předat pronajímateli ve stavu, v jakém pronajaté nebytové prostory převzal, s přihlédnutím k obvyklému opotřebení. </w:t>
      </w:r>
    </w:p>
    <w:p w:rsidR="00C16131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 w:rsidRPr="00741E9B">
        <w:rPr>
          <w:rFonts w:ascii="Times New Roman" w:hAnsi="Times New Roman" w:cs="Times New Roman"/>
          <w:sz w:val="24"/>
          <w:szCs w:val="24"/>
        </w:rPr>
        <w:t>8.3. této</w:t>
      </w:r>
      <w:proofErr w:type="gramEnd"/>
      <w:r w:rsidRPr="00741E9B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nebytových prostor dle čl. 6. této smlouvy a zajistit splnění povinnosti vyklidit pronajatý nebytový prostor na náklady nájemce tak, že dojde k odstranění a likvidaci všech věcí a jejich součástí dle předchozího odstavce. Smluvní strany se dohodly, že pronajímatel je oprávněn v případě prodlení vyklizení nebytových prostor nájemcem nebytové prostory vyklidit a věci nájemce nechat uskladnit, to vše na náklad nájemce</w:t>
      </w:r>
      <w:r w:rsidR="008165DB">
        <w:rPr>
          <w:rFonts w:ascii="Times New Roman" w:hAnsi="Times New Roman" w:cs="Times New Roman"/>
          <w:sz w:val="24"/>
          <w:szCs w:val="24"/>
        </w:rPr>
        <w:t>.</w:t>
      </w:r>
    </w:p>
    <w:p w:rsidR="00C16131" w:rsidRDefault="00C16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4B5" w:rsidRPr="00741E9B" w:rsidRDefault="009104B5" w:rsidP="00C1613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541A91" w:rsidRDefault="009104B5" w:rsidP="00B61E55">
      <w:pPr>
        <w:pStyle w:val="Nadpis2"/>
        <w:ind w:left="644" w:hanging="502"/>
      </w:pPr>
      <w:r w:rsidRPr="00541A91">
        <w:t xml:space="preserve">Článek </w:t>
      </w:r>
      <w:r w:rsidR="00A00D89">
        <w:t>9</w:t>
      </w:r>
      <w:r w:rsidRPr="00541A91">
        <w:t>.</w:t>
      </w:r>
    </w:p>
    <w:p w:rsidR="009104B5" w:rsidRDefault="009104B5" w:rsidP="00B61E55">
      <w:pPr>
        <w:pStyle w:val="Nadpis2"/>
        <w:ind w:left="644" w:hanging="502"/>
      </w:pPr>
      <w:r w:rsidRPr="00541A91">
        <w:t>Smluvní pokuty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3504C1" w:rsidRDefault="009104B5" w:rsidP="00512510">
      <w:pPr>
        <w:pStyle w:val="Odstavecseseznamem"/>
        <w:numPr>
          <w:ilvl w:val="1"/>
          <w:numId w:val="1"/>
        </w:numPr>
        <w:ind w:left="363" w:hanging="505"/>
        <w:jc w:val="both"/>
        <w:rPr>
          <w:rFonts w:ascii="Times New Roman" w:hAnsi="Times New Roman" w:cs="Times New Roman"/>
          <w:sz w:val="24"/>
          <w:szCs w:val="24"/>
        </w:rPr>
      </w:pPr>
      <w:r w:rsidRPr="003504C1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3504C1">
        <w:rPr>
          <w:rFonts w:ascii="Times New Roman" w:hAnsi="Times New Roman" w:cs="Times New Roman"/>
          <w:sz w:val="24"/>
          <w:szCs w:val="24"/>
        </w:rPr>
        <w:t xml:space="preserve"> právo</w:t>
      </w:r>
      <w:r w:rsidRPr="003504C1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3504C1">
        <w:rPr>
          <w:rFonts w:ascii="Times New Roman" w:hAnsi="Times New Roman" w:cs="Times New Roman"/>
          <w:sz w:val="24"/>
          <w:szCs w:val="24"/>
        </w:rPr>
        <w:t>,</w:t>
      </w:r>
      <w:r w:rsidRPr="003504C1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3504C1">
        <w:rPr>
          <w:rFonts w:ascii="Times New Roman" w:hAnsi="Times New Roman" w:cs="Times New Roman"/>
          <w:sz w:val="24"/>
          <w:szCs w:val="24"/>
        </w:rPr>
        <w:t> </w:t>
      </w:r>
      <w:r w:rsidRPr="003504C1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2A03D7" w:rsidRDefault="009104B5" w:rsidP="00B61E55">
      <w:pPr>
        <w:pStyle w:val="Nadpis2"/>
        <w:ind w:left="644" w:hanging="502"/>
      </w:pPr>
      <w:r w:rsidRPr="002A03D7">
        <w:t xml:space="preserve">Článek </w:t>
      </w:r>
      <w:r w:rsidR="00A00D89">
        <w:t>10</w:t>
      </w:r>
      <w:r w:rsidRPr="002A03D7">
        <w:t>.</w:t>
      </w:r>
    </w:p>
    <w:p w:rsidR="009104B5" w:rsidRPr="00AD1096" w:rsidRDefault="009104B5" w:rsidP="00B61E55">
      <w:pPr>
        <w:pStyle w:val="Nadpis2"/>
        <w:ind w:left="644" w:hanging="502"/>
      </w:pPr>
      <w:r>
        <w:t>Skončení smlouvy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Default="007C7418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</w:t>
      </w:r>
      <w:r w:rsidR="009104B5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D14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B5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>
        <w:rPr>
          <w:rFonts w:ascii="Times New Roman" w:hAnsi="Times New Roman" w:cs="Times New Roman"/>
          <w:sz w:val="24"/>
          <w:szCs w:val="24"/>
        </w:rPr>
        <w:t>nájemci</w:t>
      </w:r>
      <w:r w:rsidR="009104B5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9D2399">
        <w:rPr>
          <w:rFonts w:ascii="Times New Roman" w:hAnsi="Times New Roman" w:cs="Times New Roman"/>
          <w:sz w:val="24"/>
          <w:szCs w:val="24"/>
        </w:rPr>
        <w:t>, za které se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</w:t>
      </w:r>
      <w:r w:rsidR="001E6C52">
        <w:rPr>
          <w:rFonts w:ascii="Times New Roman" w:hAnsi="Times New Roman" w:cs="Times New Roman"/>
          <w:sz w:val="24"/>
          <w:szCs w:val="24"/>
        </w:rPr>
        <w:t xml:space="preserve">nebytových prostor </w:t>
      </w:r>
      <w:r w:rsidR="009D2399">
        <w:rPr>
          <w:rFonts w:ascii="Times New Roman" w:hAnsi="Times New Roman" w:cs="Times New Roman"/>
          <w:sz w:val="24"/>
          <w:szCs w:val="24"/>
        </w:rPr>
        <w:t xml:space="preserve">jiným subjektům, </w:t>
      </w:r>
      <w:r w:rsidR="00A818BA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104B5">
        <w:rPr>
          <w:rFonts w:ascii="Times New Roman" w:hAnsi="Times New Roman" w:cs="Times New Roman"/>
          <w:sz w:val="24"/>
          <w:szCs w:val="24"/>
        </w:rPr>
        <w:t>doručení výpovědi.</w:t>
      </w:r>
    </w:p>
    <w:p w:rsidR="00C67D14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C67D14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C67D14">
        <w:rPr>
          <w:rFonts w:ascii="Times New Roman" w:hAnsi="Times New Roman" w:cs="Times New Roman"/>
          <w:sz w:val="24"/>
          <w:szCs w:val="24"/>
        </w:rPr>
        <w:t>.</w:t>
      </w:r>
    </w:p>
    <w:p w:rsidR="00986AF6" w:rsidRDefault="00986AF6" w:rsidP="00986AF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Default="00C67D14" w:rsidP="0057583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>
        <w:rPr>
          <w:rFonts w:ascii="Times New Roman" w:hAnsi="Times New Roman" w:cs="Times New Roman"/>
          <w:sz w:val="24"/>
          <w:szCs w:val="24"/>
        </w:rPr>
        <w:t>pronajímateli</w:t>
      </w:r>
      <w:r w:rsidRPr="00C67D14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>
        <w:rPr>
          <w:rFonts w:ascii="Times New Roman" w:hAnsi="Times New Roman" w:cs="Times New Roman"/>
          <w:sz w:val="24"/>
          <w:szCs w:val="24"/>
        </w:rPr>
        <w:t>s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>předmětnými pozemky uvedený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 w:rsidR="009D2399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2805A0">
        <w:rPr>
          <w:rFonts w:ascii="Times New Roman" w:hAnsi="Times New Roman" w:cs="Times New Roman"/>
          <w:sz w:val="24"/>
          <w:szCs w:val="24"/>
        </w:rPr>
        <w:t>z důvodu realizace privatizace. Den převodu předmětných pozemků na nového majitele stanoví Ministerstvo zemědělství.</w:t>
      </w:r>
    </w:p>
    <w:p w:rsidR="00A67AD2" w:rsidRPr="00A67AD2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2A03D7" w:rsidRDefault="002124B0" w:rsidP="00575831">
      <w:pPr>
        <w:pStyle w:val="Nadpis2"/>
        <w:ind w:left="644" w:hanging="502"/>
      </w:pPr>
      <w:r w:rsidRPr="002A03D7">
        <w:t xml:space="preserve">Článek </w:t>
      </w:r>
      <w:r>
        <w:t>1</w:t>
      </w:r>
      <w:r w:rsidR="00A00D89">
        <w:t>1</w:t>
      </w:r>
      <w:r w:rsidRPr="002A03D7">
        <w:t>.</w:t>
      </w:r>
    </w:p>
    <w:p w:rsidR="002124B0" w:rsidRDefault="00575831" w:rsidP="00575831">
      <w:pPr>
        <w:pStyle w:val="Nadpis2"/>
        <w:ind w:left="644" w:hanging="502"/>
      </w:pPr>
      <w:r>
        <w:t>Závěrečná u</w:t>
      </w:r>
      <w:r w:rsidR="000945CA">
        <w:t>stanovení</w:t>
      </w:r>
    </w:p>
    <w:p w:rsidR="003504C1" w:rsidRPr="003504C1" w:rsidRDefault="003504C1" w:rsidP="008E49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nahrazuje dosavadní smlouvy o nájmu nebytových prostor uzavřené mezi smluvními stranami. 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vztahy smluvních stran se řídí právními předpisy platnými na území České republiky, zejména pak zákonem č. 89/2012 Sb. v platném znění.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uzavřely svobodně a vážně a pokládají ji za určitou a srozumitelnou. Po jejím přečtení prohlašují, že s jejím zněním souhlasí, což stvrzují svými podpisy.</w:t>
      </w:r>
    </w:p>
    <w:p w:rsidR="00741E9B" w:rsidRDefault="00741E9B" w:rsidP="00786CC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proofErr w:type="gramStart"/>
      <w:r w:rsidR="00B84A6E">
        <w:rPr>
          <w:rFonts w:ascii="Times New Roman" w:hAnsi="Times New Roman" w:cs="Times New Roman"/>
          <w:sz w:val="24"/>
          <w:szCs w:val="24"/>
        </w:rPr>
        <w:t>1.12.2016</w:t>
      </w:r>
      <w:proofErr w:type="gramEnd"/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F2799E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Kamil </w:t>
      </w:r>
      <w:r w:rsidR="003037DF">
        <w:rPr>
          <w:rFonts w:ascii="Times New Roman" w:hAnsi="Times New Roman" w:cs="Times New Roman"/>
          <w:sz w:val="24"/>
          <w:szCs w:val="24"/>
        </w:rPr>
        <w:t xml:space="preserve"> Sedlák</w:t>
      </w:r>
      <w:proofErr w:type="gramEnd"/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4F5C">
        <w:rPr>
          <w:rFonts w:ascii="Times New Roman" w:hAnsi="Times New Roman" w:cs="Times New Roman"/>
          <w:sz w:val="24"/>
          <w:szCs w:val="24"/>
        </w:rPr>
        <w:t>MVDr. Marek Vaněk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01">
          <w:rPr>
            <w:noProof/>
          </w:rPr>
          <w:t>4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5675C"/>
    <w:rsid w:val="000638E4"/>
    <w:rsid w:val="00087F3F"/>
    <w:rsid w:val="000945CA"/>
    <w:rsid w:val="000E6746"/>
    <w:rsid w:val="0010042D"/>
    <w:rsid w:val="00103DF8"/>
    <w:rsid w:val="00105C87"/>
    <w:rsid w:val="001711E3"/>
    <w:rsid w:val="00186C7B"/>
    <w:rsid w:val="001B495D"/>
    <w:rsid w:val="001B7EB5"/>
    <w:rsid w:val="001E2C2E"/>
    <w:rsid w:val="001E6C52"/>
    <w:rsid w:val="00200EDD"/>
    <w:rsid w:val="002124B0"/>
    <w:rsid w:val="002805A0"/>
    <w:rsid w:val="002A03D7"/>
    <w:rsid w:val="002A4A91"/>
    <w:rsid w:val="002D4722"/>
    <w:rsid w:val="002F3521"/>
    <w:rsid w:val="003037DF"/>
    <w:rsid w:val="00313101"/>
    <w:rsid w:val="003504C1"/>
    <w:rsid w:val="00356B16"/>
    <w:rsid w:val="003C168D"/>
    <w:rsid w:val="003C72C6"/>
    <w:rsid w:val="003E437B"/>
    <w:rsid w:val="004017F4"/>
    <w:rsid w:val="00422D74"/>
    <w:rsid w:val="00442A8E"/>
    <w:rsid w:val="00445D16"/>
    <w:rsid w:val="00466DA1"/>
    <w:rsid w:val="00470155"/>
    <w:rsid w:val="004A51F5"/>
    <w:rsid w:val="004C640D"/>
    <w:rsid w:val="004F26C4"/>
    <w:rsid w:val="00506968"/>
    <w:rsid w:val="005075F3"/>
    <w:rsid w:val="00512510"/>
    <w:rsid w:val="0052743B"/>
    <w:rsid w:val="005278E8"/>
    <w:rsid w:val="00531FB1"/>
    <w:rsid w:val="00541A91"/>
    <w:rsid w:val="005460A0"/>
    <w:rsid w:val="00554C13"/>
    <w:rsid w:val="0056133E"/>
    <w:rsid w:val="00565346"/>
    <w:rsid w:val="00575831"/>
    <w:rsid w:val="005E16A3"/>
    <w:rsid w:val="00664D1B"/>
    <w:rsid w:val="00680D8E"/>
    <w:rsid w:val="00695395"/>
    <w:rsid w:val="006A69A8"/>
    <w:rsid w:val="006C5B94"/>
    <w:rsid w:val="006F1C5F"/>
    <w:rsid w:val="006F704F"/>
    <w:rsid w:val="00700F32"/>
    <w:rsid w:val="00703B8E"/>
    <w:rsid w:val="0070425B"/>
    <w:rsid w:val="00712064"/>
    <w:rsid w:val="007361E6"/>
    <w:rsid w:val="00741E9B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25DE5"/>
    <w:rsid w:val="00825E1A"/>
    <w:rsid w:val="00864004"/>
    <w:rsid w:val="0089186F"/>
    <w:rsid w:val="008B0278"/>
    <w:rsid w:val="008C5DC2"/>
    <w:rsid w:val="008E4913"/>
    <w:rsid w:val="009104B5"/>
    <w:rsid w:val="009206F3"/>
    <w:rsid w:val="00930B06"/>
    <w:rsid w:val="0093466A"/>
    <w:rsid w:val="00986AF6"/>
    <w:rsid w:val="00996BCA"/>
    <w:rsid w:val="009A1AD9"/>
    <w:rsid w:val="009B33B2"/>
    <w:rsid w:val="009C13A0"/>
    <w:rsid w:val="009D2399"/>
    <w:rsid w:val="009D3865"/>
    <w:rsid w:val="009E27DB"/>
    <w:rsid w:val="009F5D00"/>
    <w:rsid w:val="00A00D89"/>
    <w:rsid w:val="00A04A32"/>
    <w:rsid w:val="00A21379"/>
    <w:rsid w:val="00A337EE"/>
    <w:rsid w:val="00A46087"/>
    <w:rsid w:val="00A67AD2"/>
    <w:rsid w:val="00A818BA"/>
    <w:rsid w:val="00A83D09"/>
    <w:rsid w:val="00AA64AB"/>
    <w:rsid w:val="00AD1096"/>
    <w:rsid w:val="00AD39E6"/>
    <w:rsid w:val="00B20539"/>
    <w:rsid w:val="00B36D73"/>
    <w:rsid w:val="00B52633"/>
    <w:rsid w:val="00B61E55"/>
    <w:rsid w:val="00B66A0A"/>
    <w:rsid w:val="00B84A6E"/>
    <w:rsid w:val="00B857A7"/>
    <w:rsid w:val="00BD4760"/>
    <w:rsid w:val="00C16131"/>
    <w:rsid w:val="00C355B9"/>
    <w:rsid w:val="00C52741"/>
    <w:rsid w:val="00C56801"/>
    <w:rsid w:val="00C67D14"/>
    <w:rsid w:val="00C867A3"/>
    <w:rsid w:val="00CB6832"/>
    <w:rsid w:val="00CD4F5C"/>
    <w:rsid w:val="00CD770F"/>
    <w:rsid w:val="00CE4823"/>
    <w:rsid w:val="00D07166"/>
    <w:rsid w:val="00D27DFD"/>
    <w:rsid w:val="00D303AC"/>
    <w:rsid w:val="00D33B18"/>
    <w:rsid w:val="00D45388"/>
    <w:rsid w:val="00D72E36"/>
    <w:rsid w:val="00D95540"/>
    <w:rsid w:val="00D97E3D"/>
    <w:rsid w:val="00DA1391"/>
    <w:rsid w:val="00DC6FFF"/>
    <w:rsid w:val="00DD3560"/>
    <w:rsid w:val="00DE1F20"/>
    <w:rsid w:val="00DE2E2A"/>
    <w:rsid w:val="00E41269"/>
    <w:rsid w:val="00E60B8D"/>
    <w:rsid w:val="00E77262"/>
    <w:rsid w:val="00E8283A"/>
    <w:rsid w:val="00EC3391"/>
    <w:rsid w:val="00ED3929"/>
    <w:rsid w:val="00EE5434"/>
    <w:rsid w:val="00F12323"/>
    <w:rsid w:val="00F15142"/>
    <w:rsid w:val="00F2799E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84DB-1B51-487B-8CB7-F60669E9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2335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8</cp:revision>
  <cp:lastPrinted>2016-12-09T07:10:00Z</cp:lastPrinted>
  <dcterms:created xsi:type="dcterms:W3CDTF">2016-12-01T13:34:00Z</dcterms:created>
  <dcterms:modified xsi:type="dcterms:W3CDTF">2016-12-09T07:11:00Z</dcterms:modified>
</cp:coreProperties>
</file>