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160" w:right="0" w:firstLine="0"/>
        <w:jc w:val="left"/>
        <w:rPr>
          <w:sz w:val="32"/>
        </w:rPr>
      </w:pPr>
      <w:r>
        <w:rPr>
          <w:sz w:val="32"/>
        </w:rPr>
        <w:t>Finanční platební kalendář FM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tabs>
          <w:tab w:pos="3969" w:val="left" w:leader="none"/>
        </w:tabs>
        <w:spacing w:before="197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Svazek obcí Košťálov - Libštát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Košťálov a Libštát - kanalizace a ČOV, 3.etapa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1 - Zlepšování kvality vody a snižování rizika povodní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tabs>
          <w:tab w:pos="3969" w:val="left" w:leader="none"/>
        </w:tabs>
      </w:pPr>
      <w:r>
        <w:rPr>
          <w:color w:val="6C777E"/>
        </w:rPr>
        <w:t>Akceptační číslo:</w:t>
        <w:tab/>
      </w:r>
      <w:r>
        <w:rPr/>
        <w:t>18000361</w:t>
      </w:r>
    </w:p>
    <w:p>
      <w:pPr>
        <w:tabs>
          <w:tab w:pos="3969" w:val="left" w:leader="none"/>
          <w:tab w:pos="7779" w:val="left" w:leader="none"/>
          <w:tab w:pos="1158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Číslo projektu:</w:t>
        <w:tab/>
      </w:r>
      <w:r>
        <w:rPr>
          <w:sz w:val="18"/>
        </w:rPr>
        <w:t>37150748</w:t>
        <w:tab/>
      </w:r>
      <w:r>
        <w:rPr>
          <w:color w:val="6C777E"/>
          <w:sz w:val="18"/>
        </w:rPr>
        <w:t>FM projektu:</w:t>
        <w:tab/>
      </w:r>
      <w:r>
        <w:rPr>
          <w:sz w:val="18"/>
        </w:rPr>
        <w:t>Lubinová Martina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Registrační číslo z MS 2014+:</w:t>
        <w:tab/>
      </w:r>
      <w:r>
        <w:rPr>
          <w:sz w:val="18"/>
        </w:rPr>
        <w:t>CZ.05.1.30/0.0/0.0/16_042/0004664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Datum:</w:t>
        <w:tab/>
      </w:r>
      <w:r>
        <w:rPr>
          <w:sz w:val="18"/>
        </w:rPr>
        <w:t>06.08.2019</w:t>
      </w:r>
    </w:p>
    <w:p>
      <w:pPr>
        <w:tabs>
          <w:tab w:pos="3969" w:val="left" w:leader="none"/>
        </w:tabs>
        <w:spacing w:before="85"/>
        <w:ind w:left="160" w:right="0" w:firstLine="0"/>
        <w:jc w:val="left"/>
        <w:rPr>
          <w:sz w:val="18"/>
        </w:rPr>
      </w:pPr>
      <w:r>
        <w:rPr>
          <w:color w:val="6C777E"/>
          <w:sz w:val="18"/>
        </w:rPr>
        <w:t>Č. j.:</w:t>
        <w:tab/>
      </w:r>
      <w:r>
        <w:rPr>
          <w:sz w:val="18"/>
        </w:rPr>
        <w:t>SFZP 103907/2017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577"/>
        <w:gridCol w:w="2110"/>
        <w:gridCol w:w="2110"/>
        <w:gridCol w:w="2109"/>
        <w:gridCol w:w="2110"/>
        <w:gridCol w:w="2060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3" w:lineRule="exact"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7" w:type="dxa"/>
          </w:tcPr>
          <w:p>
            <w:pPr>
              <w:pStyle w:val="TableParagraph"/>
              <w:spacing w:line="247" w:lineRule="auto" w:before="13"/>
              <w:ind w:left="1566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line="247" w:lineRule="auto" w:before="13"/>
              <w:ind w:left="100" w:right="566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110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  <w:tc>
          <w:tcPr>
            <w:tcW w:w="2060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1872" w:val="left" w:leader="none"/>
              </w:tabs>
              <w:spacing w:before="91"/>
              <w:rPr>
                <w:sz w:val="18"/>
              </w:rPr>
            </w:pPr>
            <w:r>
              <w:rPr>
                <w:sz w:val="18"/>
              </w:rPr>
              <w:t>celkem</w:t>
              <w:tab/>
              <w:t>55 978 996,00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12 021 789,16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55 978 996,00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35 686 609,95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14 694 486,45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5 597 899,60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1248" w:val="left" w:leader="none"/>
              </w:tabs>
              <w:rPr>
                <w:sz w:val="18"/>
              </w:rPr>
            </w:pPr>
            <w:r>
              <w:rPr>
                <w:sz w:val="18"/>
              </w:rPr>
              <w:t>inv.</w:t>
              <w:tab/>
              <w:t>55 978 996,00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12 021 789,16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55 978 996,00</w:t>
            </w:r>
          </w:p>
        </w:tc>
        <w:tc>
          <w:tcPr>
            <w:tcW w:w="2109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35 686 609,95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14 694 486,45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5 597 899,60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50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00" w:orient="landscape"/>
          <w:pgMar w:top="106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039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725" w:right="660"/>
        <w:jc w:val="center"/>
      </w:pPr>
      <w:r>
        <w:rPr/>
        <w:t>1/3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06.08.2019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p>
      <w:pPr>
        <w:pStyle w:val="Heading1"/>
        <w:tabs>
          <w:tab w:pos="2802" w:val="left" w:leader="none"/>
        </w:tabs>
        <w:spacing w:before="49"/>
      </w:pPr>
      <w:r>
        <w:rPr>
          <w:position w:val="4"/>
        </w:rPr>
        <w:t>Období</w:t>
        <w:tab/>
      </w:r>
      <w:r>
        <w:rPr/>
        <w:t>Celkové způsobilé</w:t>
      </w:r>
    </w:p>
    <w:p>
      <w:pPr>
        <w:tabs>
          <w:tab w:pos="4912" w:val="left" w:leader="none"/>
        </w:tabs>
        <w:spacing w:before="5"/>
        <w:ind w:left="2802" w:right="0" w:firstLine="0"/>
        <w:jc w:val="left"/>
        <w:rPr>
          <w:sz w:val="18"/>
        </w:rPr>
      </w:pPr>
      <w:r>
        <w:rPr>
          <w:sz w:val="18"/>
        </w:rPr>
        <w:t>výdaje</w:t>
        <w:tab/>
        <w:t>Nezpůsobilé výdaje</w:t>
      </w:r>
    </w:p>
    <w:p>
      <w:pPr>
        <w:spacing w:before="89"/>
        <w:ind w:left="16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Celkové způsobilé</w:t>
      </w:r>
    </w:p>
    <w:p>
      <w:pPr>
        <w:tabs>
          <w:tab w:pos="2269" w:val="left" w:leader="none"/>
          <w:tab w:pos="4378" w:val="left" w:leader="none"/>
          <w:tab w:pos="6488" w:val="left" w:leader="none"/>
        </w:tabs>
        <w:spacing w:before="5"/>
        <w:ind w:left="160" w:right="0" w:firstLine="0"/>
        <w:jc w:val="left"/>
        <w:rPr>
          <w:sz w:val="18"/>
        </w:rPr>
      </w:pPr>
      <w:r>
        <w:rPr>
          <w:sz w:val="18"/>
        </w:rPr>
        <w:t>veřejné výdaje</w:t>
        <w:tab/>
        <w:t>Podpora OPZP</w:t>
        <w:tab/>
        <w:t>Půjčka SFZP</w:t>
        <w:tab/>
        <w:t>Vlastni Zdroje</w:t>
      </w:r>
    </w:p>
    <w:p>
      <w:pPr>
        <w:spacing w:after="0"/>
        <w:jc w:val="left"/>
        <w:rPr>
          <w:sz w:val="18"/>
        </w:rPr>
        <w:sectPr>
          <w:pgSz w:w="16840" w:h="11900" w:orient="landscape"/>
          <w:pgMar w:top="640" w:bottom="0" w:left="680" w:right="740"/>
          <w:cols w:num="2" w:equalWidth="0">
            <w:col w:w="6447" w:space="415"/>
            <w:col w:w="8558"/>
          </w:cols>
        </w:sectPr>
      </w:pPr>
    </w:p>
    <w:p>
      <w:pPr>
        <w:tabs>
          <w:tab w:pos="1699" w:val="left" w:leader="none"/>
          <w:tab w:pos="4363" w:val="left" w:leader="none"/>
          <w:tab w:pos="6473" w:val="left" w:leader="none"/>
          <w:tab w:pos="8582" w:val="left" w:leader="none"/>
          <w:tab w:pos="10692" w:val="left" w:leader="none"/>
          <w:tab w:pos="12801" w:val="left" w:leader="none"/>
          <w:tab w:pos="14911" w:val="left" w:leader="none"/>
        </w:tabs>
        <w:spacing w:before="125"/>
        <w:ind w:left="160" w:right="0" w:firstLine="0"/>
        <w:jc w:val="left"/>
        <w:rPr>
          <w:sz w:val="18"/>
        </w:rPr>
      </w:pPr>
      <w:r>
        <w:rPr>
          <w:b/>
          <w:position w:val="4"/>
          <w:sz w:val="18"/>
        </w:rPr>
        <w:t>2017</w:t>
        <w:tab/>
      </w:r>
      <w:r>
        <w:rPr>
          <w:sz w:val="18"/>
        </w:rPr>
        <w:t>celkem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tabs>
          <w:tab w:pos="4363" w:val="left" w:leader="none"/>
          <w:tab w:pos="6473" w:val="left" w:leader="none"/>
          <w:tab w:pos="8582" w:val="left" w:leader="none"/>
          <w:tab w:pos="10692" w:val="left" w:leader="none"/>
          <w:tab w:pos="12801" w:val="left" w:leader="none"/>
          <w:tab w:pos="14911" w:val="left" w:leader="none"/>
        </w:tabs>
        <w:spacing w:before="165"/>
        <w:ind w:left="2323" w:right="0" w:firstLine="0"/>
        <w:jc w:val="left"/>
        <w:rPr>
          <w:sz w:val="18"/>
        </w:rPr>
      </w:pPr>
      <w:r>
        <w:rPr>
          <w:sz w:val="18"/>
        </w:rPr>
        <w:t>inv.</w:t>
        <w:tab/>
        <w:t>0,00</w:t>
        <w:tab/>
        <w:t>0,00</w:t>
        <w:tab/>
        <w:t>0,00</w:t>
        <w:tab/>
        <w:t>0,00</w:t>
        <w:tab/>
        <w:t>0,00</w:t>
        <w:tab/>
        <w:t>0,00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016"/>
        <w:gridCol w:w="1458"/>
        <w:gridCol w:w="2160"/>
        <w:gridCol w:w="2060"/>
        <w:gridCol w:w="2110"/>
        <w:gridCol w:w="2160"/>
        <w:gridCol w:w="2110"/>
        <w:gridCol w:w="1625"/>
      </w:tblGrid>
      <w:tr>
        <w:trPr>
          <w:trHeight w:val="258" w:hRule="exact"/>
        </w:trPr>
        <w:tc>
          <w:tcPr>
            <w:tcW w:w="1520" w:type="dxa"/>
            <w:gridSpan w:val="2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line="183" w:lineRule="exact" w:before="0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spacing w:line="183" w:lineRule="exact" w:before="0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line="183" w:lineRule="exact" w:before="0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line="183" w:lineRule="exact" w:before="0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line="183" w:lineRule="exact" w:before="0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line="183" w:lineRule="exact" w:before="0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line="183" w:lineRule="exact" w:before="0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5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>
              <w:pStyle w:val="TableParagraph"/>
              <w:spacing w:before="5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18 659 665,34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18 659 665,34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11 895 536,65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4 898 162,15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1 865 966,54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18 659 665,34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18 659 665,34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11 895 536,65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4 898 162,15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1 865 966,54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13 659 665,34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13 659 665,34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4"/>
              <w:rPr>
                <w:sz w:val="18"/>
              </w:rPr>
            </w:pPr>
            <w:r>
              <w:rPr>
                <w:sz w:val="18"/>
              </w:rPr>
              <w:t>8 708 036,65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3 585 662,15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1 365 966,54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13 659 665,34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13 659 665,34</w:t>
            </w:r>
          </w:p>
        </w:tc>
        <w:tc>
          <w:tcPr>
            <w:tcW w:w="2160" w:type="dxa"/>
          </w:tcPr>
          <w:p>
            <w:pPr>
              <w:pStyle w:val="TableParagraph"/>
              <w:ind w:right="534"/>
              <w:rPr>
                <w:sz w:val="18"/>
              </w:rPr>
            </w:pPr>
            <w:r>
              <w:rPr>
                <w:sz w:val="18"/>
              </w:rPr>
              <w:t>8 708 036,65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3 585 662,15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1 365 966,54</w:t>
            </w:r>
          </w:p>
        </w:tc>
      </w:tr>
      <w:tr>
        <w:trPr>
          <w:trHeight w:val="35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>
              <w:pStyle w:val="TableParagraph"/>
              <w:spacing w:before="51"/>
              <w:ind w:right="67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458" w:type="dxa"/>
          </w:tcPr>
          <w:p>
            <w:pPr>
              <w:pStyle w:val="TableParagraph"/>
              <w:spacing w:before="91"/>
              <w:ind w:left="6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91"/>
              <w:ind w:right="482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484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ind w:right="534"/>
              <w:rPr>
                <w:sz w:val="18"/>
              </w:rPr>
            </w:pPr>
            <w:r>
              <w:rPr>
                <w:sz w:val="18"/>
              </w:rPr>
              <w:t>3 187 500,00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right="532"/>
              <w:rPr>
                <w:sz w:val="18"/>
              </w:rPr>
            </w:pPr>
            <w:r>
              <w:rPr>
                <w:sz w:val="18"/>
              </w:rPr>
              <w:t>1 312 500,00</w:t>
            </w:r>
          </w:p>
        </w:tc>
        <w:tc>
          <w:tcPr>
            <w:tcW w:w="1625" w:type="dxa"/>
          </w:tcPr>
          <w:p>
            <w:pPr>
              <w:pStyle w:val="TableParagraph"/>
              <w:spacing w:before="91"/>
              <w:ind w:right="48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</w:tr>
      <w:tr>
        <w:trPr>
          <w:trHeight w:val="376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ind w:right="484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2160" w:type="dxa"/>
          </w:tcPr>
          <w:p>
            <w:pPr>
              <w:pStyle w:val="TableParagraph"/>
              <w:ind w:right="534"/>
              <w:rPr>
                <w:sz w:val="18"/>
              </w:rPr>
            </w:pPr>
            <w:r>
              <w:rPr>
                <w:sz w:val="18"/>
              </w:rPr>
              <w:t>3 187 500,00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1 312 500,00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</w:tr>
      <w:tr>
        <w:trPr>
          <w:trHeight w:val="278" w:hRule="exact"/>
        </w:trPr>
        <w:tc>
          <w:tcPr>
            <w:tcW w:w="504" w:type="dxa"/>
          </w:tcPr>
          <w:p>
            <w:pPr/>
          </w:p>
        </w:tc>
        <w:tc>
          <w:tcPr>
            <w:tcW w:w="1016" w:type="dxa"/>
          </w:tcPr>
          <w:p>
            <w:pPr/>
          </w:p>
        </w:tc>
        <w:tc>
          <w:tcPr>
            <w:tcW w:w="1458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16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ind w:right="48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4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</w:tcPr>
          <w:p>
            <w:pPr>
              <w:pStyle w:val="TableParagraph"/>
              <w:ind w:right="5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ind w:right="53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060" w:bottom="0" w:left="680" w:right="740"/>
        </w:sectPr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039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/>
        <w:ind w:left="815" w:right="-20"/>
      </w:pP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</w:pPr>
    </w:p>
    <w:p>
      <w:pPr>
        <w:pStyle w:val="Heading1"/>
        <w:ind w:left="725" w:right="660"/>
        <w:jc w:val="center"/>
      </w:pPr>
      <w:r>
        <w:rPr/>
        <w:t>2/3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06.08.2019</w:t>
      </w:r>
    </w:p>
    <w:p>
      <w:pPr>
        <w:spacing w:after="0"/>
        <w:jc w:val="center"/>
        <w:sectPr>
          <w:type w:val="continuous"/>
          <w:pgSz w:w="16840" w:h="11900" w:orient="landscape"/>
          <w:pgMar w:top="1060" w:bottom="0" w:left="680" w:right="740"/>
          <w:cols w:num="2" w:equalWidth="0">
            <w:col w:w="9073" w:space="4154"/>
            <w:col w:w="2193"/>
          </w:cols>
        </w:sectPr>
      </w:pPr>
    </w:p>
    <w:tbl>
      <w:tblPr>
        <w:tblW w:w="0" w:type="auto"/>
        <w:jc w:val="left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3577"/>
        <w:gridCol w:w="2110"/>
        <w:gridCol w:w="2110"/>
        <w:gridCol w:w="2109"/>
        <w:gridCol w:w="2110"/>
        <w:gridCol w:w="2060"/>
      </w:tblGrid>
      <w:tr>
        <w:trPr>
          <w:trHeight w:val="514" w:hRule="exact"/>
        </w:trPr>
        <w:tc>
          <w:tcPr>
            <w:tcW w:w="1126" w:type="dxa"/>
          </w:tcPr>
          <w:p>
            <w:pPr>
              <w:pStyle w:val="TableParagraph"/>
              <w:spacing w:line="180" w:lineRule="exact" w:before="0"/>
              <w:ind w:left="5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3577" w:type="dxa"/>
          </w:tcPr>
          <w:p>
            <w:pPr>
              <w:pStyle w:val="TableParagraph"/>
              <w:spacing w:line="247" w:lineRule="auto" w:before="9"/>
              <w:ind w:left="1566" w:right="56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110" w:type="dxa"/>
          </w:tcPr>
          <w:p>
            <w:pPr>
              <w:pStyle w:val="TableParagraph"/>
              <w:spacing w:line="247" w:lineRule="auto" w:before="9"/>
              <w:ind w:left="100" w:right="566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 výdaje</w:t>
            </w:r>
          </w:p>
        </w:tc>
        <w:tc>
          <w:tcPr>
            <w:tcW w:w="2109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00" w:right="0"/>
              <w:jc w:val="left"/>
              <w:rPr>
                <w:sz w:val="18"/>
              </w:rPr>
            </w:pPr>
            <w:r>
              <w:rPr>
                <w:sz w:val="18"/>
              </w:rPr>
              <w:t>Podpora OPZP</w:t>
            </w:r>
          </w:p>
        </w:tc>
        <w:tc>
          <w:tcPr>
            <w:tcW w:w="211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Půjčka SFZP</w:t>
            </w:r>
          </w:p>
        </w:tc>
        <w:tc>
          <w:tcPr>
            <w:tcW w:w="2060" w:type="dxa"/>
          </w:tcPr>
          <w:p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Vlastni Zdroje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1872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  <w:t>18 659 665,33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18 659 665,33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11 895 536,64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4 898 162,14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1 865 966,55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1248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  <w:t>18 659 665,33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4 007 263,05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18 659 665,33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11 895 536,64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4 898 162,14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1 865 966,55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1872" w:val="left" w:leader="none"/>
              </w:tabs>
              <w:spacing w:before="87"/>
              <w:rPr>
                <w:sz w:val="18"/>
              </w:rPr>
            </w:pPr>
            <w:r>
              <w:rPr>
                <w:sz w:val="18"/>
              </w:rPr>
              <w:t>celkem</w:t>
              <w:tab/>
              <w:t>18 659 665,33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4 007 263,06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18 659 665,33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11 895 536,66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4 898 162,16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1 865 966,51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1248" w:val="left" w:leader="none"/>
              </w:tabs>
              <w:spacing w:before="67"/>
              <w:rPr>
                <w:sz w:val="18"/>
              </w:rPr>
            </w:pPr>
            <w:r>
              <w:rPr>
                <w:sz w:val="18"/>
              </w:rPr>
              <w:t>inv.</w:t>
              <w:tab/>
              <w:t>18 659 665,33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4 007 263,06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18 659 665,33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11 895 536,66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4 898 162,16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1 865 966,51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5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6" w:hRule="exact"/>
        </w:trPr>
        <w:tc>
          <w:tcPr>
            <w:tcW w:w="1126" w:type="dxa"/>
          </w:tcPr>
          <w:p>
            <w:pPr>
              <w:pStyle w:val="TableParagraph"/>
              <w:spacing w:before="47"/>
              <w:ind w:left="5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3577" w:type="dxa"/>
          </w:tcPr>
          <w:p>
            <w:pPr>
              <w:pStyle w:val="TableParagraph"/>
              <w:tabs>
                <w:tab w:pos="2664" w:val="left" w:leader="none"/>
              </w:tabs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celkem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8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8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040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278" w:hRule="exact"/>
        </w:trPr>
        <w:tc>
          <w:tcPr>
            <w:tcW w:w="1126" w:type="dxa"/>
          </w:tcPr>
          <w:p>
            <w:pPr/>
          </w:p>
        </w:tc>
        <w:tc>
          <w:tcPr>
            <w:tcW w:w="3577" w:type="dxa"/>
          </w:tcPr>
          <w:p>
            <w:pPr>
              <w:pStyle w:val="TableParagraph"/>
              <w:tabs>
                <w:tab w:pos="2234" w:val="left" w:leader="none"/>
              </w:tabs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neinv.</w:t>
              <w:tab/>
            </w:r>
            <w:r>
              <w:rPr>
                <w:spacing w:val="-1"/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9" w:type="dxa"/>
          </w:tcPr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67"/>
              <w:ind w:right="9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60" w:type="dxa"/>
          </w:tcPr>
          <w:p>
            <w:pPr>
              <w:pStyle w:val="TableParagraph"/>
              <w:spacing w:before="67"/>
              <w:ind w:right="4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pgSz w:w="16840" w:h="11900" w:orient="landscape"/>
          <w:pgMar w:top="720" w:bottom="0" w:left="680" w:right="740"/>
        </w:sectPr>
      </w:pPr>
    </w:p>
    <w:p>
      <w:pPr>
        <w:pStyle w:val="BodyText"/>
        <w:spacing w:line="247" w:lineRule="auto" w:before="79"/>
        <w:ind w:left="815" w:right="-20"/>
      </w:pPr>
      <w:r>
        <w:rPr/>
        <w:drawing>
          <wp:anchor distT="0" distB="0" distL="0" distR="0" allowOverlap="1" layoutInCell="1" locked="0" behindDoc="1" simplePos="0" relativeHeight="2684039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C777E"/>
          </w:rPr>
          <w:t>Státní fond životního prostředí ČR, Kaplanova 1931/1, 148 00 Praha 11, Tel.: +420 267 994 300, Fax: +420 272 936 585, www.sfzp.cz</w:t>
        </w:r>
      </w:hyperlink>
      <w:r>
        <w:rPr>
          <w:color w:val="6C777E"/>
        </w:rPr>
        <w:t> Ministerstvo životního prostředí, Evropská unie, Evropský fond pro regionální rozvoj, Fond soudržnosti, </w:t>
      </w:r>
      <w:hyperlink r:id="rId7">
        <w:r>
          <w:rPr>
            <w:color w:val="6C777E"/>
          </w:rPr>
          <w:t>www.opzp.cz,</w:t>
        </w:r>
      </w:hyperlink>
      <w:r>
        <w:rPr>
          <w:color w:val="6C777E"/>
        </w:rPr>
        <w:t> </w:t>
      </w:r>
      <w:hyperlink r:id="rId8">
        <w:r>
          <w:rPr>
            <w:color w:val="6C777E"/>
          </w:rPr>
          <w:t>www.europa.eu</w:t>
        </w:r>
      </w:hyperlink>
      <w:r>
        <w:rPr>
          <w:color w:val="6C777E"/>
        </w:rPr>
        <w:t> Zelená linka 800 260 500, </w:t>
      </w:r>
      <w:hyperlink r:id="rId9">
        <w:r>
          <w:rPr>
            <w:color w:val="6C777E"/>
          </w:rPr>
          <w:t>dotazy@sfzp.cz</w:t>
        </w:r>
      </w:hyperlink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ind w:left="725" w:right="660"/>
        <w:jc w:val="center"/>
      </w:pPr>
      <w:r>
        <w:rPr/>
        <w:t>3/3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1"/>
        <w:ind w:left="795" w:right="660"/>
        <w:jc w:val="center"/>
      </w:pPr>
      <w:r>
        <w:rPr>
          <w:color w:val="6C777E"/>
        </w:rPr>
        <w:t>06.08.2019</w:t>
      </w:r>
    </w:p>
    <w:sectPr>
      <w:type w:val="continuous"/>
      <w:pgSz w:w="16840" w:h="11900" w:orient="landscape"/>
      <w:pgMar w:top="1060" w:bottom="0" w:left="680" w:right="740"/>
      <w:cols w:num="2" w:equalWidth="0">
        <w:col w:w="9073" w:space="4154"/>
        <w:col w:w="21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JohnSans Text Pro" w:hAnsi="JohnSans Text Pro" w:eastAsia="JohnSans Text Pro" w:cs="JohnSans Text Pro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1"/>
      <w:ind w:right="98"/>
      <w:jc w:val="right"/>
    </w:pPr>
    <w:rPr>
      <w:rFonts w:ascii="JohnSans Text Pro" w:hAnsi="JohnSans Text Pro" w:eastAsia="JohnSans Text Pro" w:cs="JohnSans Text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fzp.cz/" TargetMode="External"/><Relationship Id="rId7" Type="http://schemas.openxmlformats.org/officeDocument/2006/relationships/hyperlink" Target="http://www.opzp.cz/" TargetMode="External"/><Relationship Id="rId8" Type="http://schemas.openxmlformats.org/officeDocument/2006/relationships/hyperlink" Target="http://www.europa.eu/" TargetMode="External"/><Relationship Id="rId9" Type="http://schemas.openxmlformats.org/officeDocument/2006/relationships/hyperlink" Target="mailto:dotazy@sfzp.cz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2019-09-09T15:09:41Z</dcterms:created>
  <dcterms:modified xsi:type="dcterms:W3CDTF">2019-09-09T15:09:41Z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2019-09-09T00:00:00Z</vt:filetime>
  </property>
</Properties>
</file>