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CA" w:rsidRDefault="00B671CA">
      <w:pPr>
        <w:pStyle w:val="Standard"/>
      </w:pPr>
      <w:bookmarkStart w:id="0" w:name="_GoBack"/>
      <w:bookmarkEnd w:id="0"/>
    </w:p>
    <w:p w:rsidR="00B671CA" w:rsidRDefault="00B671CA">
      <w:pPr>
        <w:pStyle w:val="Standard"/>
      </w:pPr>
    </w:p>
    <w:p w:rsidR="00B671CA" w:rsidRDefault="004C2121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S M L O U V A</w:t>
      </w:r>
    </w:p>
    <w:p w:rsidR="00B671CA" w:rsidRDefault="004C2121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O NÁJMU NEBYTOVÝCH PROSTOR</w:t>
      </w:r>
    </w:p>
    <w:p w:rsidR="00B671CA" w:rsidRDefault="004C2121">
      <w:pPr>
        <w:pStyle w:val="Standard"/>
      </w:pPr>
      <w:r>
        <w:rPr>
          <w:b/>
          <w:bCs/>
        </w:rPr>
        <w:t xml:space="preserve">                                                                   </w:t>
      </w:r>
      <w:r>
        <w:t>mezi</w:t>
      </w:r>
    </w:p>
    <w:p w:rsidR="00B671CA" w:rsidRDefault="00B671CA">
      <w:pPr>
        <w:pStyle w:val="Standard"/>
        <w:rPr>
          <w:b/>
          <w:bCs/>
        </w:rPr>
      </w:pPr>
    </w:p>
    <w:p w:rsidR="00B671CA" w:rsidRDefault="004C2121">
      <w:pPr>
        <w:pStyle w:val="Standard"/>
      </w:pPr>
      <w:r>
        <w:rPr>
          <w:b/>
          <w:bCs/>
        </w:rPr>
        <w:t xml:space="preserve">                                       </w:t>
      </w:r>
      <w:r>
        <w:rPr>
          <w:b/>
          <w:bCs/>
          <w:sz w:val="32"/>
          <w:szCs w:val="32"/>
        </w:rPr>
        <w:t>TĚLOVÝCHOVNÁ JEDNOTA</w:t>
      </w:r>
    </w:p>
    <w:p w:rsidR="00B671CA" w:rsidRDefault="004C2121">
      <w:pPr>
        <w:pStyle w:val="Standard"/>
        <w:jc w:val="center"/>
      </w:pPr>
      <w:r>
        <w:rPr>
          <w:b/>
          <w:bCs/>
          <w:sz w:val="32"/>
          <w:szCs w:val="32"/>
        </w:rPr>
        <w:t>BOHEMIANS PRAHA</w:t>
      </w:r>
    </w:p>
    <w:p w:rsidR="00B671CA" w:rsidRDefault="00B671CA">
      <w:pPr>
        <w:pStyle w:val="Standard"/>
        <w:rPr>
          <w:b/>
          <w:bCs/>
          <w:sz w:val="32"/>
          <w:szCs w:val="32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se sídlem:         Izraelská 6, 100 00 Praha 10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zastoupenou:    Richardem ŠACHEM, generálním sekretářem TJ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IČO:                 15887456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DIČ:                 CZ 15887456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Bank.</w:t>
      </w:r>
      <w:r>
        <w:rPr>
          <w:sz w:val="26"/>
          <w:szCs w:val="26"/>
        </w:rPr>
        <w:t xml:space="preserve"> spoj.:      KB Praha l0, č.ú. - 18436-101/0100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Zapsána u MV ČR, č.j. VSP/1-2419/90-R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(dále jen  „pronajímatel“)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a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jc w:val="center"/>
      </w:pPr>
      <w:r>
        <w:rPr>
          <w:b/>
          <w:bCs/>
          <w:sz w:val="32"/>
          <w:szCs w:val="32"/>
        </w:rPr>
        <w:t>STŘEDNÍ ŠKOLA  a VYŠŠÍ ODBORNÁ ŠKOLA</w:t>
      </w:r>
    </w:p>
    <w:p w:rsidR="00B671CA" w:rsidRDefault="004C2121">
      <w:pPr>
        <w:pStyle w:val="Standard"/>
        <w:jc w:val="center"/>
      </w:pPr>
      <w:r>
        <w:rPr>
          <w:b/>
          <w:bCs/>
          <w:sz w:val="32"/>
          <w:szCs w:val="32"/>
        </w:rPr>
        <w:t>UMĚLECKÁ A ŘEMESLNÁ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se sídlem: </w:t>
      </w:r>
      <w:r>
        <w:rPr>
          <w:sz w:val="26"/>
          <w:szCs w:val="26"/>
        </w:rPr>
        <w:t xml:space="preserve">         Nový Zlíchov 1063/1, 150 00 Praha 5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zastoupenou:     Mgr. Ing. Janou Porvichovou, Ph.D., MBA - ředitelkou školy                     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IČO:   14891263               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DIČ:   CZ14891263              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Bank. spoj.:    KB Praha 5, č.ú. – 16430101/010</w:t>
      </w:r>
      <w:r>
        <w:rPr>
          <w:sz w:val="26"/>
          <w:szCs w:val="26"/>
        </w:rPr>
        <w:t xml:space="preserve">0  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(dále jen nájemce)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Smluvní strany uzavírají smlouvu o pronájmu nebytových prostor podle zákona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č. 89/2012 Sb. dnem podpisu této smlouvy.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</w:p>
    <w:p w:rsidR="00B671CA" w:rsidRDefault="004C2121">
      <w:pPr>
        <w:pStyle w:val="Standard"/>
      </w:pPr>
      <w:r>
        <w:rPr>
          <w:sz w:val="26"/>
          <w:szCs w:val="26"/>
        </w:rPr>
        <w:t xml:space="preserve">                                                                </w:t>
      </w:r>
      <w:r>
        <w:rPr>
          <w:b/>
          <w:bCs/>
          <w:sz w:val="36"/>
          <w:szCs w:val="36"/>
        </w:rPr>
        <w:t>I.</w:t>
      </w:r>
    </w:p>
    <w:p w:rsidR="00B671CA" w:rsidRDefault="00B671CA">
      <w:pPr>
        <w:pStyle w:val="Standard"/>
        <w:rPr>
          <w:b/>
          <w:bCs/>
          <w:sz w:val="36"/>
          <w:szCs w:val="3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Pronajímatel se zavazuje umožnit nájemci k datu účinnosti této smlouvy užívání jeho</w:t>
      </w: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následujících prostor: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</w:pPr>
      <w:r>
        <w:rPr>
          <w:sz w:val="26"/>
          <w:szCs w:val="26"/>
        </w:rPr>
        <w:t xml:space="preserve">              </w:t>
      </w:r>
      <w:r>
        <w:rPr>
          <w:b/>
          <w:bCs/>
          <w:sz w:val="26"/>
          <w:szCs w:val="26"/>
        </w:rPr>
        <w:t xml:space="preserve">hala č. I  a II na Hagiboru   </w:t>
      </w:r>
      <w:r>
        <w:rPr>
          <w:sz w:val="26"/>
          <w:szCs w:val="26"/>
        </w:rPr>
        <w:t>(400,- Kč/hod.)</w:t>
      </w:r>
    </w:p>
    <w:p w:rsidR="00B671CA" w:rsidRDefault="00B671CA">
      <w:pPr>
        <w:pStyle w:val="Standard"/>
      </w:pPr>
    </w:p>
    <w:p w:rsidR="00B671CA" w:rsidRDefault="004C2121">
      <w:pPr>
        <w:pStyle w:val="Standard"/>
      </w:pPr>
      <w:r>
        <w:rPr>
          <w:b/>
          <w:bCs/>
          <w:sz w:val="26"/>
          <w:szCs w:val="26"/>
        </w:rPr>
        <w:t xml:space="preserve">              pondělí - pátek              </w:t>
      </w:r>
      <w:r>
        <w:rPr>
          <w:sz w:val="26"/>
          <w:szCs w:val="26"/>
        </w:rPr>
        <w:t xml:space="preserve">v době         </w:t>
      </w:r>
      <w:r>
        <w:rPr>
          <w:b/>
          <w:bCs/>
          <w:sz w:val="26"/>
          <w:szCs w:val="26"/>
        </w:rPr>
        <w:t xml:space="preserve">8.3o - 12.oo </w:t>
      </w:r>
      <w:r>
        <w:rPr>
          <w:sz w:val="26"/>
          <w:szCs w:val="26"/>
        </w:rPr>
        <w:t>hod.</w:t>
      </w:r>
      <w:r>
        <w:rPr>
          <w:b/>
          <w:bCs/>
          <w:sz w:val="26"/>
          <w:szCs w:val="26"/>
        </w:rPr>
        <w:t xml:space="preserve">          dle rozpisu             </w:t>
      </w:r>
      <w:r>
        <w:rPr>
          <w:sz w:val="26"/>
          <w:szCs w:val="26"/>
        </w:rPr>
        <w:t xml:space="preserve">                                                  </w:t>
      </w:r>
    </w:p>
    <w:p w:rsidR="00B671CA" w:rsidRDefault="00B671CA">
      <w:pPr>
        <w:pStyle w:val="Standard"/>
        <w:rPr>
          <w:bCs/>
          <w:sz w:val="26"/>
          <w:szCs w:val="26"/>
        </w:rPr>
      </w:pPr>
    </w:p>
    <w:p w:rsidR="00B671CA" w:rsidRDefault="004C2121">
      <w:pPr>
        <w:pStyle w:val="Standard"/>
      </w:pPr>
      <w:r>
        <w:rPr>
          <w:bCs/>
          <w:sz w:val="26"/>
          <w:szCs w:val="26"/>
        </w:rPr>
        <w:t xml:space="preserve">Nájemné  za celou dobu nájmu      </w:t>
      </w:r>
      <w:r>
        <w:rPr>
          <w:bCs/>
          <w:sz w:val="26"/>
          <w:szCs w:val="26"/>
        </w:rPr>
        <w:t xml:space="preserve">                    </w:t>
      </w:r>
      <w:r>
        <w:rPr>
          <w:b/>
          <w:bCs/>
          <w:sz w:val="26"/>
          <w:szCs w:val="26"/>
        </w:rPr>
        <w:t xml:space="preserve">                                 249.000,- Kč.                               </w:t>
      </w:r>
    </w:p>
    <w:p w:rsidR="00B671CA" w:rsidRDefault="00B671CA">
      <w:pPr>
        <w:pStyle w:val="Standard"/>
        <w:rPr>
          <w:b/>
          <w:bCs/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Nájemce se zavazuje hradit nájemné na základě faktury pronajímatele.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</w:pPr>
      <w:r>
        <w:rPr>
          <w:sz w:val="26"/>
          <w:szCs w:val="26"/>
        </w:rPr>
        <w:t xml:space="preserve">                                                              </w:t>
      </w:r>
      <w:r>
        <w:rPr>
          <w:b/>
          <w:bCs/>
          <w:sz w:val="36"/>
          <w:szCs w:val="36"/>
        </w:rPr>
        <w:t>II.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Nájemce se zavazuje</w:t>
      </w:r>
      <w:r>
        <w:rPr>
          <w:sz w:val="26"/>
          <w:szCs w:val="26"/>
        </w:rPr>
        <w:t>: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užívat převzaté prostory včetně jejich zařízení a vybavení výlučně pro účely,</w:t>
      </w: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    ke kterým jsou určeny.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vlastní činnost vykonávat na základě a v souladu se všemi předpisy, které se</w:t>
      </w: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   na jejich výkon vztahují a zároveň dodržovat provozní řád objek</w:t>
      </w:r>
      <w:r>
        <w:rPr>
          <w:sz w:val="26"/>
          <w:szCs w:val="26"/>
        </w:rPr>
        <w:t>tu.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nahradit pronajímateli způsobenou škodu, nebo ji odstranit uvedením do původního</w:t>
      </w: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   stavu, pokud by vznikla v souvislosti s výkonem nájemcovy činnosti.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</w:pPr>
      <w:r>
        <w:rPr>
          <w:sz w:val="26"/>
          <w:szCs w:val="26"/>
        </w:rPr>
        <w:t xml:space="preserve">                                                             </w:t>
      </w:r>
      <w:r>
        <w:rPr>
          <w:b/>
          <w:bCs/>
          <w:sz w:val="32"/>
          <w:szCs w:val="32"/>
        </w:rPr>
        <w:t>III.</w:t>
      </w:r>
    </w:p>
    <w:p w:rsidR="00B671CA" w:rsidRDefault="00B671CA">
      <w:pPr>
        <w:pStyle w:val="Standard"/>
        <w:rPr>
          <w:b/>
          <w:bCs/>
          <w:sz w:val="32"/>
          <w:szCs w:val="32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Klíče od pronajímaných </w:t>
      </w:r>
      <w:r>
        <w:rPr>
          <w:sz w:val="26"/>
          <w:szCs w:val="26"/>
        </w:rPr>
        <w:t>prostor přebírá a předává zpět pověřený zástupce nájemce.</w:t>
      </w: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Povolit vstup do objektu a šaten lze jen za přítomnosti pověřeného zástupce nájemce.</w:t>
      </w:r>
    </w:p>
    <w:p w:rsidR="00B671CA" w:rsidRDefault="00B671CA">
      <w:pPr>
        <w:pStyle w:val="Standard"/>
        <w:rPr>
          <w:b/>
          <w:bCs/>
          <w:sz w:val="26"/>
          <w:szCs w:val="26"/>
        </w:rPr>
      </w:pPr>
    </w:p>
    <w:p w:rsidR="00B671CA" w:rsidRDefault="004C2121">
      <w:pPr>
        <w:pStyle w:val="Standard"/>
      </w:pPr>
      <w:r>
        <w:rPr>
          <w:b/>
          <w:bCs/>
          <w:sz w:val="26"/>
          <w:szCs w:val="26"/>
        </w:rPr>
        <w:t xml:space="preserve">                                                               </w:t>
      </w:r>
      <w:r>
        <w:rPr>
          <w:b/>
          <w:bCs/>
          <w:sz w:val="32"/>
          <w:szCs w:val="32"/>
        </w:rPr>
        <w:t>IV.</w:t>
      </w:r>
    </w:p>
    <w:p w:rsidR="00B671CA" w:rsidRDefault="00B671CA">
      <w:pPr>
        <w:pStyle w:val="Standard"/>
        <w:rPr>
          <w:b/>
          <w:bCs/>
          <w:sz w:val="32"/>
          <w:szCs w:val="32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Pronajímatel se zavazuje trvale zajišťovat p</w:t>
      </w:r>
      <w:r>
        <w:rPr>
          <w:sz w:val="26"/>
          <w:szCs w:val="26"/>
        </w:rPr>
        <w:t xml:space="preserve">odmínky pro nerušený provoz činnosti      nájemce, zejména zabezpečením řádného plnění služeb, jejichž poskytování </w:t>
      </w: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je s užíváním prostor spojeno.</w:t>
      </w: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Pronajímatel neručí za případné zcizení cenných předmětů, či oblečení, o čemž je nájemce povinen uvědomit </w:t>
      </w:r>
      <w:r>
        <w:rPr>
          <w:sz w:val="26"/>
          <w:szCs w:val="26"/>
        </w:rPr>
        <w:t>všechny své uživatele.</w:t>
      </w:r>
    </w:p>
    <w:p w:rsidR="00B671CA" w:rsidRDefault="00B671CA">
      <w:pPr>
        <w:pStyle w:val="Standard"/>
        <w:rPr>
          <w:b/>
          <w:bCs/>
          <w:sz w:val="26"/>
          <w:szCs w:val="26"/>
        </w:rPr>
      </w:pPr>
    </w:p>
    <w:p w:rsidR="00B671CA" w:rsidRDefault="00B671CA">
      <w:pPr>
        <w:pStyle w:val="Standard"/>
        <w:rPr>
          <w:b/>
          <w:bCs/>
          <w:sz w:val="26"/>
          <w:szCs w:val="26"/>
        </w:rPr>
      </w:pPr>
    </w:p>
    <w:p w:rsidR="00B671CA" w:rsidRDefault="00B671CA">
      <w:pPr>
        <w:pStyle w:val="Standard"/>
        <w:rPr>
          <w:b/>
          <w:bCs/>
          <w:sz w:val="26"/>
          <w:szCs w:val="26"/>
        </w:rPr>
      </w:pPr>
    </w:p>
    <w:p w:rsidR="00B671CA" w:rsidRDefault="00B671CA">
      <w:pPr>
        <w:pStyle w:val="Standard"/>
        <w:rPr>
          <w:b/>
          <w:bCs/>
          <w:sz w:val="26"/>
          <w:szCs w:val="26"/>
        </w:rPr>
      </w:pPr>
    </w:p>
    <w:p w:rsidR="00B671CA" w:rsidRDefault="00B671CA">
      <w:pPr>
        <w:pStyle w:val="Standard"/>
        <w:rPr>
          <w:b/>
          <w:bCs/>
          <w:sz w:val="26"/>
          <w:szCs w:val="26"/>
        </w:rPr>
      </w:pPr>
    </w:p>
    <w:p w:rsidR="00B671CA" w:rsidRDefault="00B671CA">
      <w:pPr>
        <w:pStyle w:val="Standard"/>
        <w:rPr>
          <w:b/>
          <w:bCs/>
          <w:sz w:val="26"/>
          <w:szCs w:val="26"/>
        </w:rPr>
      </w:pPr>
    </w:p>
    <w:p w:rsidR="00B671CA" w:rsidRDefault="00B671CA">
      <w:pPr>
        <w:pStyle w:val="Standard"/>
        <w:rPr>
          <w:b/>
          <w:bCs/>
          <w:sz w:val="26"/>
          <w:szCs w:val="26"/>
        </w:rPr>
      </w:pPr>
    </w:p>
    <w:p w:rsidR="00B671CA" w:rsidRDefault="004C2121">
      <w:pPr>
        <w:pStyle w:val="Standard"/>
      </w:pPr>
      <w:r>
        <w:rPr>
          <w:b/>
          <w:bCs/>
          <w:sz w:val="26"/>
          <w:szCs w:val="26"/>
        </w:rPr>
        <w:t xml:space="preserve">                                                                </w:t>
      </w:r>
      <w:r>
        <w:rPr>
          <w:b/>
          <w:bCs/>
          <w:sz w:val="32"/>
          <w:szCs w:val="32"/>
        </w:rPr>
        <w:t>V.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Tato smlouva se uzavírá na dobu určitou. Fakturováno bude ve dvou částkách                                      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</w:pPr>
      <w:r>
        <w:rPr>
          <w:sz w:val="26"/>
          <w:szCs w:val="26"/>
        </w:rPr>
        <w:t xml:space="preserve">         od   </w:t>
      </w:r>
      <w:r>
        <w:rPr>
          <w:b/>
          <w:bCs/>
          <w:sz w:val="26"/>
          <w:szCs w:val="26"/>
        </w:rPr>
        <w:t xml:space="preserve">16.9. - </w:t>
      </w:r>
      <w:r>
        <w:rPr>
          <w:sz w:val="26"/>
          <w:szCs w:val="26"/>
        </w:rPr>
        <w:t xml:space="preserve">do </w:t>
      </w:r>
      <w:r>
        <w:rPr>
          <w:b/>
          <w:bCs/>
          <w:sz w:val="26"/>
          <w:szCs w:val="26"/>
        </w:rPr>
        <w:t xml:space="preserve">20.12.2019         </w:t>
      </w:r>
      <w:r>
        <w:rPr>
          <w:b/>
          <w:bCs/>
          <w:sz w:val="26"/>
          <w:szCs w:val="26"/>
        </w:rPr>
        <w:t xml:space="preserve">   </w:t>
      </w:r>
      <w:r>
        <w:rPr>
          <w:sz w:val="26"/>
          <w:szCs w:val="26"/>
        </w:rPr>
        <w:t>tj. 288     hod.</w:t>
      </w:r>
      <w:r>
        <w:rPr>
          <w:b/>
          <w:bCs/>
          <w:sz w:val="26"/>
          <w:szCs w:val="26"/>
        </w:rPr>
        <w:t xml:space="preserve">            115.200,-- Kč.</w:t>
      </w:r>
    </w:p>
    <w:p w:rsidR="00B671CA" w:rsidRDefault="00B671CA">
      <w:pPr>
        <w:pStyle w:val="Standard"/>
        <w:rPr>
          <w:b/>
          <w:bCs/>
          <w:sz w:val="26"/>
          <w:szCs w:val="26"/>
        </w:rPr>
      </w:pPr>
    </w:p>
    <w:p w:rsidR="00B671CA" w:rsidRDefault="004C2121">
      <w:pPr>
        <w:pStyle w:val="Standard"/>
      </w:pPr>
      <w:r>
        <w:rPr>
          <w:b/>
          <w:bCs/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6.1.         12 .6.2020          </w:t>
      </w:r>
      <w:r>
        <w:rPr>
          <w:sz w:val="26"/>
          <w:szCs w:val="26"/>
        </w:rPr>
        <w:t xml:space="preserve">       334,5  hod.        </w:t>
      </w:r>
      <w:r>
        <w:rPr>
          <w:b/>
          <w:bCs/>
          <w:sz w:val="26"/>
          <w:szCs w:val="26"/>
        </w:rPr>
        <w:t xml:space="preserve">    133.800,-- Kč</w:t>
      </w:r>
      <w:r>
        <w:rPr>
          <w:sz w:val="26"/>
          <w:szCs w:val="26"/>
        </w:rPr>
        <w:t xml:space="preserve">    </w:t>
      </w: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N E Ú Č T U J E M E   státní svátky a ostatní volné dny – viz rozvrh.</w:t>
      </w: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</w:pPr>
      <w:r>
        <w:rPr>
          <w:sz w:val="26"/>
          <w:szCs w:val="26"/>
        </w:rPr>
        <w:t xml:space="preserve">                                                               </w:t>
      </w:r>
      <w:r>
        <w:rPr>
          <w:b/>
          <w:bCs/>
          <w:sz w:val="32"/>
          <w:szCs w:val="32"/>
        </w:rPr>
        <w:t>VI.</w:t>
      </w:r>
    </w:p>
    <w:p w:rsidR="00B671CA" w:rsidRDefault="00B671CA">
      <w:pPr>
        <w:pStyle w:val="Standard"/>
        <w:rPr>
          <w:b/>
          <w:bCs/>
          <w:sz w:val="32"/>
          <w:szCs w:val="32"/>
        </w:rPr>
      </w:pP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V podrobnostech se smlouva řídí zákonem č. 89/2012 Sb. a  předpisy navazujícími.</w:t>
      </w: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Lze ji měnit jen na základě dohody smluvních stran písemným doda</w:t>
      </w:r>
      <w:r>
        <w:rPr>
          <w:sz w:val="26"/>
          <w:szCs w:val="26"/>
        </w:rPr>
        <w:t>tkem.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</w:pPr>
      <w:r>
        <w:t xml:space="preserve">Smluvní strany dohody výslovně sjednávají, že uveřejnění této </w:t>
      </w:r>
      <w:r>
        <w:rPr>
          <w:bCs/>
        </w:rPr>
        <w:t>smlouvy</w:t>
      </w:r>
      <w:r>
        <w:rPr>
          <w:b/>
          <w:bCs/>
        </w:rPr>
        <w:t xml:space="preserve"> </w:t>
      </w:r>
      <w:r>
        <w:t xml:space="preserve">v registru smluv </w:t>
      </w:r>
    </w:p>
    <w:p w:rsidR="00B671CA" w:rsidRDefault="004C2121">
      <w:pPr>
        <w:pStyle w:val="Standard"/>
      </w:pPr>
      <w:r>
        <w:t xml:space="preserve">dle   zákona č. 340/2015., o zvláštních podmínkách účinnosti některých smluv, uveřejňování </w:t>
      </w:r>
    </w:p>
    <w:p w:rsidR="00B671CA" w:rsidRDefault="004C2121">
      <w:pPr>
        <w:pStyle w:val="Standard"/>
      </w:pPr>
      <w:r>
        <w:t>těchto smluv a o registru smluv (zákon o registru smluv) zajistí Stře</w:t>
      </w:r>
      <w:r>
        <w:t>dní škola a vyšší odborná</w:t>
      </w:r>
    </w:p>
    <w:p w:rsidR="00B671CA" w:rsidRDefault="004C2121">
      <w:pPr>
        <w:pStyle w:val="Standard"/>
      </w:pPr>
      <w:r>
        <w:t xml:space="preserve">škola umělecká a řemeslná,   </w:t>
      </w:r>
    </w:p>
    <w:p w:rsidR="00B671CA" w:rsidRDefault="004C2121">
      <w:pPr>
        <w:pStyle w:val="Standard"/>
      </w:pPr>
      <w:r>
        <w:t>Nový Zlíchov 1, Praha 5.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Smlouva je vyhotovena ve dvou výtiscích, z nichž každá strana obdrží 1 paré.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V Praze dne 9.9.2019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------------------------------------                                </w:t>
      </w:r>
      <w:r>
        <w:rPr>
          <w:sz w:val="26"/>
          <w:szCs w:val="26"/>
        </w:rPr>
        <w:t xml:space="preserve">                     -----------------------------------</w:t>
      </w:r>
    </w:p>
    <w:p w:rsidR="00B671CA" w:rsidRDefault="004C212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         pronajímatel                                                                                      nájemce</w:t>
      </w: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B671CA">
      <w:pPr>
        <w:pStyle w:val="Standard"/>
        <w:rPr>
          <w:sz w:val="26"/>
          <w:szCs w:val="26"/>
        </w:rPr>
      </w:pPr>
    </w:p>
    <w:p w:rsidR="00B671CA" w:rsidRDefault="00B671CA">
      <w:pPr>
        <w:pStyle w:val="Standard"/>
        <w:rPr>
          <w:sz w:val="26"/>
          <w:szCs w:val="26"/>
        </w:rPr>
      </w:pPr>
    </w:p>
    <w:sectPr w:rsidR="00B671CA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121" w:rsidRDefault="004C2121">
      <w:r>
        <w:separator/>
      </w:r>
    </w:p>
  </w:endnote>
  <w:endnote w:type="continuationSeparator" w:id="0">
    <w:p w:rsidR="004C2121" w:rsidRDefault="004C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121" w:rsidRDefault="004C2121">
      <w:r>
        <w:rPr>
          <w:color w:val="000000"/>
        </w:rPr>
        <w:separator/>
      </w:r>
    </w:p>
  </w:footnote>
  <w:footnote w:type="continuationSeparator" w:id="0">
    <w:p w:rsidR="004C2121" w:rsidRDefault="004C2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E3230"/>
    <w:multiLevelType w:val="multilevel"/>
    <w:tmpl w:val="2C10C6EC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" w15:restartNumberingAfterBreak="0">
    <w:nsid w:val="531F1263"/>
    <w:multiLevelType w:val="multilevel"/>
    <w:tmpl w:val="24E8521E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" w15:restartNumberingAfterBreak="0">
    <w:nsid w:val="5C056EC6"/>
    <w:multiLevelType w:val="multilevel"/>
    <w:tmpl w:val="F9EC6FB8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671CA"/>
    <w:rsid w:val="004C2121"/>
    <w:rsid w:val="00911FB2"/>
    <w:rsid w:val="00B6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F7E68-1F97-4D06-96CA-E532F040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Jana Porvichová</cp:lastModifiedBy>
  <cp:revision>2</cp:revision>
  <cp:lastPrinted>2019-09-09T09:10:00Z</cp:lastPrinted>
  <dcterms:created xsi:type="dcterms:W3CDTF">2019-09-09T11:02:00Z</dcterms:created>
  <dcterms:modified xsi:type="dcterms:W3CDTF">2019-09-09T11:02:00Z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