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AB" w:rsidRDefault="005A70AB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5971"/>
      </w:tblGrid>
      <w:tr w:rsidR="005A70AB" w:rsidTr="00D03AC6">
        <w:trPr>
          <w:trHeight w:val="404"/>
        </w:trPr>
        <w:tc>
          <w:tcPr>
            <w:tcW w:w="9142" w:type="dxa"/>
            <w:gridSpan w:val="2"/>
          </w:tcPr>
          <w:p w:rsidR="005A70AB" w:rsidRDefault="005A70AB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Šabatce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2050/17,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5A70AB" w:rsidTr="00D03AC6">
        <w:trPr>
          <w:trHeight w:val="265"/>
        </w:trPr>
        <w:tc>
          <w:tcPr>
            <w:tcW w:w="3171" w:type="dxa"/>
          </w:tcPr>
          <w:p w:rsidR="005A70AB" w:rsidRDefault="005A70A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5971" w:type="dxa"/>
          </w:tcPr>
          <w:p w:rsidR="005A70AB" w:rsidRDefault="005A70A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 CZ00020699</w:t>
            </w:r>
          </w:p>
        </w:tc>
      </w:tr>
      <w:tr w:rsidR="005A70AB" w:rsidTr="00D03AC6">
        <w:trPr>
          <w:trHeight w:val="265"/>
        </w:trPr>
        <w:tc>
          <w:tcPr>
            <w:tcW w:w="3171" w:type="dxa"/>
          </w:tcPr>
          <w:p w:rsidR="005A70AB" w:rsidRDefault="005A70AB" w:rsidP="00F85416">
            <w:pPr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Č.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ú.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="00F85416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5971" w:type="dxa"/>
          </w:tcPr>
          <w:p w:rsidR="005A70AB" w:rsidRDefault="00F85416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5A70AB" w:rsidTr="00D03AC6">
        <w:trPr>
          <w:trHeight w:val="480"/>
        </w:trPr>
        <w:tc>
          <w:tcPr>
            <w:tcW w:w="9142" w:type="dxa"/>
            <w:gridSpan w:val="2"/>
          </w:tcPr>
          <w:p w:rsidR="005A70AB" w:rsidRDefault="005A70A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nařízení č. 96/1953 Sb. není osobou povinnou </w:t>
            </w:r>
          </w:p>
          <w:p w:rsidR="005A70AB" w:rsidRDefault="005A70A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 dani podle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ust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§ 5 odst. 3 zák. č. 235/2004 Sb., o DPH)</w:t>
            </w:r>
          </w:p>
        </w:tc>
      </w:tr>
      <w:tr w:rsidR="005A70AB" w:rsidTr="00D03AC6">
        <w:trPr>
          <w:trHeight w:val="275"/>
        </w:trPr>
        <w:tc>
          <w:tcPr>
            <w:tcW w:w="3171" w:type="dxa"/>
          </w:tcPr>
          <w:p w:rsidR="005A70AB" w:rsidRDefault="005A70AB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5971" w:type="dxa"/>
          </w:tcPr>
          <w:p w:rsidR="005A70AB" w:rsidRDefault="00F85416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  <w:p w:rsidR="005A70AB" w:rsidRDefault="005A70AB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</w:p>
        </w:tc>
      </w:tr>
      <w:tr w:rsidR="005A70AB" w:rsidTr="00D03AC6">
        <w:trPr>
          <w:trHeight w:val="275"/>
        </w:trPr>
        <w:tc>
          <w:tcPr>
            <w:tcW w:w="3171" w:type="dxa"/>
            <w:shd w:val="clear" w:color="auto" w:fill="FFFFFF" w:themeFill="background1"/>
          </w:tcPr>
          <w:p w:rsidR="005A70AB" w:rsidRDefault="005A70AB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</w:p>
        </w:tc>
        <w:tc>
          <w:tcPr>
            <w:tcW w:w="5971" w:type="dxa"/>
            <w:shd w:val="clear" w:color="auto" w:fill="FFFFFF" w:themeFill="background1"/>
          </w:tcPr>
          <w:p w:rsidR="005A70AB" w:rsidRDefault="005A70AB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</w:p>
        </w:tc>
      </w:tr>
      <w:tr w:rsidR="005A70AB" w:rsidTr="00D03AC6">
        <w:trPr>
          <w:trHeight w:val="275"/>
        </w:trPr>
        <w:tc>
          <w:tcPr>
            <w:tcW w:w="3171" w:type="dxa"/>
            <w:shd w:val="clear" w:color="auto" w:fill="FFFFFF" w:themeFill="background1"/>
          </w:tcPr>
          <w:p w:rsidR="005A70AB" w:rsidRDefault="005A70AB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5971" w:type="dxa"/>
            <w:shd w:val="clear" w:color="auto" w:fill="FFFFFF" w:themeFill="background1"/>
          </w:tcPr>
          <w:p w:rsidR="005A70AB" w:rsidRDefault="00F85416" w:rsidP="00F85416">
            <w:pPr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</w:tbl>
    <w:p w:rsidR="005A70AB" w:rsidRDefault="005A70AB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jen „</w:t>
      </w:r>
      <w:r>
        <w:rPr>
          <w:rFonts w:ascii="Calibri" w:hAnsi="Calibri" w:cs="Calibri"/>
          <w:b/>
          <w:i/>
          <w:sz w:val="22"/>
          <w:szCs w:val="22"/>
        </w:rPr>
        <w:t>Poskytovatel</w:t>
      </w:r>
      <w:r>
        <w:rPr>
          <w:rFonts w:ascii="Calibri" w:hAnsi="Calibri" w:cs="Calibri"/>
          <w:i/>
          <w:sz w:val="22"/>
          <w:szCs w:val="22"/>
        </w:rPr>
        <w:t xml:space="preserve"> a též i „</w:t>
      </w:r>
      <w:r>
        <w:rPr>
          <w:rFonts w:ascii="Calibri" w:hAnsi="Calibri" w:cs="Calibri"/>
          <w:b/>
          <w:i/>
          <w:sz w:val="22"/>
          <w:szCs w:val="22"/>
        </w:rPr>
        <w:t>ČHMÚ“</w:t>
      </w:r>
    </w:p>
    <w:p w:rsidR="005A70AB" w:rsidRDefault="005A70AB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5A70AB" w:rsidRPr="00D03AC6" w:rsidRDefault="005A70AB" w:rsidP="00D03AC6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5252"/>
        <w:gridCol w:w="1048"/>
      </w:tblGrid>
      <w:tr w:rsidR="00D03AC6" w:rsidRPr="00D03AC6" w:rsidTr="00D03AC6">
        <w:trPr>
          <w:trHeight w:val="345"/>
        </w:trPr>
        <w:tc>
          <w:tcPr>
            <w:tcW w:w="8093" w:type="dxa"/>
            <w:gridSpan w:val="2"/>
            <w:shd w:val="clear" w:color="auto" w:fill="FFFFFF" w:themeFill="background1"/>
          </w:tcPr>
          <w:p w:rsidR="005A70AB" w:rsidRPr="00D03AC6" w:rsidRDefault="005A70AB" w:rsidP="005F1353">
            <w:pPr>
              <w:pStyle w:val="Zkladntext"/>
              <w:spacing w:after="0" w:line="240" w:lineRule="auto"/>
              <w:rPr>
                <w:color w:val="auto"/>
              </w:rPr>
            </w:pPr>
            <w:r w:rsidRPr="005F1353">
              <w:rPr>
                <w:rFonts w:ascii="Calibri" w:hAnsi="Calibri" w:cs="Calibri"/>
                <w:b/>
                <w:sz w:val="22"/>
                <w:szCs w:val="22"/>
              </w:rPr>
              <w:t>Česká zemědělská univerzita v Praze</w:t>
            </w:r>
          </w:p>
        </w:tc>
        <w:tc>
          <w:tcPr>
            <w:tcW w:w="1048" w:type="dxa"/>
            <w:shd w:val="clear" w:color="auto" w:fill="FFFFFF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lang w:eastAsia="cs-CZ"/>
              </w:rPr>
            </w:pPr>
          </w:p>
        </w:tc>
      </w:tr>
      <w:tr w:rsidR="00D03AC6" w:rsidRPr="00D03AC6" w:rsidTr="00D03AC6">
        <w:trPr>
          <w:trHeight w:val="411"/>
        </w:trPr>
        <w:tc>
          <w:tcPr>
            <w:tcW w:w="2842" w:type="dxa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Se sídlem:</w:t>
            </w:r>
          </w:p>
        </w:tc>
        <w:tc>
          <w:tcPr>
            <w:tcW w:w="6299" w:type="dxa"/>
            <w:gridSpan w:val="2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Kamýcká 129, 165 21 Praha 6 - Suchdol</w:t>
            </w:r>
          </w:p>
        </w:tc>
      </w:tr>
      <w:tr w:rsidR="00D03AC6" w:rsidRPr="00D03AC6" w:rsidTr="00D03AC6">
        <w:trPr>
          <w:trHeight w:val="411"/>
        </w:trPr>
        <w:tc>
          <w:tcPr>
            <w:tcW w:w="2842" w:type="dxa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IČO: 60460709</w:t>
            </w:r>
          </w:p>
        </w:tc>
        <w:tc>
          <w:tcPr>
            <w:tcW w:w="6299" w:type="dxa"/>
            <w:gridSpan w:val="2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DIČ: CZ60460709</w:t>
            </w:r>
          </w:p>
        </w:tc>
      </w:tr>
      <w:tr w:rsidR="00D03AC6" w:rsidRPr="00D03AC6" w:rsidTr="00D03AC6">
        <w:trPr>
          <w:trHeight w:val="411"/>
        </w:trPr>
        <w:tc>
          <w:tcPr>
            <w:tcW w:w="2842" w:type="dxa"/>
            <w:shd w:val="clear" w:color="auto" w:fill="FFFFFF" w:themeFill="background1"/>
          </w:tcPr>
          <w:p w:rsidR="005A70AB" w:rsidRPr="00D03AC6" w:rsidRDefault="005A70AB" w:rsidP="00F8541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Č.ú</w:t>
            </w:r>
            <w:proofErr w:type="spellEnd"/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. : </w:t>
            </w:r>
            <w:proofErr w:type="spellStart"/>
            <w:r w:rsidR="00F8541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  <w:proofErr w:type="gramEnd"/>
          </w:p>
        </w:tc>
        <w:tc>
          <w:tcPr>
            <w:tcW w:w="6299" w:type="dxa"/>
            <w:gridSpan w:val="2"/>
            <w:shd w:val="clear" w:color="auto" w:fill="FFFFFF" w:themeFill="background1"/>
          </w:tcPr>
          <w:p w:rsidR="005A70AB" w:rsidRPr="00D03AC6" w:rsidRDefault="005A70AB" w:rsidP="00F8541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Vedený: </w:t>
            </w:r>
            <w:proofErr w:type="spellStart"/>
            <w:r w:rsidR="00F8541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D03AC6" w:rsidRPr="00D03AC6" w:rsidTr="00D03AC6">
        <w:trPr>
          <w:trHeight w:val="435"/>
        </w:trPr>
        <w:tc>
          <w:tcPr>
            <w:tcW w:w="9141" w:type="dxa"/>
            <w:gridSpan w:val="3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Zapsán: veřejná vysoká škola, na základě zákona č.111/98 Sb., která se nezapisuje do obchodního rejstříku</w:t>
            </w:r>
          </w:p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D03AC6" w:rsidRPr="00D03AC6" w:rsidTr="00D03AC6">
        <w:trPr>
          <w:trHeight w:val="435"/>
        </w:trPr>
        <w:tc>
          <w:tcPr>
            <w:tcW w:w="2842" w:type="dxa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Statutární orgán: </w:t>
            </w:r>
          </w:p>
        </w:tc>
        <w:tc>
          <w:tcPr>
            <w:tcW w:w="6299" w:type="dxa"/>
            <w:gridSpan w:val="2"/>
            <w:shd w:val="clear" w:color="auto" w:fill="FFFFFF" w:themeFill="background1"/>
          </w:tcPr>
          <w:p w:rsidR="005A70AB" w:rsidRPr="00D03AC6" w:rsidRDefault="00F85416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D03AC6" w:rsidRPr="00D03AC6" w:rsidTr="00D03AC6">
        <w:trPr>
          <w:trHeight w:val="281"/>
        </w:trPr>
        <w:tc>
          <w:tcPr>
            <w:tcW w:w="2842" w:type="dxa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Zastoupený:</w:t>
            </w:r>
          </w:p>
        </w:tc>
        <w:tc>
          <w:tcPr>
            <w:tcW w:w="6299" w:type="dxa"/>
            <w:gridSpan w:val="2"/>
            <w:shd w:val="clear" w:color="auto" w:fill="FFFFFF" w:themeFill="background1"/>
          </w:tcPr>
          <w:p w:rsidR="005A70AB" w:rsidRPr="00D03AC6" w:rsidRDefault="00F85416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D03AC6" w:rsidRPr="00D03AC6" w:rsidTr="00D03AC6">
        <w:trPr>
          <w:trHeight w:val="273"/>
        </w:trPr>
        <w:tc>
          <w:tcPr>
            <w:tcW w:w="2842" w:type="dxa"/>
            <w:shd w:val="clear" w:color="auto" w:fill="FFFFFF" w:themeFill="background1"/>
          </w:tcPr>
          <w:p w:rsidR="005A70AB" w:rsidRPr="00D03AC6" w:rsidRDefault="005A70AB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03AC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6299" w:type="dxa"/>
            <w:gridSpan w:val="2"/>
            <w:shd w:val="clear" w:color="auto" w:fill="FFFFFF" w:themeFill="background1"/>
          </w:tcPr>
          <w:p w:rsidR="005A70AB" w:rsidRPr="00D03AC6" w:rsidRDefault="00F85416" w:rsidP="00D03AC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</w:tbl>
    <w:p w:rsidR="005A70AB" w:rsidRPr="00D03AC6" w:rsidRDefault="005A70AB" w:rsidP="00D03AC6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D03AC6">
        <w:rPr>
          <w:rFonts w:ascii="Calibri" w:hAnsi="Calibri" w:cs="Calibri"/>
          <w:color w:val="auto"/>
          <w:sz w:val="22"/>
          <w:szCs w:val="22"/>
        </w:rPr>
        <w:t xml:space="preserve">dále jen “ </w:t>
      </w:r>
      <w:r w:rsidRPr="00D03AC6">
        <w:rPr>
          <w:rFonts w:ascii="Calibri" w:hAnsi="Calibri" w:cs="Calibri"/>
          <w:b/>
          <w:i/>
          <w:color w:val="auto"/>
          <w:sz w:val="22"/>
          <w:szCs w:val="22"/>
        </w:rPr>
        <w:t>Nabyvatel</w:t>
      </w:r>
      <w:r w:rsidRPr="00D03AC6">
        <w:rPr>
          <w:rFonts w:ascii="Calibri" w:hAnsi="Calibri" w:cs="Calibri"/>
          <w:color w:val="auto"/>
          <w:sz w:val="22"/>
          <w:szCs w:val="22"/>
        </w:rPr>
        <w:t>”</w:t>
      </w:r>
    </w:p>
    <w:p w:rsidR="005A70AB" w:rsidRDefault="005A70AB">
      <w:pPr>
        <w:pStyle w:val="Smluvnstrana"/>
        <w:jc w:val="left"/>
        <w:rPr>
          <w:rFonts w:ascii="Calibri" w:hAnsi="Calibri" w:cs="Calibri"/>
          <w:szCs w:val="22"/>
        </w:rPr>
      </w:pPr>
    </w:p>
    <w:p w:rsidR="005A70AB" w:rsidRDefault="005A70AB">
      <w:pPr>
        <w:pStyle w:val="Smluvnstrana"/>
        <w:jc w:val="left"/>
        <w:rPr>
          <w:rFonts w:ascii="Calibri" w:hAnsi="Calibri" w:cs="Calibri"/>
          <w:szCs w:val="22"/>
        </w:rPr>
      </w:pPr>
    </w:p>
    <w:p w:rsidR="005A70AB" w:rsidRDefault="005A70AB">
      <w:pPr>
        <w:pStyle w:val="Smluvnstrana"/>
        <w:jc w:val="left"/>
        <w:rPr>
          <w:rFonts w:ascii="Calibri" w:hAnsi="Calibri" w:cs="Calibri"/>
          <w:szCs w:val="22"/>
        </w:rPr>
      </w:pPr>
    </w:p>
    <w:p w:rsidR="005A70AB" w:rsidRDefault="005A70AB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1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  <w:r>
        <w:rPr>
          <w:rFonts w:ascii="Calibri" w:hAnsi="Calibri" w:cs="Calibri"/>
          <w:sz w:val="22"/>
          <w:szCs w:val="22"/>
        </w:rPr>
        <w:t xml:space="preserve">Poskytovatel </w:t>
      </w:r>
      <w:r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>
        <w:rPr>
          <w:rFonts w:ascii="Calibri" w:hAnsi="Calibri" w:cs="Calibri"/>
          <w:b/>
          <w:color w:val="auto"/>
          <w:sz w:val="22"/>
          <w:szCs w:val="22"/>
        </w:rPr>
        <w:t>Smlouva</w:t>
      </w:r>
      <w:r>
        <w:rPr>
          <w:rFonts w:ascii="Calibri" w:hAnsi="Calibri" w:cs="Calibri"/>
          <w:color w:val="auto"/>
          <w:sz w:val="22"/>
          <w:szCs w:val="22"/>
        </w:rPr>
        <w:t xml:space="preserve">“) poskytuje Nabyvateli nevýhradní a nepřevoditelné právo a (Licenci) k Produktům a Službám ČHMÚ (není-li stanovené jinak </w:t>
      </w:r>
      <w:r>
        <w:rPr>
          <w:rFonts w:ascii="Calibri" w:hAnsi="Calibri" w:cs="Calibri"/>
          <w:b/>
          <w:color w:val="auto"/>
          <w:sz w:val="22"/>
          <w:szCs w:val="22"/>
        </w:rPr>
        <w:t>„Produkty ČHMÚ“)</w:t>
      </w:r>
      <w:r>
        <w:rPr>
          <w:rFonts w:ascii="Calibri" w:hAnsi="Calibri" w:cs="Calibri"/>
          <w:color w:val="auto"/>
          <w:sz w:val="22"/>
          <w:szCs w:val="22"/>
        </w:rPr>
        <w:t xml:space="preserve"> k účelu a ve znění Příloh této Smlouvy. </w:t>
      </w: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1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5A70AB" w:rsidRDefault="005A70A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je oprávněn právo využít pouze jako </w:t>
      </w:r>
      <w:r>
        <w:rPr>
          <w:rFonts w:ascii="Calibri" w:hAnsi="Calibri" w:cs="Calibri"/>
          <w:b/>
          <w:sz w:val="22"/>
          <w:szCs w:val="22"/>
        </w:rPr>
        <w:t>koncový uživatel</w:t>
      </w:r>
      <w:r>
        <w:rPr>
          <w:rFonts w:ascii="Calibri" w:hAnsi="Calibri" w:cs="Calibri"/>
          <w:sz w:val="22"/>
          <w:szCs w:val="22"/>
        </w:rPr>
        <w:t xml:space="preserve"> pro činnosti v rámci a po dobu vysokoškolského studia či realizace vědecké, odborné nebo výzkumné </w:t>
      </w:r>
      <w:r>
        <w:rPr>
          <w:rFonts w:ascii="Calibri" w:hAnsi="Calibri" w:cs="Calibri"/>
          <w:sz w:val="22"/>
          <w:szCs w:val="22"/>
        </w:rPr>
        <w:lastRenderedPageBreak/>
        <w:t xml:space="preserve">práce, dále je oprávněn </w:t>
      </w:r>
      <w:r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zpracovávat, zahrnovat do obsahu příloh, podkladů závěrečných prací (semestrální, bakalářská, diplomová, rigorózní, doktorandská), dále pro účely habilitačního řízení, mimo jiné i pro výpočty a podklady odborných knih a studií, znaleckých posudků, popularizačních článků a grantových zpráv, či je kopírovat a vytvářet z nich odvozené Díla s časovým omezením, vztahující se pouze ke splnění účelu tohoto oprávnění jejich užití vymezené v Příloze 1, pokud není stanovení jinak. </w:t>
      </w:r>
    </w:p>
    <w:p w:rsidR="005A70AB" w:rsidRDefault="005A70A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Nabyvatel není oprávněn Produkty ČHMÚ prodávat, pronajímat, sdílet, poskytovat sublicence, půjčovat nebo je převádět na třetí osobu, odstraňovat či zakrývat upozornění na práva a zdroj, loga či odkazy licencí ČHMÚ, používat nad rámec účelu této Smlouvy a realizovat s nimi záměr a účel po skončení účinnosti této </w:t>
      </w:r>
      <w:proofErr w:type="gramStart"/>
      <w:r>
        <w:rPr>
          <w:rFonts w:ascii="Calibri" w:hAnsi="Calibri" w:cs="Calibri"/>
          <w:sz w:val="22"/>
          <w:szCs w:val="22"/>
        </w:rPr>
        <w:t>Smlouvy,  pokud</w:t>
      </w:r>
      <w:proofErr w:type="gramEnd"/>
      <w:r>
        <w:rPr>
          <w:rFonts w:ascii="Calibri" w:hAnsi="Calibri" w:cs="Calibri"/>
          <w:sz w:val="22"/>
          <w:szCs w:val="22"/>
        </w:rPr>
        <w:t xml:space="preserve"> se smluvní strany nedohodnou jinak.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</w:t>
      </w:r>
      <w:r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je vázáno na podmínky této Smlouvy a její účinnosti, pokud se smluvní strany nedohodnou jinak.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Způsoby předání a plnění poskytování Produktů a Služeb ČHMÚ je vymezeno v Příloze 1 této Smlouvy a o předání Produktů ČHMÚ je veden písemný záznam.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právo k užití </w:t>
      </w:r>
      <w:r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 poskytuje jako výhradní dodavatel na území České republiky a Produkty a Služby ČHMÚ odpovídají odvětvovým, oborovým, profesionálním a technickým standardům, které jsou zákonem stanovené pro obory činností ČHMÚ podle aktuálního Opatření MŽP.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požadavku na dodání Produktů ČHMÚ ve velkých objemech Poskytovatel dodává pouze tzv. technické nebo homogenizované řady, které jsou odvozené z měřených údajů a jsou modifikovány. Statické vlastnosti reálných řad jsou zachovány. Podrobná specifikace, včetně způsobu modifikace jsou obsahem Přílohy 1.</w:t>
      </w:r>
    </w:p>
    <w:p w:rsidR="005A70AB" w:rsidRDefault="005A70AB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kontrolovat užívání Produktů ČHMÚ v uvedených v této Smlouvě a to ve smyslu, zdali je dodržováno autorské právo. </w:t>
      </w:r>
    </w:p>
    <w:p w:rsidR="005A70AB" w:rsidRDefault="005A70AB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Odstavecseseznamem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si vyžádat od Nabyvatele výsledek jeho činnosti, tj. Dílo, ve kterém bylo užity Produkty ČHMÚ, pokud jsou jeho nedílným obsahem a je pro daný účel oprávnění poskytováno, pokud není stanovené jinak. </w:t>
      </w:r>
    </w:p>
    <w:p w:rsidR="005A70AB" w:rsidRDefault="005A70AB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F1413A" w:rsidRDefault="00F141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1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lastRenderedPageBreak/>
        <w:t>Cena a platební podmínky</w:t>
      </w:r>
    </w:p>
    <w:p w:rsidR="005A70AB" w:rsidRDefault="005A70AB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1" w:name="Ref380559910"/>
      <w:bookmarkStart w:id="2" w:name="OLE_LINK2"/>
      <w:bookmarkStart w:id="3" w:name="TOC446473771"/>
      <w:bookmarkEnd w:id="1"/>
      <w:bookmarkEnd w:id="2"/>
      <w:bookmarkEnd w:id="3"/>
      <w:r>
        <w:rPr>
          <w:rFonts w:ascii="Calibri" w:hAnsi="Calibri" w:cs="Calibri"/>
          <w:sz w:val="22"/>
          <w:szCs w:val="22"/>
        </w:rPr>
        <w:t xml:space="preserve">Cena za </w:t>
      </w:r>
      <w:r>
        <w:rPr>
          <w:rFonts w:ascii="Calibri" w:hAnsi="Calibri" w:cs="Calibri"/>
          <w:b/>
          <w:sz w:val="22"/>
          <w:szCs w:val="22"/>
        </w:rPr>
        <w:t>Produkty a Služby ČHMÚ</w:t>
      </w:r>
      <w:r>
        <w:rPr>
          <w:rFonts w:ascii="Calibri" w:hAnsi="Calibri" w:cs="Calibri"/>
          <w:sz w:val="22"/>
          <w:szCs w:val="22"/>
        </w:rPr>
        <w:t xml:space="preserve"> podle této Smlouvy byla dohodou smluvních stran stanovena ve výši specifikované v Příloze 2 (bod II odst. 2) této Smlouvy jako celková cena k úhradě a činí</w:t>
      </w:r>
      <w:r>
        <w:rPr>
          <w:rFonts w:ascii="Calibri" w:hAnsi="Calibri" w:cs="Calibri"/>
          <w:sz w:val="22"/>
          <w:szCs w:val="22"/>
          <w:shd w:val="clear" w:color="auto" w:fill="EEECE1"/>
        </w:rPr>
        <w:t xml:space="preserve"> 1 586 000 </w:t>
      </w:r>
      <w:r>
        <w:rPr>
          <w:rFonts w:ascii="Calibri" w:hAnsi="Calibri" w:cs="Calibri"/>
          <w:sz w:val="22"/>
          <w:szCs w:val="22"/>
        </w:rPr>
        <w:t xml:space="preserve">Kč, (slovy: </w:t>
      </w:r>
      <w:r>
        <w:rPr>
          <w:rFonts w:ascii="Calibri" w:hAnsi="Calibri" w:cs="Calibri"/>
          <w:sz w:val="22"/>
          <w:szCs w:val="22"/>
          <w:shd w:val="clear" w:color="auto" w:fill="EEECE1"/>
        </w:rPr>
        <w:t>jeden milion pět set osmdesát šest tisíc korun českých).</w:t>
      </w:r>
      <w:r>
        <w:rPr>
          <w:rFonts w:ascii="Calibri" w:hAnsi="Calibri" w:cs="Calibri"/>
          <w:sz w:val="22"/>
          <w:szCs w:val="22"/>
        </w:rPr>
        <w:t xml:space="preserve"> Tato částka je splatná převodem na účet Poskytovatele do 30 dní po předání </w:t>
      </w:r>
      <w:r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uvedených v Příloze 1 této Smlouvy na základě zaslané faktury Nabyvateli a pod příslušným variabilním symbolem.</w:t>
      </w:r>
    </w:p>
    <w:p w:rsidR="00D03AC6" w:rsidRPr="00D03AC6" w:rsidRDefault="00D03AC6" w:rsidP="00D03AC6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Poskytovatel je plátce DPH, avšak při výkonu činnosti dle </w:t>
      </w:r>
      <w:proofErr w:type="spellStart"/>
      <w:r w:rsidRPr="00D03AC6">
        <w:rPr>
          <w:rFonts w:ascii="Calibri" w:hAnsi="Calibri" w:cs="Calibri"/>
          <w:sz w:val="22"/>
          <w:szCs w:val="22"/>
        </w:rPr>
        <w:t>Vl</w:t>
      </w:r>
      <w:proofErr w:type="spellEnd"/>
      <w:r w:rsidRPr="00D03AC6">
        <w:rPr>
          <w:rFonts w:ascii="Calibri" w:hAnsi="Calibri" w:cs="Calibri"/>
          <w:sz w:val="22"/>
          <w:szCs w:val="22"/>
        </w:rPr>
        <w:t>. nařízení č. 96/1953 Sb. není osobou povinnou</w:t>
      </w:r>
      <w:r>
        <w:rPr>
          <w:rFonts w:ascii="Calibri" w:hAnsi="Calibri" w:cs="Calibri"/>
          <w:sz w:val="22"/>
          <w:szCs w:val="22"/>
        </w:rPr>
        <w:t xml:space="preserve"> </w:t>
      </w:r>
      <w:r w:rsidRPr="00D03AC6">
        <w:rPr>
          <w:rFonts w:ascii="Calibri" w:hAnsi="Calibri" w:cs="Calibri"/>
          <w:sz w:val="22"/>
          <w:szCs w:val="22"/>
        </w:rPr>
        <w:t xml:space="preserve">k dani podle </w:t>
      </w:r>
      <w:proofErr w:type="spellStart"/>
      <w:r w:rsidRPr="00D03AC6">
        <w:rPr>
          <w:rFonts w:ascii="Calibri" w:hAnsi="Calibri" w:cs="Calibri"/>
          <w:sz w:val="22"/>
          <w:szCs w:val="22"/>
        </w:rPr>
        <w:t>ust</w:t>
      </w:r>
      <w:proofErr w:type="spellEnd"/>
      <w:r w:rsidRPr="00D03AC6">
        <w:rPr>
          <w:rFonts w:ascii="Calibri" w:hAnsi="Calibri" w:cs="Calibri"/>
          <w:sz w:val="22"/>
          <w:szCs w:val="22"/>
        </w:rPr>
        <w:t>. § 5 odst. 3 zák. č. 235/2004 Sb., o DPH</w:t>
      </w:r>
    </w:p>
    <w:p w:rsidR="005A70AB" w:rsidRDefault="005A70AB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Způsoby a frekvence plateb stanovené v odst. 1 a 2 této Smlouvy jsou vymezené v Příloze 2. </w:t>
      </w:r>
    </w:p>
    <w:p w:rsidR="005A70AB" w:rsidRDefault="005A70AB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Datem splatnosti se rozumí den odepsání finančních prostředků z účtu Nabyvatele.</w:t>
      </w:r>
    </w:p>
    <w:p w:rsidR="005A70AB" w:rsidRDefault="005A70AB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Již uhrazená cena se v případě ukončení Smlouvy, i předčasného, nevrací, pokud není stanovené jinak, a dále Nabyvateli nevzniká nárok na vrácení již uhrazené ceny, pokud si plnění od Poskytovatele </w:t>
      </w:r>
      <w:proofErr w:type="gramStart"/>
      <w:r>
        <w:rPr>
          <w:rFonts w:ascii="Calibri" w:hAnsi="Calibri" w:cs="Calibri"/>
          <w:sz w:val="22"/>
          <w:szCs w:val="22"/>
        </w:rPr>
        <w:t>nepřevezme a nebo jsou</w:t>
      </w:r>
      <w:proofErr w:type="gramEnd"/>
      <w:r>
        <w:rPr>
          <w:rFonts w:ascii="Calibri" w:hAnsi="Calibri" w:cs="Calibri"/>
          <w:sz w:val="22"/>
          <w:szCs w:val="22"/>
        </w:rPr>
        <w:t>-li technické závady na jeho  zařízeních.</w:t>
      </w:r>
    </w:p>
    <w:p w:rsidR="005A70AB" w:rsidRDefault="005A70AB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případě, že Nabyvatel bude v prodlení s úhradou fakturované částky, sjednávají si smluvní strany smluvní pokutu ve výši 0,05% z dlužné částky bez DPH za každý započatý den prodlení. </w:t>
      </w:r>
    </w:p>
    <w:p w:rsidR="005A70AB" w:rsidRDefault="005A70AB">
      <w:pPr>
        <w:pStyle w:val="Odstavecsesezname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případě, že tato Smlouva je uzavřena na dobu neurčitou, má se za to, že cena stanovená za Produkty a Služby ČHMÚ je stanovená na příslušný kalendářní rok.  Smluvní strany se tímto dohodly, že Cena za Produkty a Služby ČHMÚ bude každoročně upravována na základě faktury vystavené pronajímatelem podle roční míry inflace za předcházející kalendářní rok, měřené indexem spotřebitelských cen podle Českého statistického úřadu. Tato změna bude realizována o plnou výši inflace, a to po vyhlášení indexu ČSÚ, a to vždy k </w:t>
      </w:r>
      <w:proofErr w:type="gramStart"/>
      <w:r>
        <w:rPr>
          <w:rFonts w:ascii="Calibri" w:hAnsi="Calibri" w:cs="Calibri"/>
          <w:sz w:val="22"/>
          <w:szCs w:val="22"/>
        </w:rPr>
        <w:t>1.1</w:t>
      </w:r>
      <w:proofErr w:type="gramEnd"/>
      <w:r>
        <w:rPr>
          <w:rFonts w:ascii="Calibri" w:hAnsi="Calibri" w:cs="Calibri"/>
          <w:sz w:val="22"/>
          <w:szCs w:val="22"/>
        </w:rPr>
        <w:t>. daného roku v němž byl index vyhlášen.</w:t>
      </w: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1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doba, zánik Smlouvy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se uzavírá na </w:t>
      </w:r>
      <w:r>
        <w:rPr>
          <w:rFonts w:ascii="Calibri" w:hAnsi="Calibri" w:cs="Calibri"/>
          <w:b/>
          <w:sz w:val="22"/>
          <w:szCs w:val="22"/>
        </w:rPr>
        <w:t xml:space="preserve">dobu určitou do </w:t>
      </w:r>
      <w:proofErr w:type="gramStart"/>
      <w:r>
        <w:rPr>
          <w:rFonts w:ascii="Calibri" w:hAnsi="Calibri" w:cs="Calibri"/>
          <w:b/>
          <w:sz w:val="22"/>
          <w:szCs w:val="22"/>
        </w:rPr>
        <w:t>31.12.2019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mohou tuto Smlouvu ukončit dohodou nebo odstoupením od smlouvy.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se Poskytovatel ocitne v prodlení s poskytováním Produktů a Služeb ČHMU delším než</w:t>
      </w:r>
      <w:r>
        <w:rPr>
          <w:rFonts w:ascii="Calibri" w:hAnsi="Calibri" w:cs="Calibri"/>
          <w:sz w:val="22"/>
          <w:szCs w:val="22"/>
          <w:shd w:val="clear" w:color="auto" w:fill="EEECE1"/>
        </w:rPr>
        <w:t xml:space="preserve"> </w:t>
      </w:r>
      <w:r w:rsidR="00D03AC6">
        <w:rPr>
          <w:rFonts w:ascii="Calibri" w:hAnsi="Calibri" w:cs="Calibri"/>
          <w:sz w:val="22"/>
          <w:szCs w:val="22"/>
          <w:shd w:val="clear" w:color="auto" w:fill="EEECE1"/>
        </w:rPr>
        <w:t xml:space="preserve">5 </w:t>
      </w:r>
      <w:r>
        <w:rPr>
          <w:rFonts w:ascii="Calibri" w:hAnsi="Calibri" w:cs="Calibri"/>
          <w:sz w:val="22"/>
          <w:szCs w:val="22"/>
        </w:rPr>
        <w:t>dní, je Nabyvatel oprávněn odstoupit od Smlouvy bez udání důvodů, avšak pouze za podmínky, že písemnou formou vyzve Poskytovatele k obnovení plnění.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 případě, že Poskytovatel neobnoví poskytování Produktů a Služeb ČHMÚ ve lhůtě delší než 7 dní po té, co obdržel výzvu od Nabyvatele, nastávají účinky k ukončení této Smlouvy ke dni uplynutí této lhůty.  Poskytovatel je povinen vrátit cenu za Produkty a Služby ČHMÚ, které neposkytl.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Ustanovení odst. 4 neplatí, pokud k nemožnosti dodávání Produktů ČHMÚ a k poskytování Služeb ČHMÚ nastalo za okolností nepředvídatelných a nepřekonatelných překážek či vyšší moci podle ustanovení § 2913 zákona č. 89/2012 Občanský zákoník, ve zn. </w:t>
      </w:r>
      <w:proofErr w:type="spellStart"/>
      <w:r>
        <w:rPr>
          <w:rFonts w:ascii="Calibri" w:hAnsi="Calibri" w:cs="Calibri"/>
          <w:sz w:val="22"/>
          <w:szCs w:val="22"/>
        </w:rPr>
        <w:t>pozd</w:t>
      </w:r>
      <w:proofErr w:type="spellEnd"/>
      <w:r>
        <w:rPr>
          <w:rFonts w:ascii="Calibri" w:hAnsi="Calibri" w:cs="Calibri"/>
          <w:sz w:val="22"/>
          <w:szCs w:val="22"/>
        </w:rPr>
        <w:t>. předpisů a nejedná se o krátkodobé výpadky delší než 72 hodin. Při vzniku daných okolností Poskytovatel písemně informuje Nabyvatele s dotazem, zdali má zájem o opožděné dodání Produktů ČHMÚ.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může od této Smlouvy odstoupit, pokud nastane situace cit. v odst. </w:t>
      </w:r>
      <w:r w:rsidR="0002651D">
        <w:rPr>
          <w:rFonts w:ascii="Calibri" w:hAnsi="Calibri" w:cs="Calibri"/>
          <w:sz w:val="22"/>
          <w:szCs w:val="22"/>
        </w:rPr>
        <w:t xml:space="preserve">3 a 4 </w:t>
      </w:r>
      <w:r>
        <w:rPr>
          <w:rFonts w:ascii="Calibri" w:hAnsi="Calibri" w:cs="Calibri"/>
          <w:sz w:val="22"/>
          <w:szCs w:val="22"/>
        </w:rPr>
        <w:t xml:space="preserve">tohoto článku a písemnou formou oznámí Poskytovateli, že na opožděné dodání Produktů a Služeb ČHMÚ  nemá zájem. 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odstoupit od této Smlouvy a odepřít plnění Nabyvateli, pokud </w:t>
      </w:r>
      <w:r w:rsidR="00D03AC6">
        <w:rPr>
          <w:rFonts w:ascii="Calibri" w:hAnsi="Calibri" w:cs="Calibri"/>
          <w:sz w:val="22"/>
          <w:szCs w:val="22"/>
        </w:rPr>
        <w:t>jednání Nabyvatele</w:t>
      </w:r>
      <w:r>
        <w:rPr>
          <w:rFonts w:ascii="Calibri" w:hAnsi="Calibri" w:cs="Calibri"/>
          <w:sz w:val="22"/>
          <w:szCs w:val="22"/>
        </w:rPr>
        <w:t xml:space="preserve"> je v rozporu s ustanoveními této Smlouvy.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účinky odstoupení smluvních stran v této Smlouvě nastávají dnem doručení druhé smluvní straně. V případě nezastižení adresáta se má za to, že dnem doručení je oznámení zásilky, pokud není stanovené jinak.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 předčasného ukončení prací na projektu, nebo jeho změny v obsahu, ukončení studia a vzniku dalších nepředvídatelných závažných překážek na straně Nabyvatele, je oprávněn Nabyvatel na základě písemné žádosti odstoupit od této Smlouvy.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Pokud nastane událost ve smyslu odst. 10 tohoto článku a za podmínek kladného vyhovění písemné žádosti ze strany Poskytovatele a nedošlo-li k předání Produktů ČHMÚ a k poskytnutí Služeb ČHMÚ či jejich částí, vzniká Nabyvateli nárok na vrácení již uhrazené ceny za nezrealizované poskytnutí Produktů a Služeb ČHM, zaniká tato Smlouva ke dni vydání příslušného rozhodnutí o akceptaci žádosti Nabyvatele.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Vrácení již uhrazené ceny za nezrealizované poskytnutí Produktů a Služeb ČHMÚ bude provedeno do 14 dní bankovním převodem.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Produktů a Služeb ČHMÚ nemůže být převedené na právní nástupce Nabyvatele, a to nejen v České republice, ale i v rámci Evropské Unie.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Produktů a Služeb ČHMÚ nemůže být dále uplatňováno po skončení této Smlouvy, pokud se smluvní strany nedohodnou jinak. </w:t>
      </w: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F1413A" w:rsidRDefault="00F141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1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lastRenderedPageBreak/>
        <w:t>Ostatní ustanovení</w:t>
      </w:r>
    </w:p>
    <w:p w:rsidR="005A70AB" w:rsidRDefault="005A70AB">
      <w:pPr>
        <w:pStyle w:val="Heading21"/>
        <w:numPr>
          <w:ilvl w:val="1"/>
          <w:numId w:val="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ČHMÚ nenese právní odpovědnost za opožděné plnění a nevzniká mu povinnost nahradit Nabyvateli vzniklou škodu z důvodů uvedených v odst. 6 článku IV.</w:t>
      </w:r>
    </w:p>
    <w:p w:rsidR="005A70AB" w:rsidRDefault="005A70AB">
      <w:pPr>
        <w:pStyle w:val="Heading21"/>
        <w:numPr>
          <w:ilvl w:val="1"/>
          <w:numId w:val="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nenese žádnou právní odpovědnost Nabyvateli a třetím osobám za výsledky použití </w:t>
      </w:r>
      <w:r>
        <w:rPr>
          <w:rFonts w:ascii="Calibri" w:hAnsi="Calibri" w:cs="Calibri"/>
          <w:b/>
          <w:sz w:val="22"/>
          <w:szCs w:val="22"/>
        </w:rPr>
        <w:t>Produktů ČHMÚ,</w:t>
      </w:r>
      <w:r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</w:p>
    <w:p w:rsidR="005A70AB" w:rsidRDefault="005A70AB">
      <w:pPr>
        <w:pStyle w:val="Heading21"/>
        <w:numPr>
          <w:ilvl w:val="1"/>
          <w:numId w:val="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je zodpovědný za vzniklou škodu, pokud jeho jednání bude v rozporu s ustaveními této Smlouvy a právními předpisy, které tuto oblast upravují. </w:t>
      </w:r>
    </w:p>
    <w:p w:rsidR="005A70AB" w:rsidRDefault="005A70AB">
      <w:pPr>
        <w:pStyle w:val="Odstavecseseznamem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oprávněn požadovat po Nabyvateli doplacení rozdílu ceny uvedené v čl. IIII odst. 1 Smlouvy (viz. Příloha č. 2, bod II odst. 2) a v čl. III </w:t>
      </w:r>
      <w:proofErr w:type="gramStart"/>
      <w:r>
        <w:rPr>
          <w:rFonts w:ascii="Calibri" w:hAnsi="Calibri" w:cs="Calibri"/>
          <w:sz w:val="22"/>
          <w:szCs w:val="22"/>
        </w:rPr>
        <w:t>odst. 2  Smlouvy</w:t>
      </w:r>
      <w:proofErr w:type="gramEnd"/>
      <w:r>
        <w:rPr>
          <w:rFonts w:ascii="Calibri" w:hAnsi="Calibri" w:cs="Calibri"/>
          <w:sz w:val="22"/>
          <w:szCs w:val="22"/>
        </w:rPr>
        <w:t xml:space="preserve"> (viz. Příloha č. 2, bod II odst. 3) jako celkové hrazené ceny a skutečné ceny uvedené v Příloze č. 2 (bod I odst. 1 a odst. 2), a to pokud bude jeho jednání v rozporu s </w:t>
      </w:r>
      <w:proofErr w:type="gramStart"/>
      <w:r>
        <w:rPr>
          <w:rFonts w:ascii="Calibri" w:hAnsi="Calibri" w:cs="Calibri"/>
          <w:sz w:val="22"/>
          <w:szCs w:val="22"/>
        </w:rPr>
        <w:t>ustanovením v  čl.</w:t>
      </w:r>
      <w:proofErr w:type="gramEnd"/>
      <w:r>
        <w:rPr>
          <w:rFonts w:ascii="Calibri" w:hAnsi="Calibri" w:cs="Calibri"/>
          <w:sz w:val="22"/>
          <w:szCs w:val="22"/>
        </w:rPr>
        <w:t xml:space="preserve"> II odst. 2 Smlouvy a s Přílohou č. 1 bod II odst. 1.</w:t>
      </w:r>
    </w:p>
    <w:p w:rsidR="005A70AB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/>
        <w:ind w:left="1435" w:firstLine="0"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Heading21"/>
        <w:numPr>
          <w:ilvl w:val="1"/>
          <w:numId w:val="5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/>
        <w:ind w:left="1435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je oprávněn požadovat po Nabyvateli i vydání bezdůvodného obohacení, pokud mu bude prokázán majetkový prospěch s užitím </w:t>
      </w:r>
      <w:r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v souvislosti s porušením ustanovení této Smlouvy. </w:t>
      </w:r>
    </w:p>
    <w:p w:rsidR="005A70AB" w:rsidRDefault="005A70AB">
      <w:pPr>
        <w:spacing w:after="120" w:line="240" w:lineRule="auto"/>
        <w:ind w:left="1440"/>
        <w:contextualSpacing/>
        <w:rPr>
          <w:rFonts w:ascii="Calibri" w:hAnsi="Calibri" w:cs="Calibri"/>
          <w:color w:val="auto"/>
          <w:sz w:val="22"/>
          <w:szCs w:val="22"/>
        </w:rPr>
      </w:pPr>
    </w:p>
    <w:p w:rsidR="005A70AB" w:rsidRDefault="005A70AB">
      <w:pPr>
        <w:spacing w:after="120" w:line="240" w:lineRule="auto"/>
        <w:ind w:left="1440"/>
        <w:contextualSpacing/>
        <w:rPr>
          <w:rFonts w:ascii="Calibri" w:hAnsi="Calibri" w:cs="Calibri"/>
          <w:color w:val="auto"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1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Závěrečné ustanovení</w:t>
      </w:r>
    </w:p>
    <w:p w:rsidR="005A70AB" w:rsidRDefault="005A70AB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může být měněna písemnými dodatky na návrh kterékoliv ze smluvních stran.</w:t>
      </w:r>
    </w:p>
    <w:p w:rsidR="005A70AB" w:rsidRDefault="005A70AB">
      <w:pPr>
        <w:pStyle w:val="Odstavecseseznamem"/>
        <w:spacing w:after="120"/>
        <w:ind w:left="1440"/>
        <w:contextualSpacing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se řídí příslušnými právními předpisy, upravující znění, zejm. zákonem č. 89/2012 Sb., občanský zákoník, v platném znění a zákonem č. 121/2000 Sb., o právu autorském, o právech souvisejících s právem autorským a o změně některých zákonů (autorský zákon).</w:t>
      </w:r>
    </w:p>
    <w:p w:rsidR="005A70AB" w:rsidRDefault="005A70AB">
      <w:pPr>
        <w:pStyle w:val="Odstavecseseznamem"/>
        <w:spacing w:after="120"/>
        <w:ind w:left="1440"/>
        <w:contextualSpacing/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smluv).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je uzavřena ve </w:t>
      </w:r>
      <w:r w:rsidR="00093BE6">
        <w:rPr>
          <w:rFonts w:ascii="Calibri" w:hAnsi="Calibri" w:cs="Calibri"/>
          <w:sz w:val="22"/>
          <w:szCs w:val="22"/>
        </w:rPr>
        <w:t xml:space="preserve">třech </w:t>
      </w:r>
      <w:r>
        <w:rPr>
          <w:rFonts w:ascii="Calibri" w:hAnsi="Calibri" w:cs="Calibri"/>
          <w:sz w:val="22"/>
          <w:szCs w:val="22"/>
        </w:rPr>
        <w:t xml:space="preserve">vyhotoveních s platností originálu, </w:t>
      </w:r>
      <w:r w:rsidR="00093BE6">
        <w:rPr>
          <w:rFonts w:ascii="Calibri" w:hAnsi="Calibri" w:cs="Calibri"/>
          <w:sz w:val="22"/>
          <w:szCs w:val="22"/>
        </w:rPr>
        <w:t>Nabyvatel obdrží dvě vyhotovení, ČHMÚ jedno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5A70AB" w:rsidRDefault="005A70AB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smlouvy jsou přílohy:</w:t>
      </w:r>
    </w:p>
    <w:p w:rsidR="005A70AB" w:rsidRDefault="005A70AB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 1 - </w:t>
      </w:r>
      <w:r>
        <w:rPr>
          <w:rFonts w:ascii="Calibri" w:hAnsi="Calibri" w:cs="Calibri"/>
          <w:caps/>
          <w:sz w:val="22"/>
          <w:szCs w:val="22"/>
        </w:rPr>
        <w:t xml:space="preserve">SPECIFIKACE produktů a Služeb a způsobu jejich UŽITÍ  </w:t>
      </w:r>
    </w:p>
    <w:p w:rsidR="005A70AB" w:rsidRDefault="005A70AB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lastRenderedPageBreak/>
        <w:t>pŘÍLOHA 2 - Vyčíslení ceny poskytnutých produktů a ceny služeb</w:t>
      </w:r>
    </w:p>
    <w:p w:rsidR="005A70AB" w:rsidRDefault="005A70AB">
      <w:pPr>
        <w:pStyle w:val="Odstavecseseznamem"/>
        <w:numPr>
          <w:ilvl w:val="1"/>
          <w:numId w:val="1"/>
        </w:numPr>
        <w:spacing w:after="120"/>
        <w:ind w:hanging="357"/>
        <w:contextualSpacing/>
      </w:pPr>
      <w:r>
        <w:rPr>
          <w:rFonts w:ascii="Calibri" w:hAnsi="Calibri" w:cs="Calibri"/>
          <w:sz w:val="22"/>
          <w:szCs w:val="22"/>
        </w:rPr>
        <w:t xml:space="preserve">ČHMÚ osobní údaje subjektu údajů ze smluvního vztahu zpracovává v souladu se zákonem č. 110/2019 Sb., o zpracování osobních údajů při použití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>
        <w:rPr>
          <w:rFonts w:ascii="Calibri" w:hAnsi="Calibri" w:cs="Calibri"/>
          <w:sz w:val="22"/>
          <w:szCs w:val="22"/>
        </w:rPr>
        <w:t>údajů, nebo</w:t>
      </w:r>
      <w:proofErr w:type="gramEnd"/>
      <w:r>
        <w:rPr>
          <w:rFonts w:ascii="Calibri" w:hAnsi="Calibri" w:cs="Calibri"/>
          <w:sz w:val="22"/>
          <w:szCs w:val="22"/>
        </w:rPr>
        <w:t>-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li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GDPR). Bližší informace týkající se zpracování osobních údajů se nachází na stránkách správce </w:t>
      </w:r>
      <w:hyperlink r:id="rId8">
        <w:r>
          <w:rPr>
            <w:rStyle w:val="Internetovodkaz"/>
            <w:rFonts w:ascii="Calibri" w:hAnsi="Calibri" w:cs="Calibri"/>
            <w:sz w:val="22"/>
            <w:szCs w:val="22"/>
          </w:rPr>
          <w:t>www.chmi.cz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5A70AB" w:rsidRDefault="005A70AB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="Calibri" w:hAnsi="Calibri" w:cs="Calibri"/>
          <w:sz w:val="22"/>
          <w:szCs w:val="22"/>
        </w:rPr>
      </w:pPr>
      <w:bookmarkStart w:id="4" w:name="OLE_LINK3"/>
      <w:bookmarkStart w:id="5" w:name="OLE_LINK1"/>
      <w:r>
        <w:rPr>
          <w:rFonts w:ascii="Calibri" w:hAnsi="Calibri" w:cs="Calibri"/>
          <w:sz w:val="22"/>
          <w:szCs w:val="22"/>
        </w:rPr>
        <w:t>Smluvní strany prohlašují, že si tuto Smlouvu přečetly, jsou srozuměny s jejím obsahem a na důkaz tohoto připojují své podpisy.</w:t>
      </w:r>
      <w:bookmarkEnd w:id="4"/>
      <w:bookmarkEnd w:id="5"/>
    </w:p>
    <w:tbl>
      <w:tblPr>
        <w:tblW w:w="8904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3"/>
        <w:gridCol w:w="4451"/>
      </w:tblGrid>
      <w:tr w:rsidR="005A70AB">
        <w:trPr>
          <w:cantSplit/>
          <w:trHeight w:val="1900"/>
        </w:trPr>
        <w:tc>
          <w:tcPr>
            <w:tcW w:w="4452" w:type="dxa"/>
          </w:tcPr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Poskytovatel</w:t>
            </w:r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D03AC6">
              <w:rPr>
                <w:rFonts w:ascii="Calibri" w:hAnsi="Calibri" w:cs="Calibri"/>
                <w:sz w:val="22"/>
                <w:szCs w:val="22"/>
              </w:rPr>
              <w:t>Praze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proofErr w:type="gramStart"/>
            <w:r w:rsidR="00AC6C9B">
              <w:rPr>
                <w:rFonts w:ascii="Calibri" w:hAnsi="Calibri" w:cs="Calibri"/>
                <w:sz w:val="22"/>
                <w:szCs w:val="22"/>
              </w:rPr>
              <w:t>03.09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C6C9B">
              <w:rPr>
                <w:rFonts w:ascii="Calibri" w:hAnsi="Calibri" w:cs="Calibri"/>
                <w:sz w:val="22"/>
                <w:szCs w:val="22"/>
              </w:rPr>
              <w:t>2019</w:t>
            </w:r>
            <w:proofErr w:type="gramEnd"/>
          </w:p>
          <w:p w:rsidR="005A70AB" w:rsidRDefault="005A70AB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03AC6" w:rsidRDefault="00D03AC6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03AC6" w:rsidRDefault="00D03AC6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03AC6" w:rsidRDefault="00D03AC6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03AC6" w:rsidRDefault="00D03AC6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03AC6" w:rsidRDefault="00D03AC6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5A70AB" w:rsidRDefault="00F8541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xxx</w:t>
            </w:r>
            <w:proofErr w:type="spellEnd"/>
          </w:p>
          <w:p w:rsidR="005A70AB" w:rsidRDefault="005A70AB" w:rsidP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ředitel </w:t>
            </w:r>
            <w:r w:rsidR="00D03AC6">
              <w:rPr>
                <w:rFonts w:ascii="Calibri" w:hAnsi="Calibri"/>
                <w:sz w:val="22"/>
                <w:szCs w:val="22"/>
              </w:rPr>
              <w:t>ČHMÚ</w:t>
            </w:r>
          </w:p>
        </w:tc>
        <w:tc>
          <w:tcPr>
            <w:tcW w:w="4451" w:type="dxa"/>
          </w:tcPr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Nabyvatel</w:t>
            </w:r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D03AC6">
              <w:rPr>
                <w:rFonts w:ascii="Calibri" w:hAnsi="Calibri" w:cs="Calibri"/>
                <w:sz w:val="22"/>
                <w:szCs w:val="22"/>
              </w:rPr>
              <w:t>Praze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proofErr w:type="gramStart"/>
            <w:r w:rsidR="00AC6C9B">
              <w:rPr>
                <w:rFonts w:ascii="Calibri" w:hAnsi="Calibri" w:cs="Calibri"/>
                <w:sz w:val="22"/>
                <w:szCs w:val="22"/>
              </w:rPr>
              <w:t>26.08.2019</w:t>
            </w:r>
            <w:proofErr w:type="gramEnd"/>
          </w:p>
          <w:p w:rsidR="005A70AB" w:rsidRDefault="005A70A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03AC6" w:rsidRDefault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03AC6" w:rsidRDefault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03AC6" w:rsidRDefault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03AC6" w:rsidRDefault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03AC6" w:rsidRDefault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D03AC6" w:rsidRDefault="00D03AC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85416" w:rsidRDefault="00F85416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  <w:p w:rsidR="005A70AB" w:rsidRDefault="00AC6C9B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kvestorka</w:t>
            </w:r>
          </w:p>
        </w:tc>
      </w:tr>
    </w:tbl>
    <w:p w:rsidR="005A70AB" w:rsidRDefault="005A70AB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>
        <w:br w:type="page"/>
      </w:r>
      <w:bookmarkStart w:id="6" w:name="annex1"/>
      <w:bookmarkEnd w:id="6"/>
      <w:r>
        <w:rPr>
          <w:rFonts w:ascii="Calibri" w:hAnsi="Calibri" w:cs="Calibri"/>
          <w:b/>
          <w:caps/>
          <w:sz w:val="22"/>
          <w:szCs w:val="22"/>
          <w:shd w:val="clear" w:color="auto" w:fill="EEECE1"/>
        </w:rPr>
        <w:lastRenderedPageBreak/>
        <w:t>Příloha 1 – SPECIFIKACE produktů a Služeb a způsobu jejich užití</w:t>
      </w:r>
    </w:p>
    <w:p w:rsidR="005A70AB" w:rsidRDefault="005A70A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5A70AB" w:rsidRDefault="005A70AB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5A70AB" w:rsidRPr="00D03AC6" w:rsidRDefault="005A70AB">
      <w:pPr>
        <w:pStyle w:val="Heading21"/>
        <w:numPr>
          <w:ilvl w:val="0"/>
          <w:numId w:val="2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i/>
          <w:caps/>
          <w:sz w:val="22"/>
          <w:szCs w:val="22"/>
        </w:rPr>
      </w:pPr>
      <w:r w:rsidRPr="00D03AC6">
        <w:rPr>
          <w:rFonts w:ascii="Calibri" w:hAnsi="Calibri" w:cs="Calibri"/>
          <w:i/>
          <w:caps/>
          <w:sz w:val="22"/>
          <w:szCs w:val="22"/>
        </w:rPr>
        <w:t>Specifikace produktů</w:t>
      </w:r>
    </w:p>
    <w:p w:rsidR="005A70AB" w:rsidRPr="00D03AC6" w:rsidRDefault="005A70AB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Klimatologická data: </w:t>
      </w:r>
    </w:p>
    <w:p w:rsidR="005A70AB" w:rsidRPr="00D03AC6" w:rsidRDefault="005A70AB">
      <w:pPr>
        <w:pStyle w:val="Heading21"/>
        <w:numPr>
          <w:ilvl w:val="2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Technické řady denní průměrné teploty vzduchu a denních úhrnů srážek spočtené pro 523 bodů pravidelné sítě Euro-CORDEX v rámci území ČR. (Technickou řadou spočtenou pro body mimo staniční síť se rozumí řada, která vychází ze staničních dat a interpolací je transformuje do pravidelné sítě uzlových bodů ležících mimo staniční síť.). Data budou zpracována pro období 1989 – 2018 (30 let).    </w:t>
      </w:r>
    </w:p>
    <w:p w:rsidR="005A70AB" w:rsidRPr="00D03AC6" w:rsidRDefault="005A70AB">
      <w:pPr>
        <w:pStyle w:val="Heading21"/>
        <w:numPr>
          <w:ilvl w:val="0"/>
          <w:numId w:val="2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03AC6">
        <w:rPr>
          <w:rFonts w:ascii="Calibri" w:hAnsi="Calibri" w:cs="Calibri"/>
          <w:caps/>
          <w:sz w:val="22"/>
          <w:szCs w:val="22"/>
        </w:rPr>
        <w:t>Účel a Způsob užití</w:t>
      </w:r>
    </w:p>
    <w:p w:rsidR="005A70AB" w:rsidRPr="00D03AC6" w:rsidRDefault="00D03AC6" w:rsidP="00D03AC6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Produkty poskytnuté na základě této smlouvy budou použita výhradně k vědecko-výzkumným účelům - odhadům hydrologické bilance a jejich složek v plochách povodí a odhad parametrů opatření pro zavádění konceptu chytré krajiny.</w:t>
      </w:r>
    </w:p>
    <w:p w:rsidR="005A70AB" w:rsidRPr="00D03AC6" w:rsidRDefault="005A70AB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firstLine="0"/>
        <w:rPr>
          <w:rFonts w:ascii="Calibri" w:hAnsi="Calibri" w:cs="Calibri"/>
          <w:sz w:val="22"/>
          <w:szCs w:val="22"/>
        </w:rPr>
      </w:pPr>
    </w:p>
    <w:p w:rsidR="005A70AB" w:rsidRPr="00D03AC6" w:rsidRDefault="005A70AB">
      <w:pPr>
        <w:pStyle w:val="Heading21"/>
        <w:numPr>
          <w:ilvl w:val="0"/>
          <w:numId w:val="2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03AC6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D03AC6" w:rsidRPr="00D03AC6" w:rsidRDefault="005A70AB">
      <w:pPr>
        <w:pStyle w:val="Odstavecseseznamem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Data budou předána prostřednictvím datového úložiště ulozto.chmi.cz. Na e-mail kontaktní osoby Nabyvatele uvedené v hlavičce smlouvy bude předáno přístupové heslo. </w:t>
      </w:r>
    </w:p>
    <w:p w:rsidR="005A70AB" w:rsidRPr="00D03AC6" w:rsidRDefault="005A70AB" w:rsidP="00D03AC6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Po kontrole předaných dat Nabyvatel zašle potvrzený předávací protokol na e-mail kontaktní osoby Poskytovatele.</w:t>
      </w:r>
    </w:p>
    <w:p w:rsidR="005A70AB" w:rsidRPr="00D03AC6" w:rsidRDefault="005A70AB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</w:p>
    <w:p w:rsidR="005A70AB" w:rsidRPr="00D03AC6" w:rsidRDefault="005A70AB">
      <w:pPr>
        <w:pStyle w:val="heading210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/>
          <w:sz w:val="22"/>
          <w:szCs w:val="22"/>
        </w:rPr>
        <w:t xml:space="preserve">Kontaktní osobou Poskytovatele k přípravě a předání Dat a Produktů a Služeb Nabyvateli ve věcech technických </w:t>
      </w:r>
      <w:proofErr w:type="spellStart"/>
      <w:r w:rsidR="00F85416">
        <w:rPr>
          <w:rFonts w:ascii="Calibri" w:hAnsi="Calibri"/>
          <w:sz w:val="22"/>
          <w:szCs w:val="22"/>
        </w:rPr>
        <w:t>xxxx</w:t>
      </w:r>
      <w:proofErr w:type="spellEnd"/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F85416" w:rsidRDefault="00F85416">
      <w:pPr>
        <w:pStyle w:val="heading210"/>
        <w:rPr>
          <w:rFonts w:ascii="Calibri" w:hAnsi="Calibri"/>
          <w:i/>
          <w:sz w:val="22"/>
          <w:szCs w:val="22"/>
        </w:rPr>
      </w:pPr>
      <w:bookmarkStart w:id="7" w:name="_GoBack"/>
      <w:bookmarkEnd w:id="7"/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5A70AB" w:rsidRDefault="005A70AB">
      <w:pPr>
        <w:pStyle w:val="heading210"/>
        <w:rPr>
          <w:rFonts w:ascii="Calibri" w:hAnsi="Calibri"/>
          <w:i/>
          <w:sz w:val="22"/>
          <w:szCs w:val="22"/>
        </w:rPr>
      </w:pPr>
    </w:p>
    <w:p w:rsidR="005A70AB" w:rsidRDefault="005A70AB">
      <w:pPr>
        <w:shd w:val="clear" w:color="auto" w:fill="EEECE1"/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lastRenderedPageBreak/>
        <w:t>Příloha 2 – Vyčíslení ceny poskytnutých produktů a ceny služeb</w:t>
      </w:r>
    </w:p>
    <w:p w:rsidR="005A70AB" w:rsidRDefault="005A70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:rsidR="005A70AB" w:rsidRDefault="005A70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:rsidR="005A70AB" w:rsidRPr="00D03AC6" w:rsidRDefault="005A70AB">
      <w:pPr>
        <w:pStyle w:val="Heading21"/>
        <w:numPr>
          <w:ilvl w:val="0"/>
          <w:numId w:val="4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03AC6">
        <w:rPr>
          <w:rFonts w:ascii="Calibri" w:hAnsi="Calibri" w:cs="Calibri"/>
          <w:caps/>
          <w:sz w:val="22"/>
          <w:szCs w:val="22"/>
        </w:rPr>
        <w:t>Vyčíslení CENY PRODUKTŮ A SLUŽEB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Cena podle typů Produktů (ceník ČHMÚ)</w:t>
      </w:r>
      <w:r w:rsidRPr="00D03AC6">
        <w:t xml:space="preserve"> </w:t>
      </w:r>
      <w:r w:rsidRPr="00D03AC6">
        <w:rPr>
          <w:rFonts w:ascii="Calibri" w:hAnsi="Calibri" w:cs="Calibri"/>
          <w:sz w:val="22"/>
          <w:szCs w:val="22"/>
        </w:rPr>
        <w:t>6.302.200,- Kč</w:t>
      </w:r>
    </w:p>
    <w:p w:rsidR="005A70AB" w:rsidRPr="00D03AC6" w:rsidRDefault="005A70AB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Technické řady průměrných denních hodnot teploty vzduchu a úhrnu srážek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Cena služeb</w:t>
      </w:r>
      <w:r w:rsidRPr="00D03AC6">
        <w:rPr>
          <w:rFonts w:ascii="Calibri" w:hAnsi="Calibri" w:cs="Calibri"/>
          <w:sz w:val="22"/>
          <w:szCs w:val="22"/>
        </w:rPr>
        <w:tab/>
        <w:t>10.450,- Kč</w:t>
      </w:r>
    </w:p>
    <w:p w:rsidR="005A70AB" w:rsidRPr="00D03AC6" w:rsidRDefault="005A70AB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Výpočet a zpracování technické řady pro body pravidelné sítě Euro-CORDEX 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Celková cena poskytovaných Produktů a Služeb ČHMÚ 6.312.650,- Kč </w:t>
      </w:r>
      <w:r w:rsidRPr="00D03AC6">
        <w:rPr>
          <w:rFonts w:ascii="Calibri" w:hAnsi="Calibri" w:cs="Calibri"/>
          <w:sz w:val="22"/>
          <w:szCs w:val="22"/>
        </w:rPr>
        <w:br/>
      </w:r>
    </w:p>
    <w:p w:rsidR="005A70AB" w:rsidRPr="00D03AC6" w:rsidRDefault="005A70AB">
      <w:pPr>
        <w:pStyle w:val="Heading21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60" w:firstLine="0"/>
        <w:rPr>
          <w:rFonts w:ascii="Calibri" w:hAnsi="Calibri" w:cs="Calibri"/>
          <w:color w:val="auto"/>
          <w:sz w:val="18"/>
          <w:szCs w:val="18"/>
        </w:rPr>
      </w:pPr>
    </w:p>
    <w:p w:rsidR="005A70AB" w:rsidRPr="00D03AC6" w:rsidRDefault="005A70AB" w:rsidP="00D03AC6">
      <w:pPr>
        <w:pStyle w:val="Heading21"/>
        <w:numPr>
          <w:ilvl w:val="0"/>
          <w:numId w:val="4"/>
        </w:numPr>
        <w:tabs>
          <w:tab w:val="clear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caps/>
          <w:sz w:val="22"/>
          <w:szCs w:val="22"/>
        </w:rPr>
        <w:t>Sleva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Vzhledem k tomu, že předmět této smlouvy bude Nabyvatelem využit pro vědecko-výzkumné účely a poskytovaná data jsou charakteru technické řady, jsou Data a Produkty poskytovány za 25 % z částky staničních dat dle ceníku ČHMÚ.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Souhrnná cena Produktů ČHMÚ poskytovaných touto Smlouvou činí po slevě 1.575.550,- Kč 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>Souhrnná cena Služeb ČHMÚ poskytovaných touto Smlouvou je kalkulována beze slevy 10.450,- Kč.</w:t>
      </w:r>
    </w:p>
    <w:p w:rsidR="005A70AB" w:rsidRPr="00D03AC6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03AC6">
        <w:rPr>
          <w:rFonts w:ascii="Calibri" w:hAnsi="Calibri" w:cs="Calibri"/>
          <w:sz w:val="22"/>
          <w:szCs w:val="22"/>
        </w:rPr>
        <w:t xml:space="preserve">Cena celkem (II. 2+3) </w:t>
      </w:r>
      <w:r w:rsidRPr="00D03AC6">
        <w:rPr>
          <w:rFonts w:ascii="Calibri" w:hAnsi="Calibri" w:cs="Calibri"/>
          <w:b/>
          <w:sz w:val="22"/>
          <w:szCs w:val="22"/>
        </w:rPr>
        <w:t>1.586.000,- Kč</w:t>
      </w:r>
      <w:r w:rsidRPr="00D03AC6">
        <w:rPr>
          <w:rFonts w:ascii="Calibri" w:hAnsi="Calibri" w:cs="Calibri"/>
          <w:sz w:val="22"/>
          <w:szCs w:val="22"/>
        </w:rPr>
        <w:t>.</w:t>
      </w:r>
    </w:p>
    <w:p w:rsidR="005A70AB" w:rsidRDefault="005A70AB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5A70AB" w:rsidRDefault="005A70AB">
      <w:pPr>
        <w:pStyle w:val="Heading21"/>
        <w:numPr>
          <w:ilvl w:val="0"/>
          <w:numId w:val="4"/>
        </w:numPr>
        <w:tabs>
          <w:tab w:val="clear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FAKTURAČNÍ PODMÍNKY</w:t>
      </w:r>
    </w:p>
    <w:p w:rsidR="005A70AB" w:rsidRDefault="005A70AB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Faktura za poskytnuté Produkty a Služby dle této smlouvy bude vystavena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jednorázově. </w:t>
      </w:r>
    </w:p>
    <w:p w:rsidR="005A70AB" w:rsidRDefault="005A70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8" w:name="annex7"/>
      <w:bookmarkEnd w:id="8"/>
    </w:p>
    <w:p w:rsidR="005A70AB" w:rsidRDefault="005A70AB"/>
    <w:sectPr w:rsidR="005A70AB" w:rsidSect="00590C10">
      <w:headerReference w:type="default" r:id="rId9"/>
      <w:footerReference w:type="default" r:id="rId10"/>
      <w:pgSz w:w="11906" w:h="16838"/>
      <w:pgMar w:top="1361" w:right="1418" w:bottom="1418" w:left="1418" w:header="70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54DFD4" w15:done="0"/>
  <w15:commentEx w15:paraId="0E1BC7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54DFD4" w16cid:durableId="20F66E4F"/>
  <w16cid:commentId w16cid:paraId="0E1BC706" w16cid:durableId="20F66E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E5" w:rsidRDefault="00DE32E5">
      <w:pPr>
        <w:spacing w:line="240" w:lineRule="auto"/>
      </w:pPr>
      <w:r>
        <w:separator/>
      </w:r>
    </w:p>
  </w:endnote>
  <w:endnote w:type="continuationSeparator" w:id="0">
    <w:p w:rsidR="00DE32E5" w:rsidRDefault="00DE3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horzAnchor="margin" w:tblpXSpec="center" w:tblpYSpec="bottom"/>
      <w:tblW w:w="5000" w:type="pct"/>
      <w:jc w:val="center"/>
      <w:tblLook w:val="00A0" w:firstRow="1" w:lastRow="0" w:firstColumn="1" w:lastColumn="0" w:noHBand="0" w:noVBand="0"/>
    </w:tblPr>
    <w:tblGrid>
      <w:gridCol w:w="7407"/>
      <w:gridCol w:w="1879"/>
    </w:tblGrid>
    <w:tr w:rsidR="005A70AB">
      <w:trPr>
        <w:trHeight w:val="727"/>
        <w:jc w:val="center"/>
      </w:trPr>
      <w:tc>
        <w:tcPr>
          <w:tcW w:w="7234" w:type="dxa"/>
          <w:tcBorders>
            <w:right w:val="double" w:sz="4" w:space="0" w:color="4F81BD"/>
          </w:tcBorders>
        </w:tcPr>
        <w:p w:rsidR="005A70AB" w:rsidRDefault="005A70A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  <w:bookmarkStart w:id="9" w:name="__UnoMark__402_3791341631"/>
          <w:bookmarkEnd w:id="9"/>
        </w:p>
      </w:tc>
      <w:bookmarkStart w:id="10" w:name="__UnoMark__403_3791341631"/>
      <w:bookmarkEnd w:id="10"/>
      <w:tc>
        <w:tcPr>
          <w:tcW w:w="1835" w:type="dxa"/>
          <w:tcBorders>
            <w:left w:val="double" w:sz="4" w:space="0" w:color="4F81BD"/>
          </w:tcBorders>
        </w:tcPr>
        <w:p w:rsidR="005A70AB" w:rsidRDefault="005A70AB">
          <w:pPr>
            <w:tabs>
              <w:tab w:val="left" w:pos="1490"/>
            </w:tabs>
          </w:pPr>
          <w:r>
            <w:rPr>
              <w:b/>
              <w:sz w:val="12"/>
            </w:rPr>
            <w:fldChar w:fldCharType="begin"/>
          </w:r>
          <w:r>
            <w:rPr>
              <w:b/>
              <w:sz w:val="12"/>
            </w:rPr>
            <w:instrText>PAGE</w:instrText>
          </w:r>
          <w:r>
            <w:rPr>
              <w:b/>
              <w:sz w:val="12"/>
            </w:rPr>
            <w:fldChar w:fldCharType="separate"/>
          </w:r>
          <w:r w:rsidR="00947121">
            <w:rPr>
              <w:b/>
              <w:noProof/>
              <w:sz w:val="12"/>
            </w:rPr>
            <w:t>8</w:t>
          </w:r>
          <w:r>
            <w:rPr>
              <w:b/>
              <w:sz w:val="12"/>
            </w:rPr>
            <w:fldChar w:fldCharType="end"/>
          </w:r>
        </w:p>
      </w:tc>
    </w:tr>
  </w:tbl>
  <w:p w:rsidR="005A70AB" w:rsidRDefault="005F1353">
    <w:pPr>
      <w:pStyle w:val="Zpat"/>
      <w:jc w:val="center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095B20FC" wp14:editId="1F98F0A4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1075" cy="302260"/>
          <wp:effectExtent l="0" t="0" r="952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" t="2403" r="57298" b="8941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E5" w:rsidRDefault="00DE32E5">
      <w:pPr>
        <w:spacing w:line="240" w:lineRule="auto"/>
      </w:pPr>
      <w:r>
        <w:separator/>
      </w:r>
    </w:p>
  </w:footnote>
  <w:footnote w:type="continuationSeparator" w:id="0">
    <w:p w:rsidR="00DE32E5" w:rsidRDefault="00DE3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AB" w:rsidRDefault="005A70AB">
    <w:pPr>
      <w:pStyle w:val="Zhlav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>Číslo smlouvy</w:t>
    </w:r>
    <w:r w:rsidRPr="00D11335">
      <w:rPr>
        <w:rFonts w:ascii="Calibri" w:hAnsi="Calibri" w:cs="Calibri"/>
        <w:b/>
        <w:sz w:val="20"/>
        <w:szCs w:val="20"/>
      </w:rPr>
      <w:t xml:space="preserve">:  </w:t>
    </w:r>
    <w:r w:rsidR="005F1353" w:rsidRPr="00D11335">
      <w:rPr>
        <w:rFonts w:ascii="Calibri" w:hAnsi="Calibri" w:cs="Calibri"/>
        <w:b/>
        <w:sz w:val="20"/>
        <w:szCs w:val="20"/>
      </w:rPr>
      <w:t>5600/11/2019</w:t>
    </w:r>
  </w:p>
  <w:p w:rsidR="005A70AB" w:rsidRDefault="005A70AB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="Calibri" w:hAnsi="Calibri" w:cs="Calibri"/>
        <w:sz w:val="16"/>
        <w:szCs w:val="16"/>
      </w:rPr>
      <w:t xml:space="preserve">    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Arial" w:hAnsi="Arial" w:cs="Arial"/>
        <w:sz w:val="14"/>
        <w:szCs w:val="14"/>
      </w:rPr>
      <w:t xml:space="preserve">         </w:t>
    </w:r>
    <w:r>
      <w:rPr>
        <w:rFonts w:ascii="Arial" w:hAnsi="Arial" w:cs="Arial"/>
        <w:i/>
      </w:rPr>
      <w:t>Typ C</w:t>
    </w:r>
  </w:p>
  <w:p w:rsidR="005A70AB" w:rsidRDefault="005A70AB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</w:t>
    </w:r>
    <w:r>
      <w:rPr>
        <w:rFonts w:ascii="Arial" w:hAnsi="Arial" w:cs="Arial"/>
        <w:i/>
        <w:sz w:val="12"/>
        <w:szCs w:val="12"/>
      </w:rPr>
      <w:t xml:space="preserve">(studium, vědecký a výzkumný </w:t>
    </w:r>
    <w:proofErr w:type="gramStart"/>
    <w:r>
      <w:rPr>
        <w:rFonts w:ascii="Arial" w:hAnsi="Arial" w:cs="Arial"/>
        <w:i/>
        <w:sz w:val="12"/>
        <w:szCs w:val="12"/>
      </w:rPr>
      <w:t>účel)</w:t>
    </w:r>
    <w:r>
      <w:rPr>
        <w:rFonts w:ascii="Arial" w:hAnsi="Arial" w:cs="Arial"/>
        <w:i/>
        <w:sz w:val="14"/>
        <w:szCs w:val="14"/>
      </w:rPr>
      <w:t xml:space="preserve">  – aktualizace</w:t>
    </w:r>
    <w:proofErr w:type="gramEnd"/>
    <w:r>
      <w:rPr>
        <w:rFonts w:ascii="Arial" w:hAnsi="Arial" w:cs="Arial"/>
        <w:i/>
        <w:sz w:val="14"/>
        <w:szCs w:val="14"/>
      </w:rPr>
      <w:t xml:space="preserve"> 24/4/2019 </w:t>
    </w:r>
  </w:p>
  <w:p w:rsidR="005A70AB" w:rsidRDefault="005A70AB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color w:val="auto"/>
        <w:spacing w:val="20"/>
        <w:sz w:val="60"/>
        <w:szCs w:val="60"/>
      </w:rPr>
    </w:pPr>
    <w:r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:rsidR="005A70AB" w:rsidRDefault="005A70AB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ve zn. </w:t>
    </w:r>
    <w:proofErr w:type="spellStart"/>
    <w:r>
      <w:rPr>
        <w:rFonts w:ascii="Calibri" w:hAnsi="Calibri" w:cs="Calibri"/>
        <w:b w:val="0"/>
        <w:sz w:val="14"/>
        <w:szCs w:val="14"/>
      </w:rPr>
      <w:t>pozd</w:t>
    </w:r>
    <w:proofErr w:type="spellEnd"/>
    <w:r>
      <w:rPr>
        <w:rFonts w:ascii="Calibri" w:hAnsi="Calibri" w:cs="Calibri"/>
        <w:b w:val="0"/>
        <w:sz w:val="14"/>
        <w:szCs w:val="14"/>
      </w:rPr>
      <w:t xml:space="preserve">. </w:t>
    </w:r>
    <w:proofErr w:type="gramStart"/>
    <w:r>
      <w:rPr>
        <w:rFonts w:ascii="Calibri" w:hAnsi="Calibri" w:cs="Calibri"/>
        <w:b w:val="0"/>
        <w:sz w:val="14"/>
        <w:szCs w:val="14"/>
      </w:rPr>
      <w:t>před</w:t>
    </w:r>
    <w:proofErr w:type="gramEnd"/>
    <w:r>
      <w:rPr>
        <w:rFonts w:ascii="Calibri" w:hAnsi="Calibri" w:cs="Calibri"/>
        <w:b w:val="0"/>
        <w:sz w:val="14"/>
        <w:szCs w:val="14"/>
      </w:rPr>
      <w:t>.)</w:t>
    </w:r>
  </w:p>
  <w:p w:rsidR="005A70AB" w:rsidRDefault="005A70AB">
    <w:pPr>
      <w:pStyle w:val="Nzevsmlouvy"/>
      <w:pBdr>
        <w:bottom w:val="single" w:sz="4" w:space="1" w:color="000000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5A70AB" w:rsidRDefault="005A70AB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       </w:t>
    </w:r>
  </w:p>
  <w:p w:rsidR="005A70AB" w:rsidRDefault="005A70AB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95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5E064E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FF196F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9A3AD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3A334F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84003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tucký Jan">
    <w15:presenceInfo w15:providerId="AD" w15:userId="S-1-5-21-2305692138-799105946-157749570-139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l3clNKfo1lwENhIs0Ra5ZQDbEI=" w:salt="irBu71FJP70BIYze+6bv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A"/>
    <w:rsid w:val="00000D33"/>
    <w:rsid w:val="0002651D"/>
    <w:rsid w:val="00093BE6"/>
    <w:rsid w:val="001E0040"/>
    <w:rsid w:val="001E5EDC"/>
    <w:rsid w:val="0033734C"/>
    <w:rsid w:val="00436A29"/>
    <w:rsid w:val="00590C10"/>
    <w:rsid w:val="005A394F"/>
    <w:rsid w:val="005A70AB"/>
    <w:rsid w:val="005F1353"/>
    <w:rsid w:val="006557C2"/>
    <w:rsid w:val="0093791A"/>
    <w:rsid w:val="00947121"/>
    <w:rsid w:val="009D476B"/>
    <w:rsid w:val="00AC6C9B"/>
    <w:rsid w:val="00AF06F1"/>
    <w:rsid w:val="00BD012A"/>
    <w:rsid w:val="00D03AC6"/>
    <w:rsid w:val="00D11335"/>
    <w:rsid w:val="00DE32E5"/>
    <w:rsid w:val="00F1413A"/>
    <w:rsid w:val="00F85416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uiPriority w:val="99"/>
    <w:rPr>
      <w:rFonts w:ascii="Arial" w:hAnsi="Arial"/>
      <w:b/>
      <w:sz w:val="24"/>
      <w:u w:val="single"/>
    </w:rPr>
  </w:style>
  <w:style w:type="character" w:customStyle="1" w:styleId="obrtabChar">
    <w:name w:val="obr+tab Char"/>
    <w:uiPriority w:val="99"/>
    <w:locked/>
    <w:rPr>
      <w:rFonts w:ascii="Times New Roman" w:eastAsia="Arial Unicode MS" w:hAnsi="Times New Roman"/>
      <w:b/>
      <w:i/>
      <w:sz w:val="24"/>
      <w:lang w:val="x-none" w:eastAsia="cs-CZ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character" w:customStyle="1" w:styleId="TextpoznpodarouChar">
    <w:name w:val="Text pozn. pod čarou Char"/>
    <w:link w:val="Textpoznpodarou"/>
    <w:uiPriority w:val="99"/>
    <w:locked/>
    <w:rPr>
      <w:rFonts w:ascii="Times New Roman" w:hAnsi="Times New Roman"/>
      <w:color w:val="000000"/>
      <w:sz w:val="20"/>
    </w:rPr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/>
      <w:color w:val="000000"/>
      <w:sz w:val="24"/>
    </w:rPr>
  </w:style>
  <w:style w:type="character" w:customStyle="1" w:styleId="ZhlavChar">
    <w:name w:val="Záhlaví Char"/>
    <w:link w:val="Zhlav"/>
    <w:uiPriority w:val="99"/>
    <w:locked/>
    <w:rPr>
      <w:rFonts w:ascii="Times New Roman" w:hAnsi="Times New Roman"/>
      <w:color w:val="000000"/>
      <w:sz w:val="24"/>
    </w:rPr>
  </w:style>
  <w:style w:type="character" w:customStyle="1" w:styleId="ZpatChar">
    <w:name w:val="Zápatí Char"/>
    <w:link w:val="Zpat"/>
    <w:uiPriority w:val="99"/>
    <w:locked/>
    <w:rPr>
      <w:rFonts w:ascii="Times New Roman" w:hAnsi="Times New Roman"/>
      <w:color w:val="000000"/>
      <w:sz w:val="24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Times New Roman" w:hAnsi="Times New Roman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hAnsi="Times New Roman"/>
      <w:b/>
      <w:color w:val="000000"/>
      <w:sz w:val="20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ascii="Calibri" w:hAnsi="Calibri"/>
      <w:b/>
      <w:sz w:val="22"/>
    </w:rPr>
  </w:style>
  <w:style w:type="character" w:customStyle="1" w:styleId="ListLabel2">
    <w:name w:val="ListLabel 2"/>
    <w:uiPriority w:val="99"/>
    <w:rPr>
      <w:rFonts w:ascii="Calibri" w:hAnsi="Calibri"/>
      <w:sz w:val="22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rFonts w:ascii="Calibri" w:hAnsi="Calibri"/>
      <w:sz w:val="22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Calibri" w:hAnsi="Calibri"/>
      <w:sz w:val="22"/>
    </w:rPr>
  </w:style>
  <w:style w:type="character" w:customStyle="1" w:styleId="ListLabel11">
    <w:name w:val="ListLabel 11"/>
    <w:uiPriority w:val="99"/>
    <w:rPr>
      <w:rFonts w:ascii="Calibri" w:hAnsi="Calibri"/>
      <w:sz w:val="22"/>
    </w:rPr>
  </w:style>
  <w:style w:type="character" w:customStyle="1" w:styleId="ListLabel12">
    <w:name w:val="ListLabel 12"/>
    <w:uiPriority w:val="99"/>
    <w:rPr>
      <w:rFonts w:ascii="Calibri" w:hAnsi="Calibri"/>
      <w:sz w:val="22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rFonts w:ascii="Calibri" w:hAnsi="Calibri"/>
      <w:sz w:val="22"/>
    </w:rPr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ascii="Calibri" w:hAnsi="Calibri"/>
      <w:sz w:val="22"/>
    </w:rPr>
  </w:style>
  <w:style w:type="character" w:customStyle="1" w:styleId="ListLabel29">
    <w:name w:val="ListLabel 29"/>
    <w:uiPriority w:val="99"/>
    <w:rPr>
      <w:rFonts w:ascii="Calibri" w:hAnsi="Calibri"/>
      <w:sz w:val="22"/>
    </w:rPr>
  </w:style>
  <w:style w:type="character" w:customStyle="1" w:styleId="ListLabel30">
    <w:name w:val="ListLabel 30"/>
    <w:uiPriority w:val="99"/>
    <w:rPr>
      <w:rFonts w:ascii="Calibri" w:hAnsi="Calibri"/>
      <w:sz w:val="22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  <w:rPr>
      <w:sz w:val="20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  <w:rPr>
      <w:sz w:val="20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  <w:rPr>
      <w:rFonts w:ascii="Calibri" w:hAnsi="Calibri"/>
      <w:sz w:val="22"/>
    </w:rPr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  <w:rPr>
      <w:sz w:val="20"/>
    </w:rPr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  <w:rPr>
      <w:rFonts w:ascii="Calibri" w:hAnsi="Calibri"/>
      <w:sz w:val="22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spacing w:after="120"/>
    </w:pPr>
  </w:style>
  <w:style w:type="character" w:customStyle="1" w:styleId="BodyTextChar1">
    <w:name w:val="Body Text Char1"/>
    <w:uiPriority w:val="99"/>
    <w:semiHidden/>
    <w:rsid w:val="004E3A8E"/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styleId="Seznam">
    <w:name w:val="List"/>
    <w:basedOn w:val="Zkladntext"/>
    <w:uiPriority w:val="99"/>
    <w:rPr>
      <w:rFonts w:cs="Lohit Devanagari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Lohit Devanagari"/>
    </w:rPr>
  </w:style>
  <w:style w:type="paragraph" w:customStyle="1" w:styleId="obrtab">
    <w:name w:val="obr+tab"/>
    <w:basedOn w:val="Normlnweb"/>
    <w:uiPriority w:val="99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3A8E"/>
    <w:rPr>
      <w:rFonts w:ascii="Times New Roman" w:eastAsia="Times New Roman" w:hAnsi="Times New Roman"/>
      <w:color w:val="000000"/>
      <w:sz w:val="0"/>
      <w:szCs w:val="0"/>
      <w:lang w:val="cs-CZ"/>
    </w:rPr>
  </w:style>
  <w:style w:type="paragraph" w:customStyle="1" w:styleId="FreeForm">
    <w:name w:val="Free Form"/>
    <w:uiPriority w:val="99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4"/>
    </w:rPr>
  </w:style>
  <w:style w:type="paragraph" w:customStyle="1" w:styleId="Identifikacestran">
    <w:name w:val="Identifikace stran"/>
    <w:uiPriority w:val="99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uiPriority w:val="99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4E3A8E"/>
    <w:rPr>
      <w:rFonts w:ascii="Times New Roman" w:eastAsia="Times New Roman" w:hAnsi="Times New Roman"/>
      <w:color w:val="000000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uiPriority w:val="99"/>
    <w:semiHidden/>
    <w:rsid w:val="004E3A8E"/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uiPriority w:val="99"/>
    <w:semiHidden/>
    <w:rsid w:val="004E3A8E"/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customStyle="1" w:styleId="Header1">
    <w:name w:val="Header1"/>
    <w:uiPriority w:val="99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4E3A8E"/>
    <w:rPr>
      <w:rFonts w:ascii="Times New Roman" w:eastAsia="Times New Roman" w:hAnsi="Times New Roman"/>
      <w:color w:val="000000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4E3A8E"/>
    <w:rPr>
      <w:rFonts w:ascii="Times New Roman" w:eastAsia="Times New Roman" w:hAnsi="Times New Roman"/>
      <w:b/>
      <w:bCs/>
      <w:color w:val="000000"/>
      <w:sz w:val="20"/>
      <w:szCs w:val="20"/>
      <w:lang w:val="cs-CZ"/>
    </w:rPr>
  </w:style>
  <w:style w:type="paragraph" w:customStyle="1" w:styleId="heading210">
    <w:name w:val="heading21"/>
    <w:basedOn w:val="Normln"/>
    <w:uiPriority w:val="99"/>
    <w:pPr>
      <w:spacing w:after="120"/>
      <w:ind w:left="1418" w:hanging="708"/>
    </w:pPr>
    <w:rPr>
      <w:rFonts w:eastAsia="Calibri"/>
      <w:lang w:eastAsia="cs-CZ"/>
    </w:rPr>
  </w:style>
  <w:style w:type="paragraph" w:customStyle="1" w:styleId="Obsahrmce">
    <w:name w:val="Obsah rámce"/>
    <w:basedOn w:val="Norml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uiPriority w:val="99"/>
    <w:rPr>
      <w:rFonts w:ascii="Arial" w:hAnsi="Arial"/>
      <w:b/>
      <w:sz w:val="24"/>
      <w:u w:val="single"/>
    </w:rPr>
  </w:style>
  <w:style w:type="character" w:customStyle="1" w:styleId="obrtabChar">
    <w:name w:val="obr+tab Char"/>
    <w:uiPriority w:val="99"/>
    <w:locked/>
    <w:rPr>
      <w:rFonts w:ascii="Times New Roman" w:eastAsia="Arial Unicode MS" w:hAnsi="Times New Roman"/>
      <w:b/>
      <w:i/>
      <w:sz w:val="24"/>
      <w:lang w:val="x-none" w:eastAsia="cs-CZ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character" w:customStyle="1" w:styleId="TextpoznpodarouChar">
    <w:name w:val="Text pozn. pod čarou Char"/>
    <w:link w:val="Textpoznpodarou"/>
    <w:uiPriority w:val="99"/>
    <w:locked/>
    <w:rPr>
      <w:rFonts w:ascii="Times New Roman" w:hAnsi="Times New Roman"/>
      <w:color w:val="000000"/>
      <w:sz w:val="20"/>
    </w:rPr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/>
      <w:color w:val="000000"/>
      <w:sz w:val="24"/>
    </w:rPr>
  </w:style>
  <w:style w:type="character" w:customStyle="1" w:styleId="ZhlavChar">
    <w:name w:val="Záhlaví Char"/>
    <w:link w:val="Zhlav"/>
    <w:uiPriority w:val="99"/>
    <w:locked/>
    <w:rPr>
      <w:rFonts w:ascii="Times New Roman" w:hAnsi="Times New Roman"/>
      <w:color w:val="000000"/>
      <w:sz w:val="24"/>
    </w:rPr>
  </w:style>
  <w:style w:type="character" w:customStyle="1" w:styleId="ZpatChar">
    <w:name w:val="Zápatí Char"/>
    <w:link w:val="Zpat"/>
    <w:uiPriority w:val="99"/>
    <w:locked/>
    <w:rPr>
      <w:rFonts w:ascii="Times New Roman" w:hAnsi="Times New Roman"/>
      <w:color w:val="000000"/>
      <w:sz w:val="24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Times New Roman" w:hAnsi="Times New Roman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Times New Roman" w:hAnsi="Times New Roman"/>
      <w:b/>
      <w:color w:val="000000"/>
      <w:sz w:val="20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ListLabel1">
    <w:name w:val="ListLabel 1"/>
    <w:uiPriority w:val="99"/>
    <w:rPr>
      <w:rFonts w:ascii="Calibri" w:hAnsi="Calibri"/>
      <w:b/>
      <w:sz w:val="22"/>
    </w:rPr>
  </w:style>
  <w:style w:type="character" w:customStyle="1" w:styleId="ListLabel2">
    <w:name w:val="ListLabel 2"/>
    <w:uiPriority w:val="99"/>
    <w:rPr>
      <w:rFonts w:ascii="Calibri" w:hAnsi="Calibri"/>
      <w:sz w:val="22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rFonts w:ascii="Calibri" w:hAnsi="Calibri"/>
      <w:sz w:val="22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Calibri" w:hAnsi="Calibri"/>
      <w:sz w:val="22"/>
    </w:rPr>
  </w:style>
  <w:style w:type="character" w:customStyle="1" w:styleId="ListLabel11">
    <w:name w:val="ListLabel 11"/>
    <w:uiPriority w:val="99"/>
    <w:rPr>
      <w:rFonts w:ascii="Calibri" w:hAnsi="Calibri"/>
      <w:sz w:val="22"/>
    </w:rPr>
  </w:style>
  <w:style w:type="character" w:customStyle="1" w:styleId="ListLabel12">
    <w:name w:val="ListLabel 12"/>
    <w:uiPriority w:val="99"/>
    <w:rPr>
      <w:rFonts w:ascii="Calibri" w:hAnsi="Calibri"/>
      <w:sz w:val="22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rFonts w:ascii="Calibri" w:hAnsi="Calibri"/>
      <w:sz w:val="22"/>
    </w:rPr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ascii="Calibri" w:hAnsi="Calibri"/>
      <w:sz w:val="22"/>
    </w:rPr>
  </w:style>
  <w:style w:type="character" w:customStyle="1" w:styleId="ListLabel29">
    <w:name w:val="ListLabel 29"/>
    <w:uiPriority w:val="99"/>
    <w:rPr>
      <w:rFonts w:ascii="Calibri" w:hAnsi="Calibri"/>
      <w:sz w:val="22"/>
    </w:rPr>
  </w:style>
  <w:style w:type="character" w:customStyle="1" w:styleId="ListLabel30">
    <w:name w:val="ListLabel 30"/>
    <w:uiPriority w:val="99"/>
    <w:rPr>
      <w:rFonts w:ascii="Calibri" w:hAnsi="Calibri"/>
      <w:sz w:val="22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  <w:rPr>
      <w:sz w:val="20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  <w:rPr>
      <w:sz w:val="20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  <w:rPr>
      <w:rFonts w:ascii="Calibri" w:hAnsi="Calibri"/>
      <w:sz w:val="22"/>
    </w:rPr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  <w:rPr>
      <w:sz w:val="20"/>
    </w:rPr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  <w:rPr>
      <w:rFonts w:ascii="Calibri" w:hAnsi="Calibri"/>
      <w:sz w:val="22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spacing w:after="120"/>
    </w:pPr>
  </w:style>
  <w:style w:type="character" w:customStyle="1" w:styleId="BodyTextChar1">
    <w:name w:val="Body Text Char1"/>
    <w:uiPriority w:val="99"/>
    <w:semiHidden/>
    <w:rsid w:val="004E3A8E"/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styleId="Seznam">
    <w:name w:val="List"/>
    <w:basedOn w:val="Zkladntext"/>
    <w:uiPriority w:val="99"/>
    <w:rPr>
      <w:rFonts w:cs="Lohit Devanagari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Lohit Devanagari"/>
    </w:rPr>
  </w:style>
  <w:style w:type="paragraph" w:customStyle="1" w:styleId="obrtab">
    <w:name w:val="obr+tab"/>
    <w:basedOn w:val="Normlnweb"/>
    <w:uiPriority w:val="99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3A8E"/>
    <w:rPr>
      <w:rFonts w:ascii="Times New Roman" w:eastAsia="Times New Roman" w:hAnsi="Times New Roman"/>
      <w:color w:val="000000"/>
      <w:sz w:val="0"/>
      <w:szCs w:val="0"/>
      <w:lang w:val="cs-CZ"/>
    </w:rPr>
  </w:style>
  <w:style w:type="paragraph" w:customStyle="1" w:styleId="FreeForm">
    <w:name w:val="Free Form"/>
    <w:uiPriority w:val="99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4"/>
    </w:rPr>
  </w:style>
  <w:style w:type="paragraph" w:customStyle="1" w:styleId="Identifikacestran">
    <w:name w:val="Identifikace stran"/>
    <w:uiPriority w:val="99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uiPriority w:val="99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4E3A8E"/>
    <w:rPr>
      <w:rFonts w:ascii="Times New Roman" w:eastAsia="Times New Roman" w:hAnsi="Times New Roman"/>
      <w:color w:val="000000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uiPriority w:val="99"/>
    <w:semiHidden/>
    <w:rsid w:val="004E3A8E"/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uiPriority w:val="99"/>
    <w:semiHidden/>
    <w:rsid w:val="004E3A8E"/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customStyle="1" w:styleId="Header1">
    <w:name w:val="Header1"/>
    <w:uiPriority w:val="99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4E3A8E"/>
    <w:rPr>
      <w:rFonts w:ascii="Times New Roman" w:eastAsia="Times New Roman" w:hAnsi="Times New Roman"/>
      <w:color w:val="000000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4E3A8E"/>
    <w:rPr>
      <w:rFonts w:ascii="Times New Roman" w:eastAsia="Times New Roman" w:hAnsi="Times New Roman"/>
      <w:b/>
      <w:bCs/>
      <w:color w:val="000000"/>
      <w:sz w:val="20"/>
      <w:szCs w:val="20"/>
      <w:lang w:val="cs-CZ"/>
    </w:rPr>
  </w:style>
  <w:style w:type="paragraph" w:customStyle="1" w:styleId="heading210">
    <w:name w:val="heading21"/>
    <w:basedOn w:val="Normln"/>
    <w:uiPriority w:val="99"/>
    <w:pPr>
      <w:spacing w:after="120"/>
      <w:ind w:left="1418" w:hanging="708"/>
    </w:pPr>
    <w:rPr>
      <w:rFonts w:eastAsia="Calibri"/>
      <w:lang w:eastAsia="cs-CZ"/>
    </w:rPr>
  </w:style>
  <w:style w:type="paragraph" w:customStyle="1" w:styleId="Obsahrmce">
    <w:name w:val="Obsah rámce"/>
    <w:basedOn w:val="Norml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.cz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1856</Words>
  <Characters>10956</Characters>
  <Application>Microsoft Office Word</Application>
  <DocSecurity>8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hydrometeorologický ústav</vt:lpstr>
    </vt:vector>
  </TitlesOfParts>
  <Company>ČHMÚ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hydrometeorologický ústav</dc:title>
  <dc:creator>Tibitanzlová Anna</dc:creator>
  <cp:lastModifiedBy>Tibitanzlova</cp:lastModifiedBy>
  <cp:revision>3</cp:revision>
  <cp:lastPrinted>2019-09-09T10:36:00Z</cp:lastPrinted>
  <dcterms:created xsi:type="dcterms:W3CDTF">2019-09-09T10:37:00Z</dcterms:created>
  <dcterms:modified xsi:type="dcterms:W3CDTF">2019-09-09T10:37:00Z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ČHMÚ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