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2549" w:h="482" w:wrap="none" w:hAnchor="page" w:x="4632" w:y="1049"/>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4"/>
        <w:keepNext w:val="0"/>
        <w:keepLines w:val="0"/>
        <w:framePr w:w="3301" w:h="1336" w:wrap="none" w:hAnchor="page" w:x="7901" w:y="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SILNÍC VYSOČINY popěvková organizace</w:t>
      </w:r>
    </w:p>
    <w:p>
      <w:pPr>
        <w:pStyle w:val="Style6"/>
        <w:keepNext w:val="0"/>
        <w:keepLines w:val="0"/>
        <w:framePr w:w="3301" w:h="1336" w:wrap="none" w:hAnchor="page" w:x="7901" w:y="1"/>
        <w:widowControl w:val="0"/>
        <w:shd w:val="clear" w:color="auto" w:fill="auto"/>
        <w:bidi w:val="0"/>
        <w:spacing w:before="0" w:line="240" w:lineRule="auto"/>
        <w:ind w:left="0" w:right="0" w:firstLine="0"/>
        <w:jc w:val="left"/>
      </w:pPr>
      <w:r>
        <w:rPr>
          <w:rFonts w:ascii="Arial" w:eastAsia="Arial" w:hAnsi="Arial" w:cs="Arial"/>
          <w:smallCaps w:val="0"/>
          <w:color w:val="000000"/>
          <w:spacing w:val="0"/>
          <w:w w:val="100"/>
          <w:position w:val="0"/>
          <w:sz w:val="13"/>
          <w:szCs w:val="13"/>
          <w:shd w:val="clear" w:color="auto" w:fill="auto"/>
          <w:lang w:val="cs-CZ" w:eastAsia="cs-CZ" w:bidi="cs-CZ"/>
        </w:rPr>
        <w:t xml:space="preserve">SMLOUVÁ </w:t>
      </w:r>
      <w:r>
        <w:rPr>
          <w:color w:val="000000"/>
          <w:spacing w:val="0"/>
          <w:w w:val="100"/>
          <w:position w:val="0"/>
          <w:shd w:val="clear" w:color="auto" w:fill="auto"/>
          <w:lang w:val="cs-CZ" w:eastAsia="cs-CZ" w:bidi="cs-CZ"/>
        </w:rPr>
        <w:t>registrována</w:t>
      </w:r>
    </w:p>
    <w:p>
      <w:pPr>
        <w:pStyle w:val="Style4"/>
        <w:keepNext w:val="0"/>
        <w:keepLines w:val="0"/>
        <w:framePr w:w="3301" w:h="1336" w:wrap="none" w:hAnchor="page" w:x="7901" w:y="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pod číslem:</w:t>
      </w:r>
    </w:p>
    <w:p>
      <w:pPr>
        <w:pStyle w:val="Style4"/>
        <w:keepNext w:val="0"/>
        <w:keepLines w:val="0"/>
        <w:framePr w:w="1908" w:h="270" w:wrap="none" w:hAnchor="page" w:x="7969" w:y="5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SMLOUVÁ REGISTROVÁNA</w:t>
      </w:r>
    </w:p>
    <w:p>
      <w:pPr>
        <w:pStyle w:val="Style9"/>
        <w:keepNext/>
        <w:keepLines/>
        <w:framePr w:w="8302" w:h="1980" w:wrap="none" w:hAnchor="page" w:x="1759" w:y="1722"/>
        <w:widowControl w:val="0"/>
        <w:shd w:val="clear" w:color="auto" w:fill="auto"/>
        <w:bidi w:val="0"/>
        <w:spacing w:before="0" w:line="240" w:lineRule="auto"/>
        <w:ind w:right="0"/>
        <w:jc w:val="left"/>
      </w:pPr>
      <w:bookmarkStart w:id="2" w:name="bookmark2"/>
      <w:bookmarkStart w:id="3" w:name="bookmark3"/>
      <w:r>
        <w:rPr>
          <w:color w:val="000000"/>
          <w:spacing w:val="0"/>
          <w:w w:val="100"/>
          <w:position w:val="0"/>
          <w:shd w:val="clear" w:color="auto" w:fill="auto"/>
          <w:lang w:val="cs-CZ" w:eastAsia="cs-CZ" w:bidi="cs-CZ"/>
        </w:rPr>
        <w:t>Akreditované měření hluku v CHVEP a CHVEPS na silnicích II. a III. tříd na území Kraje Vysočina pro rok 2019 - okres Třebíč</w:t>
      </w:r>
      <w:bookmarkEnd w:id="2"/>
      <w:bookmarkEnd w:id="3"/>
    </w:p>
    <w:p>
      <w:pPr>
        <w:pStyle w:val="Style11"/>
        <w:keepNext w:val="0"/>
        <w:keepLines w:val="0"/>
        <w:framePr w:w="8302" w:h="1980" w:wrap="none" w:hAnchor="page" w:x="1759" w:y="1722"/>
        <w:widowControl w:val="0"/>
        <w:shd w:val="clear" w:color="auto" w:fill="auto"/>
        <w:bidi w:val="0"/>
        <w:spacing w:before="0" w:after="0" w:line="257" w:lineRule="auto"/>
        <w:ind w:left="0" w:right="0" w:firstLine="0"/>
        <w:jc w:val="center"/>
        <w:rPr>
          <w:sz w:val="20"/>
          <w:szCs w:val="20"/>
        </w:rPr>
      </w:pPr>
      <w:r>
        <w:rPr>
          <w:i/>
          <w:iCs/>
          <w:color w:val="000000"/>
          <w:spacing w:val="0"/>
          <w:w w:val="100"/>
          <w:position w:val="0"/>
          <w:sz w:val="20"/>
          <w:szCs w:val="20"/>
          <w:shd w:val="clear" w:color="auto" w:fill="auto"/>
          <w:lang w:val="cs-CZ" w:eastAsia="cs-CZ" w:bidi="cs-CZ"/>
        </w:rPr>
        <w:t>uzavřená podle ustanovení § 2586 a následujících zákona Č. 89/2012 Sb„ občanského zákoníku</w:t>
        <w:br/>
        <w:t>(dále jen „ OZ“), ve znění pozdějších předpisů (dále také jako „smlouva“)</w:t>
      </w:r>
    </w:p>
    <w:tbl>
      <w:tblPr>
        <w:tblOverlap w:val="never"/>
        <w:jc w:val="left"/>
        <w:tblLayout w:type="fixed"/>
      </w:tblPr>
      <w:tblGrid>
        <w:gridCol w:w="1987"/>
        <w:gridCol w:w="7538"/>
      </w:tblGrid>
      <w:tr>
        <w:trPr>
          <w:trHeight w:val="644" w:hRule="exact"/>
        </w:trPr>
        <w:tc>
          <w:tcPr>
            <w:tcBorders/>
            <w:shd w:val="clear" w:color="auto" w:fill="FFFFFF"/>
            <w:vAlign w:val="top"/>
          </w:tcPr>
          <w:p>
            <w:pPr>
              <w:framePr w:w="9526" w:h="1516" w:vSpace="709" w:wrap="none" w:hAnchor="page" w:x="1101" w:y="4645"/>
              <w:widowControl w:val="0"/>
              <w:rPr>
                <w:sz w:val="10"/>
                <w:szCs w:val="10"/>
              </w:rPr>
            </w:pPr>
          </w:p>
        </w:tc>
        <w:tc>
          <w:tcPr>
            <w:tcBorders/>
            <w:shd w:val="clear" w:color="auto" w:fill="FFFFFF"/>
            <w:vAlign w:val="top"/>
          </w:tcPr>
          <w:p>
            <w:pPr>
              <w:pStyle w:val="Style14"/>
              <w:keepNext w:val="0"/>
              <w:keepLines w:val="0"/>
              <w:framePr w:w="9526" w:h="1516" w:vSpace="709" w:wrap="none" w:hAnchor="page" w:x="1101" w:y="464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 Smluvní strany</w:t>
            </w:r>
          </w:p>
        </w:tc>
      </w:tr>
      <w:tr>
        <w:trPr>
          <w:trHeight w:val="324" w:hRule="exact"/>
        </w:trPr>
        <w:tc>
          <w:tcPr>
            <w:tcBorders/>
            <w:shd w:val="clear" w:color="auto" w:fill="FFFFFF"/>
            <w:vAlign w:val="bottom"/>
          </w:tcPr>
          <w:p>
            <w:pPr>
              <w:pStyle w:val="Style14"/>
              <w:keepNext w:val="0"/>
              <w:keepLines w:val="0"/>
              <w:framePr w:w="9526" w:h="1516" w:vSpace="709" w:wrap="none" w:hAnchor="page" w:x="1101" w:y="464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4"/>
              <w:keepNext w:val="0"/>
              <w:keepLines w:val="0"/>
              <w:framePr w:w="9526" w:h="1516" w:vSpace="709" w:wrap="none" w:hAnchor="page" w:x="1101" w:y="464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56" w:hRule="exact"/>
        </w:trPr>
        <w:tc>
          <w:tcPr>
            <w:tcBorders/>
            <w:shd w:val="clear" w:color="auto" w:fill="FFFFFF"/>
            <w:vAlign w:val="top"/>
          </w:tcPr>
          <w:p>
            <w:pPr>
              <w:pStyle w:val="Style14"/>
              <w:keepNext w:val="0"/>
              <w:keepLines w:val="0"/>
              <w:framePr w:w="9526" w:h="1516" w:vSpace="709" w:wrap="none" w:hAnchor="page" w:x="1101" w:y="46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4"/>
              <w:keepNext w:val="0"/>
              <w:keepLines w:val="0"/>
              <w:framePr w:w="9526" w:h="1516" w:vSpace="709" w:wrap="none" w:hAnchor="page" w:x="1101" w:y="46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292" w:hRule="exact"/>
        </w:trPr>
        <w:tc>
          <w:tcPr>
            <w:tcBorders/>
            <w:shd w:val="clear" w:color="auto" w:fill="FFFFFF"/>
            <w:vAlign w:val="bottom"/>
          </w:tcPr>
          <w:p>
            <w:pPr>
              <w:pStyle w:val="Style14"/>
              <w:keepNext w:val="0"/>
              <w:keepLines w:val="0"/>
              <w:framePr w:w="9526" w:h="1516" w:vSpace="709" w:wrap="none" w:hAnchor="page" w:x="1101" w:y="464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4"/>
              <w:keepNext w:val="0"/>
              <w:keepLines w:val="0"/>
              <w:framePr w:w="9526" w:h="1516" w:vSpace="709" w:wrap="none" w:hAnchor="page" w:x="1101" w:y="464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Janem Míkou, MBA, ředitelem organizace</w:t>
            </w:r>
          </w:p>
        </w:tc>
      </w:tr>
    </w:tbl>
    <w:p>
      <w:pPr>
        <w:framePr w:w="9526" w:h="1516" w:vSpace="709" w:wrap="none" w:hAnchor="page" w:x="1101" w:y="4645"/>
        <w:widowControl w:val="0"/>
        <w:spacing w:line="1" w:lineRule="exact"/>
      </w:pPr>
    </w:p>
    <w:p>
      <w:pPr>
        <w:pStyle w:val="Style17"/>
        <w:keepNext w:val="0"/>
        <w:keepLines w:val="0"/>
        <w:framePr w:w="2185" w:h="500" w:wrap="none" w:hAnchor="page" w:x="1112" w:y="3936"/>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Číslo smlouvy objednatele:</w:t>
      </w:r>
    </w:p>
    <w:p>
      <w:pPr>
        <w:pStyle w:val="Style17"/>
        <w:keepNext w:val="0"/>
        <w:keepLines w:val="0"/>
        <w:framePr w:w="2185" w:h="500" w:wrap="none" w:hAnchor="page" w:x="1112" w:y="3936"/>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Číslo smlouvy dodavatele:</w:t>
      </w:r>
    </w:p>
    <w:tbl>
      <w:tblPr>
        <w:tblOverlap w:val="never"/>
        <w:jc w:val="left"/>
        <w:tblLayout w:type="fixed"/>
      </w:tblPr>
      <w:tblGrid>
        <w:gridCol w:w="1987"/>
        <w:gridCol w:w="7538"/>
      </w:tblGrid>
      <w:tr>
        <w:trPr>
          <w:trHeight w:val="266" w:hRule="exact"/>
        </w:trPr>
        <w:tc>
          <w:tcPr>
            <w:tcBorders/>
            <w:shd w:val="clear" w:color="auto" w:fill="FFFFFF"/>
            <w:vAlign w:val="bottom"/>
          </w:tcPr>
          <w:p>
            <w:pPr>
              <w:pStyle w:val="Style14"/>
              <w:keepNext w:val="0"/>
              <w:keepLines w:val="0"/>
              <w:framePr w:w="9526" w:h="1609" w:vSpace="295" w:wrap="none" w:hAnchor="page" w:x="1101" w:y="64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14"/>
              <w:keepNext w:val="0"/>
              <w:keepLines w:val="0"/>
              <w:framePr w:w="9526" w:h="1609" w:vSpace="295" w:wrap="none" w:hAnchor="page" w:x="1101" w:y="6409"/>
              <w:widowControl w:val="0"/>
              <w:shd w:val="clear" w:color="auto" w:fill="auto"/>
              <w:bidi w:val="0"/>
              <w:spacing w:before="0" w:after="0" w:line="240" w:lineRule="auto"/>
              <w:ind w:left="2940" w:right="0" w:firstLine="0"/>
              <w:jc w:val="left"/>
            </w:pPr>
            <w:r>
              <w:rPr>
                <w:color w:val="000000"/>
                <w:spacing w:val="0"/>
                <w:w w:val="100"/>
                <w:position w:val="0"/>
                <w:shd w:val="clear" w:color="auto" w:fill="auto"/>
                <w:lang w:val="cs-CZ" w:eastAsia="cs-CZ" w:bidi="cs-CZ"/>
              </w:rPr>
              <w:t>vedoucí oddělení přípravy a realizace staveb</w:t>
            </w:r>
          </w:p>
        </w:tc>
      </w:tr>
      <w:tr>
        <w:trPr>
          <w:trHeight w:val="266" w:hRule="exact"/>
        </w:trPr>
        <w:tc>
          <w:tcPr>
            <w:tcBorders/>
            <w:shd w:val="clear" w:color="auto" w:fill="FFFFFF"/>
            <w:vAlign w:val="top"/>
          </w:tcPr>
          <w:p>
            <w:pPr>
              <w:framePr w:w="9526" w:h="1609" w:vSpace="295" w:wrap="none" w:hAnchor="page" w:x="1101" w:y="6409"/>
              <w:widowControl w:val="0"/>
              <w:rPr>
                <w:sz w:val="10"/>
                <w:szCs w:val="10"/>
              </w:rPr>
            </w:pPr>
          </w:p>
        </w:tc>
        <w:tc>
          <w:tcPr>
            <w:tcBorders/>
            <w:shd w:val="clear" w:color="auto" w:fill="FFFFFF"/>
            <w:vAlign w:val="bottom"/>
          </w:tcPr>
          <w:p>
            <w:pPr>
              <w:pStyle w:val="Style14"/>
              <w:keepNext w:val="0"/>
              <w:keepLines w:val="0"/>
              <w:framePr w:w="9526" w:h="1609" w:vSpace="295" w:wrap="none" w:hAnchor="page" w:x="1101" w:y="6409"/>
              <w:widowControl w:val="0"/>
              <w:shd w:val="clear" w:color="auto" w:fill="auto"/>
              <w:tabs>
                <w:tab w:pos="1778" w:val="left"/>
              </w:tabs>
              <w:bidi w:val="0"/>
              <w:spacing w:before="0" w:after="0" w:line="240" w:lineRule="auto"/>
              <w:ind w:left="1180" w:right="0" w:firstLine="0"/>
              <w:jc w:val="left"/>
            </w:pPr>
            <w:r>
              <w:rPr>
                <w:color w:val="000000"/>
                <w:spacing w:val="0"/>
                <w:w w:val="100"/>
                <w:position w:val="0"/>
                <w:shd w:val="clear" w:color="auto" w:fill="auto"/>
                <w:lang w:val="cs-CZ" w:eastAsia="cs-CZ" w:bidi="cs-CZ"/>
              </w:rPr>
              <w:t>.</w:t>
              <w:tab/>
              <w:t>, technicko-správní náměstek</w:t>
            </w:r>
          </w:p>
        </w:tc>
      </w:tr>
      <w:tr>
        <w:trPr>
          <w:trHeight w:val="515" w:hRule="exact"/>
        </w:trPr>
        <w:tc>
          <w:tcPr>
            <w:tcBorders/>
            <w:shd w:val="clear" w:color="auto" w:fill="FFFFFF"/>
            <w:vAlign w:val="top"/>
          </w:tcPr>
          <w:p>
            <w:pPr>
              <w:pStyle w:val="Style14"/>
              <w:keepNext w:val="0"/>
              <w:keepLines w:val="0"/>
              <w:framePr w:w="9526" w:h="1609" w:vSpace="295" w:wrap="none" w:hAnchor="page" w:x="1101" w:y="640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 Číslo účtu:</w:t>
            </w:r>
          </w:p>
        </w:tc>
        <w:tc>
          <w:tcPr>
            <w:tcBorders/>
            <w:shd w:val="clear" w:color="auto" w:fill="FFFFFF"/>
            <w:vAlign w:val="top"/>
          </w:tcPr>
          <w:p>
            <w:pPr>
              <w:pStyle w:val="Style14"/>
              <w:keepNext w:val="0"/>
              <w:keepLines w:val="0"/>
              <w:framePr w:w="9526" w:h="1609" w:vSpace="295" w:wrap="none" w:hAnchor="page" w:x="1101" w:y="64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w:t>
            </w:r>
          </w:p>
        </w:tc>
      </w:tr>
      <w:tr>
        <w:trPr>
          <w:trHeight w:val="266" w:hRule="exact"/>
        </w:trPr>
        <w:tc>
          <w:tcPr>
            <w:tcBorders/>
            <w:shd w:val="clear" w:color="auto" w:fill="FFFFFF"/>
            <w:vAlign w:val="top"/>
          </w:tcPr>
          <w:p>
            <w:pPr>
              <w:pStyle w:val="Style14"/>
              <w:keepNext w:val="0"/>
              <w:keepLines w:val="0"/>
              <w:framePr w:w="9526" w:h="1609" w:vSpace="295" w:wrap="none" w:hAnchor="page" w:x="1101" w:y="64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14"/>
              <w:keepNext w:val="0"/>
              <w:keepLines w:val="0"/>
              <w:framePr w:w="9526" w:h="1609" w:vSpace="295" w:wrap="none" w:hAnchor="page" w:x="1101" w:y="64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95" w:hRule="exact"/>
        </w:trPr>
        <w:tc>
          <w:tcPr>
            <w:tcBorders/>
            <w:shd w:val="clear" w:color="auto" w:fill="FFFFFF"/>
            <w:vAlign w:val="top"/>
          </w:tcPr>
          <w:p>
            <w:pPr>
              <w:pStyle w:val="Style14"/>
              <w:keepNext w:val="0"/>
              <w:keepLines w:val="0"/>
              <w:framePr w:w="9526" w:h="1609" w:vSpace="295" w:wrap="none" w:hAnchor="page" w:x="1101" w:y="64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4"/>
              <w:keepNext w:val="0"/>
              <w:keepLines w:val="0"/>
              <w:framePr w:w="9526" w:h="1609" w:vSpace="295" w:wrap="none" w:hAnchor="page" w:x="1101" w:y="64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bl>
    <w:p>
      <w:pPr>
        <w:framePr w:w="9526" w:h="1609" w:vSpace="295" w:wrap="none" w:hAnchor="page" w:x="1101" w:y="6409"/>
        <w:widowControl w:val="0"/>
        <w:spacing w:line="1" w:lineRule="exact"/>
      </w:pPr>
    </w:p>
    <w:p>
      <w:pPr>
        <w:pStyle w:val="Style17"/>
        <w:keepNext w:val="0"/>
        <w:keepLines w:val="0"/>
        <w:framePr w:w="5173" w:h="310" w:wrap="none" w:hAnchor="page" w:x="1108" w:y="61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p>
      <w:pPr>
        <w:pStyle w:val="Style11"/>
        <w:keepNext w:val="0"/>
        <w:keepLines w:val="0"/>
        <w:framePr w:w="3524" w:h="1746" w:wrap="none" w:hAnchor="page" w:x="1093" w:y="79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1"/>
        <w:keepNext w:val="0"/>
        <w:keepLines w:val="0"/>
        <w:framePr w:w="3524" w:h="1746" w:wrap="none" w:hAnchor="page" w:x="1093" w:y="79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11"/>
        <w:keepNext w:val="0"/>
        <w:keepLines w:val="0"/>
        <w:framePr w:w="3524" w:h="1746" w:wrap="none" w:hAnchor="page" w:x="1093" w:y="79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1"/>
        <w:keepNext w:val="0"/>
        <w:keepLines w:val="0"/>
        <w:framePr w:w="3524" w:h="1746" w:wrap="none" w:hAnchor="page" w:x="1093" w:y="7979"/>
        <w:widowControl w:val="0"/>
        <w:shd w:val="clear" w:color="auto" w:fill="auto"/>
        <w:tabs>
          <w:tab w:pos="2084"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11"/>
        <w:keepNext w:val="0"/>
        <w:keepLines w:val="0"/>
        <w:framePr w:w="3524" w:h="1746" w:wrap="none" w:hAnchor="page" w:x="1093" w:y="7979"/>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(dále jen </w:t>
      </w:r>
      <w:r>
        <w:rPr>
          <w:i/>
          <w:iCs/>
          <w:color w:val="000000"/>
          <w:spacing w:val="0"/>
          <w:w w:val="100"/>
          <w:position w:val="0"/>
          <w:shd w:val="clear" w:color="auto" w:fill="auto"/>
          <w:lang w:val="cs-CZ" w:eastAsia="cs-CZ" w:bidi="cs-CZ"/>
        </w:rPr>
        <w:t>„Objednatel“)</w:t>
      </w:r>
    </w:p>
    <w:p>
      <w:pPr>
        <w:pStyle w:val="Style21"/>
        <w:keepNext/>
        <w:keepLines/>
        <w:framePr w:w="3524" w:h="1746" w:wrap="none" w:hAnchor="page" w:x="1093" w:y="7979"/>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a</w:t>
      </w:r>
      <w:bookmarkEnd w:id="4"/>
      <w:bookmarkEnd w:id="5"/>
    </w:p>
    <w:tbl>
      <w:tblPr>
        <w:tblOverlap w:val="never"/>
        <w:jc w:val="left"/>
        <w:tblLayout w:type="fixed"/>
      </w:tblPr>
      <w:tblGrid>
        <w:gridCol w:w="1987"/>
        <w:gridCol w:w="7538"/>
      </w:tblGrid>
      <w:tr>
        <w:trPr>
          <w:trHeight w:val="248" w:hRule="exact"/>
        </w:trPr>
        <w:tc>
          <w:tcPr>
            <w:tcBorders/>
            <w:shd w:val="clear" w:color="auto" w:fill="FFFFFF"/>
            <w:vAlign w:val="top"/>
          </w:tcPr>
          <w:p>
            <w:pPr>
              <w:pStyle w:val="Style14"/>
              <w:keepNext w:val="0"/>
              <w:keepLines w:val="0"/>
              <w:framePr w:w="9526" w:h="817" w:hSpace="11" w:vSpace="1055" w:wrap="none" w:hAnchor="page" w:x="1101" w:y="984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top"/>
          </w:tcPr>
          <w:p>
            <w:pPr>
              <w:pStyle w:val="Style14"/>
              <w:keepNext w:val="0"/>
              <w:keepLines w:val="0"/>
              <w:framePr w:w="9526" w:h="817" w:hSpace="11" w:vSpace="1055" w:wrap="none" w:hAnchor="page" w:x="1101" w:y="98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MaREXCOM s.r.o.</w:t>
            </w:r>
          </w:p>
        </w:tc>
      </w:tr>
      <w:tr>
        <w:trPr>
          <w:trHeight w:val="277" w:hRule="exact"/>
        </w:trPr>
        <w:tc>
          <w:tcPr>
            <w:tcBorders/>
            <w:shd w:val="clear" w:color="auto" w:fill="FFFFFF"/>
            <w:vAlign w:val="bottom"/>
          </w:tcPr>
          <w:p>
            <w:pPr>
              <w:pStyle w:val="Style14"/>
              <w:keepNext w:val="0"/>
              <w:keepLines w:val="0"/>
              <w:framePr w:w="9526" w:h="817" w:hSpace="11" w:vSpace="1055" w:wrap="none" w:hAnchor="page" w:x="1101" w:y="98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4"/>
              <w:keepNext w:val="0"/>
              <w:keepLines w:val="0"/>
              <w:framePr w:w="9526" w:h="817" w:hSpace="11" w:vSpace="1055" w:wrap="none" w:hAnchor="page" w:x="1101" w:y="98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Sosnovecká 578/2, 18100 Praha 8 - Trója</w:t>
            </w:r>
          </w:p>
        </w:tc>
      </w:tr>
      <w:tr>
        <w:trPr>
          <w:trHeight w:val="292" w:hRule="exact"/>
        </w:trPr>
        <w:tc>
          <w:tcPr>
            <w:tcBorders/>
            <w:shd w:val="clear" w:color="auto" w:fill="FFFFFF"/>
            <w:vAlign w:val="bottom"/>
          </w:tcPr>
          <w:p>
            <w:pPr>
              <w:pStyle w:val="Style14"/>
              <w:keepNext w:val="0"/>
              <w:keepLines w:val="0"/>
              <w:framePr w:w="9526" w:h="817" w:hSpace="11" w:vSpace="1055" w:wrap="none" w:hAnchor="page" w:x="1101" w:y="984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4"/>
              <w:keepNext w:val="0"/>
              <w:keepLines w:val="0"/>
              <w:framePr w:w="9526" w:h="817" w:hSpace="11" w:vSpace="1055" w:wrap="none" w:hAnchor="page" w:x="1101" w:y="984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Janem Liškou, jednatelem</w:t>
            </w:r>
          </w:p>
        </w:tc>
      </w:tr>
    </w:tbl>
    <w:p>
      <w:pPr>
        <w:framePr w:w="9526" w:h="817" w:hSpace="11" w:vSpace="1055" w:wrap="none" w:hAnchor="page" w:x="1101" w:y="9847"/>
        <w:widowControl w:val="0"/>
        <w:spacing w:line="1" w:lineRule="exact"/>
      </w:pPr>
    </w:p>
    <w:p>
      <w:pPr>
        <w:pStyle w:val="Style17"/>
        <w:keepNext w:val="0"/>
        <w:keepLines w:val="0"/>
        <w:framePr w:w="9551" w:h="1094" w:wrap="none" w:hAnchor="page" w:x="1090" w:y="106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C 66049 vedená u Městského soudu v Praze, zapsáno 1. března 1999 Osoby pověřené jednat jménem dodavatele ve věcech smluvních:</w:t>
      </w:r>
    </w:p>
    <w:p>
      <w:pPr>
        <w:pStyle w:val="Style17"/>
        <w:keepNext w:val="0"/>
        <w:keepLines w:val="0"/>
        <w:framePr w:w="9551" w:h="1094" w:wrap="none" w:hAnchor="page" w:x="1090" w:y="106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bl>
      <w:tblPr>
        <w:tblOverlap w:val="never"/>
        <w:jc w:val="left"/>
        <w:tblLayout w:type="fixed"/>
      </w:tblPr>
      <w:tblGrid>
        <w:gridCol w:w="1987"/>
        <w:gridCol w:w="7538"/>
      </w:tblGrid>
      <w:tr>
        <w:trPr>
          <w:trHeight w:val="338" w:hRule="exact"/>
        </w:trPr>
        <w:tc>
          <w:tcPr>
            <w:tcBorders/>
            <w:shd w:val="clear" w:color="auto" w:fill="FFFFFF"/>
            <w:vAlign w:val="top"/>
          </w:tcPr>
          <w:p>
            <w:pPr>
              <w:pStyle w:val="Style14"/>
              <w:keepNext w:val="0"/>
              <w:keepLines w:val="0"/>
              <w:framePr w:w="9526" w:h="338" w:vSpace="220" w:wrap="none" w:hAnchor="page" w:x="1101" w:y="116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4"/>
              <w:keepNext w:val="0"/>
              <w:keepLines w:val="0"/>
              <w:framePr w:w="9526" w:h="338" w:vSpace="220" w:wrap="none" w:hAnchor="page" w:x="1101" w:y="116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Česká spořitelna</w:t>
            </w:r>
          </w:p>
        </w:tc>
      </w:tr>
    </w:tbl>
    <w:p>
      <w:pPr>
        <w:framePr w:w="9526" w:h="338" w:vSpace="220" w:wrap="none" w:hAnchor="page" w:x="1101" w:y="11690"/>
        <w:widowControl w:val="0"/>
        <w:spacing w:line="1" w:lineRule="exact"/>
      </w:pPr>
    </w:p>
    <w:p>
      <w:pPr>
        <w:pStyle w:val="Style17"/>
        <w:keepNext w:val="0"/>
        <w:keepLines w:val="0"/>
        <w:framePr w:w="526" w:h="295" w:wrap="none" w:hAnchor="page" w:x="1371" w:y="119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účtu:</w:t>
      </w:r>
    </w:p>
    <w:tbl>
      <w:tblPr>
        <w:tblOverlap w:val="never"/>
        <w:jc w:val="left"/>
        <w:tblLayout w:type="fixed"/>
      </w:tblPr>
      <w:tblGrid>
        <w:gridCol w:w="1987"/>
        <w:gridCol w:w="7538"/>
      </w:tblGrid>
      <w:tr>
        <w:trPr>
          <w:trHeight w:val="590" w:hRule="exact"/>
        </w:trPr>
        <w:tc>
          <w:tcPr>
            <w:tcBorders/>
            <w:shd w:val="clear" w:color="auto" w:fill="FFFFFF"/>
            <w:vAlign w:val="top"/>
          </w:tcPr>
          <w:p>
            <w:pPr>
              <w:pStyle w:val="Style14"/>
              <w:keepNext w:val="0"/>
              <w:keepLines w:val="0"/>
              <w:framePr w:w="9526" w:h="590" w:hSpace="11" w:vSpace="1372" w:wrap="none" w:hAnchor="page" w:x="1101" w:y="122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4"/>
              <w:keepNext w:val="0"/>
              <w:keepLines w:val="0"/>
              <w:framePr w:w="9526" w:h="590" w:hSpace="11" w:vSpace="1372" w:wrap="none" w:hAnchor="page" w:x="1101" w:y="122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4"/>
              <w:keepNext w:val="0"/>
              <w:keepLines w:val="0"/>
              <w:framePr w:w="9526" w:h="590" w:hSpace="11" w:vSpace="1372" w:wrap="none" w:hAnchor="page" w:x="1101" w:y="1220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25741616</w:t>
            </w:r>
          </w:p>
          <w:p>
            <w:pPr>
              <w:pStyle w:val="Style14"/>
              <w:keepNext w:val="0"/>
              <w:keepLines w:val="0"/>
              <w:framePr w:w="9526" w:h="590" w:hSpace="11" w:vSpace="1372" w:wrap="none" w:hAnchor="page" w:x="1101" w:y="122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CZ25741616</w:t>
            </w:r>
          </w:p>
        </w:tc>
      </w:tr>
    </w:tbl>
    <w:p>
      <w:pPr>
        <w:framePr w:w="9526" w:h="590" w:hSpace="11" w:vSpace="1372" w:wrap="none" w:hAnchor="page" w:x="1101" w:y="12205"/>
        <w:widowControl w:val="0"/>
        <w:spacing w:line="1" w:lineRule="exact"/>
      </w:pPr>
    </w:p>
    <w:p>
      <w:pPr>
        <w:pStyle w:val="Style17"/>
        <w:keepNext w:val="0"/>
        <w:keepLines w:val="0"/>
        <w:framePr w:w="7128" w:h="1400" w:wrap="none" w:hAnchor="page" w:x="1090" w:y="12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7"/>
        <w:keepNext w:val="0"/>
        <w:keepLines w:val="0"/>
        <w:framePr w:w="7128" w:h="1400" w:wrap="none" w:hAnchor="page" w:x="1090" w:y="12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17"/>
        <w:keepNext w:val="0"/>
        <w:keepLines w:val="0"/>
        <w:framePr w:w="7128" w:h="1400" w:wrap="none" w:hAnchor="page" w:x="1090" w:y="12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7"/>
        <w:keepNext w:val="0"/>
        <w:keepLines w:val="0"/>
        <w:framePr w:w="7128" w:h="1400" w:wrap="none" w:hAnchor="page" w:x="1090" w:y="12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i/>
          <w:iCs/>
          <w:color w:val="000000"/>
          <w:spacing w:val="0"/>
          <w:w w:val="100"/>
          <w:position w:val="0"/>
          <w:shd w:val="clear" w:color="auto" w:fill="auto"/>
          <w:lang w:val="cs-CZ" w:eastAsia="cs-CZ" w:bidi="cs-CZ"/>
        </w:rPr>
        <w:t>„Dodavatel“)</w:t>
      </w:r>
    </w:p>
    <w:p>
      <w:pPr>
        <w:pStyle w:val="Style17"/>
        <w:keepNext w:val="0"/>
        <w:keepLines w:val="0"/>
        <w:framePr w:w="7128" w:h="1400" w:wrap="none" w:hAnchor="page" w:x="1090" w:y="12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(společně také jako </w:t>
      </w:r>
      <w:r>
        <w:rPr>
          <w:i/>
          <w:iCs/>
          <w:color w:val="000000"/>
          <w:spacing w:val="0"/>
          <w:w w:val="100"/>
          <w:position w:val="0"/>
          <w:shd w:val="clear" w:color="auto" w:fill="auto"/>
          <w:lang w:val="cs-CZ" w:eastAsia="cs-CZ" w:bidi="cs-CZ"/>
        </w:rPr>
        <w:t>„Smluvnístrany '</w:t>
      </w:r>
      <w:r>
        <w:rPr>
          <w:color w:val="000000"/>
          <w:spacing w:val="0"/>
          <w:w w:val="100"/>
          <w:position w:val="0"/>
          <w:shd w:val="clear" w:color="auto" w:fill="auto"/>
          <w:lang w:val="cs-CZ" w:eastAsia="cs-CZ" w:bidi="cs-CZ"/>
        </w:rPr>
        <w:t xml:space="preserve"> nebo jednotlivě </w:t>
      </w:r>
      <w:r>
        <w:rPr>
          <w:i/>
          <w:iCs/>
          <w:color w:val="000000"/>
          <w:spacing w:val="0"/>
          <w:w w:val="100"/>
          <w:position w:val="0"/>
          <w:shd w:val="clear" w:color="auto" w:fill="auto"/>
          <w:lang w:val="cs-CZ" w:eastAsia="cs-CZ" w:bidi="cs-CZ"/>
        </w:rPr>
        <w:t>„Smluvnístrana “)</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5" w:line="1" w:lineRule="exact"/>
      </w:pPr>
    </w:p>
    <w:p>
      <w:pPr>
        <w:widowControl w:val="0"/>
        <w:spacing w:line="1" w:lineRule="exact"/>
        <w:sectPr>
          <w:footerReference w:type="default" r:id="rId5"/>
          <w:footnotePr>
            <w:pos w:val="pageBottom"/>
            <w:numFmt w:val="decimal"/>
            <w:numRestart w:val="continuous"/>
          </w:footnotePr>
          <w:pgSz w:w="11900" w:h="16840"/>
          <w:pgMar w:top="689" w:left="1089" w:right="699" w:bottom="1309" w:header="261" w:footer="3" w:gutter="0"/>
          <w:pgNumType w:start="1"/>
          <w:cols w:space="720"/>
          <w:noEndnote/>
          <w:rtlGutter w:val="0"/>
          <w:docGrid w:linePitch="360"/>
        </w:sectPr>
      </w:pP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2</w:t>
      </w:r>
    </w:p>
    <w:p>
      <w:pPr>
        <w:pStyle w:val="Style21"/>
        <w:keepNext/>
        <w:keepLines/>
        <w:widowControl w:val="0"/>
        <w:shd w:val="clear" w:color="auto" w:fill="auto"/>
        <w:bidi w:val="0"/>
        <w:spacing w:before="0" w:after="120"/>
        <w:ind w:left="0" w:right="0" w:firstLine="0"/>
        <w:jc w:val="center"/>
      </w:pPr>
      <w:bookmarkStart w:id="6" w:name="bookmark6"/>
      <w:bookmarkStart w:id="7" w:name="bookmark7"/>
      <w:r>
        <w:rPr>
          <w:color w:val="000000"/>
          <w:spacing w:val="0"/>
          <w:w w:val="100"/>
          <w:position w:val="0"/>
          <w:shd w:val="clear" w:color="auto" w:fill="auto"/>
          <w:lang w:val="cs-CZ" w:eastAsia="cs-CZ" w:bidi="cs-CZ"/>
        </w:rPr>
        <w:t>Předmět smlouvy</w:t>
      </w:r>
      <w:bookmarkEnd w:id="6"/>
      <w:bookmarkEnd w:id="7"/>
    </w:p>
    <w:p>
      <w:pPr>
        <w:pStyle w:val="Style11"/>
        <w:keepNext w:val="0"/>
        <w:keepLines w:val="0"/>
        <w:widowControl w:val="0"/>
        <w:numPr>
          <w:ilvl w:val="0"/>
          <w:numId w:val="1"/>
        </w:numPr>
        <w:shd w:val="clear" w:color="auto" w:fill="auto"/>
        <w:tabs>
          <w:tab w:pos="1118" w:val="left"/>
        </w:tabs>
        <w:bidi w:val="0"/>
        <w:spacing w:before="0" w:after="120" w:line="240" w:lineRule="auto"/>
        <w:ind w:left="1100" w:right="0" w:hanging="540"/>
        <w:jc w:val="both"/>
      </w:pPr>
      <w:r>
        <w:rPr>
          <w:color w:val="000000"/>
          <w:spacing w:val="0"/>
          <w:w w:val="100"/>
          <w:position w:val="0"/>
          <w:shd w:val="clear" w:color="auto" w:fill="auto"/>
          <w:lang w:val="cs-CZ" w:eastAsia="cs-CZ" w:bidi="cs-CZ"/>
        </w:rPr>
        <w:t>Dodavatel se touto Smlouvou zavazuje provést pro Objednatele na svůj náklad a nebezpečí sjednané dílo dle čl. 2 a čl. 3 této Smlouvy a Objednatel se zavazuje dílo převzít a za provedené dílo zaplatit dodavateli cenu ve výši a za podmínek sjednaných v této Smlouvě.</w:t>
      </w:r>
    </w:p>
    <w:p>
      <w:pPr>
        <w:pStyle w:val="Style11"/>
        <w:keepNext w:val="0"/>
        <w:keepLines w:val="0"/>
        <w:widowControl w:val="0"/>
        <w:numPr>
          <w:ilvl w:val="0"/>
          <w:numId w:val="1"/>
        </w:numPr>
        <w:shd w:val="clear" w:color="auto" w:fill="auto"/>
        <w:tabs>
          <w:tab w:pos="1118" w:val="left"/>
        </w:tabs>
        <w:bidi w:val="0"/>
        <w:spacing w:before="0" w:after="120" w:line="240" w:lineRule="auto"/>
        <w:ind w:left="1100" w:right="0" w:hanging="540"/>
        <w:jc w:val="both"/>
      </w:pPr>
      <w:r>
        <w:rPr>
          <w:color w:val="000000"/>
          <w:spacing w:val="0"/>
          <w:w w:val="100"/>
          <w:position w:val="0"/>
          <w:shd w:val="clear" w:color="auto" w:fill="auto"/>
          <w:lang w:val="cs-CZ" w:eastAsia="cs-CZ" w:bidi="cs-CZ"/>
        </w:rPr>
        <w:t>Předmětem smlouvy je provedení 24h akreditovaného měření hluku v chráněném venkovním prostoru a chráněném venkovním prostoru staveb.</w:t>
      </w:r>
    </w:p>
    <w:p>
      <w:pPr>
        <w:pStyle w:val="Style11"/>
        <w:keepNext w:val="0"/>
        <w:keepLines w:val="0"/>
        <w:widowControl w:val="0"/>
        <w:numPr>
          <w:ilvl w:val="0"/>
          <w:numId w:val="1"/>
        </w:numPr>
        <w:shd w:val="clear" w:color="auto" w:fill="auto"/>
        <w:tabs>
          <w:tab w:pos="1118" w:val="left"/>
        </w:tabs>
        <w:bidi w:val="0"/>
        <w:spacing w:before="0" w:after="120"/>
        <w:ind w:left="1100" w:right="0" w:hanging="540"/>
        <w:jc w:val="both"/>
      </w:pPr>
      <w:r>
        <w:rPr>
          <w:color w:val="000000"/>
          <w:spacing w:val="0"/>
          <w:w w:val="100"/>
          <w:position w:val="0"/>
          <w:shd w:val="clear" w:color="auto" w:fill="auto"/>
          <w:lang w:val="cs-CZ" w:eastAsia="cs-CZ" w:bidi="cs-CZ"/>
        </w:rPr>
        <w:t>Cílem měření je zaznamenání typické hlukové situace při provozech sledovaného zdroje - provoz automobilové dopravy na sledovaných úsecích v denní i noční době, stanovení ekvivalentních hladin akustického tlaku a hluku, který proniká do chráněného venkovního prostoru staveb z okolí, a určení, zda dochází nebo nedochází v místě měření k překračování hygienických limitů hluku stanovených v Nařízení vlády č. 272/2011 Sb., o ochraně zdraví před nepříznivými účinky hluku a vibrací, v platném znění.</w:t>
      </w:r>
    </w:p>
    <w:p>
      <w:pPr>
        <w:pStyle w:val="Style11"/>
        <w:keepNext w:val="0"/>
        <w:keepLines w:val="0"/>
        <w:widowControl w:val="0"/>
        <w:numPr>
          <w:ilvl w:val="0"/>
          <w:numId w:val="1"/>
        </w:numPr>
        <w:shd w:val="clear" w:color="auto" w:fill="auto"/>
        <w:tabs>
          <w:tab w:pos="1118" w:val="left"/>
        </w:tabs>
        <w:bidi w:val="0"/>
        <w:spacing w:before="0" w:after="120"/>
        <w:ind w:left="0" w:right="0" w:firstLine="560"/>
        <w:jc w:val="both"/>
      </w:pPr>
      <w:r>
        <w:rPr>
          <w:color w:val="000000"/>
          <w:spacing w:val="0"/>
          <w:w w:val="100"/>
          <w:position w:val="0"/>
          <w:shd w:val="clear" w:color="auto" w:fill="auto"/>
          <w:lang w:val="cs-CZ" w:eastAsia="cs-CZ" w:bidi="cs-CZ"/>
        </w:rPr>
        <w:t>Dodavatel provede vždy 1 měření hluku v místě plnění dle odst. 3.2. této smlouvy.</w:t>
      </w:r>
    </w:p>
    <w:p>
      <w:pPr>
        <w:pStyle w:val="Style11"/>
        <w:keepNext w:val="0"/>
        <w:keepLines w:val="0"/>
        <w:widowControl w:val="0"/>
        <w:numPr>
          <w:ilvl w:val="0"/>
          <w:numId w:val="1"/>
        </w:numPr>
        <w:shd w:val="clear" w:color="auto" w:fill="auto"/>
        <w:tabs>
          <w:tab w:pos="1118" w:val="left"/>
        </w:tabs>
        <w:bidi w:val="0"/>
        <w:spacing w:before="0" w:after="120"/>
        <w:ind w:left="0" w:right="0" w:firstLine="560"/>
        <w:jc w:val="both"/>
      </w:pPr>
      <w:r>
        <w:rPr>
          <w:color w:val="000000"/>
          <w:spacing w:val="0"/>
          <w:w w:val="100"/>
          <w:position w:val="0"/>
          <w:shd w:val="clear" w:color="auto" w:fill="auto"/>
          <w:lang w:val="cs-CZ" w:eastAsia="cs-CZ" w:bidi="cs-CZ"/>
        </w:rPr>
        <w:t>Povinnosti dodavatele pro každé měření:</w:t>
      </w:r>
    </w:p>
    <w:p>
      <w:pPr>
        <w:pStyle w:val="Style11"/>
        <w:keepNext w:val="0"/>
        <w:keepLines w:val="0"/>
        <w:widowControl w:val="0"/>
        <w:numPr>
          <w:ilvl w:val="0"/>
          <w:numId w:val="3"/>
        </w:numPr>
        <w:shd w:val="clear" w:color="auto" w:fill="auto"/>
        <w:tabs>
          <w:tab w:pos="1493" w:val="left"/>
        </w:tabs>
        <w:bidi w:val="0"/>
        <w:spacing w:before="0" w:after="60" w:line="240" w:lineRule="auto"/>
        <w:ind w:left="1380" w:right="0" w:hanging="260"/>
        <w:jc w:val="both"/>
      </w:pPr>
      <w:r>
        <w:rPr>
          <w:color w:val="000000"/>
          <w:spacing w:val="0"/>
          <w:w w:val="100"/>
          <w:position w:val="0"/>
          <w:shd w:val="clear" w:color="auto" w:fill="auto"/>
          <w:lang w:val="cs-CZ" w:eastAsia="cs-CZ" w:bidi="cs-CZ"/>
        </w:rPr>
        <w:t>před zahájením prací konzultovat a odsouhlasit koncept měření hluku na jednotlivých místech s Krajskou hygienickou stanicí Kraje Vysočina a s objednatelem</w:t>
      </w:r>
    </w:p>
    <w:p>
      <w:pPr>
        <w:pStyle w:val="Style11"/>
        <w:keepNext w:val="0"/>
        <w:keepLines w:val="0"/>
        <w:widowControl w:val="0"/>
        <w:numPr>
          <w:ilvl w:val="0"/>
          <w:numId w:val="3"/>
        </w:numPr>
        <w:shd w:val="clear" w:color="auto" w:fill="auto"/>
        <w:tabs>
          <w:tab w:pos="1493" w:val="left"/>
        </w:tabs>
        <w:bidi w:val="0"/>
        <w:spacing w:before="0" w:after="60" w:line="240" w:lineRule="auto"/>
        <w:ind w:left="1380" w:right="0" w:hanging="260"/>
        <w:jc w:val="both"/>
      </w:pPr>
      <w:r>
        <w:rPr>
          <w:color w:val="000000"/>
          <w:spacing w:val="0"/>
          <w:w w:val="100"/>
          <w:position w:val="0"/>
          <w:shd w:val="clear" w:color="auto" w:fill="auto"/>
          <w:lang w:val="cs-CZ" w:eastAsia="cs-CZ" w:bidi="cs-CZ"/>
        </w:rPr>
        <w:t>provést přepočet naměřených hodnot na hodnotu RPDI; porovnat sčítání dopravy v daném úseku s oficiálním sčítáním z roku 2016, povýšené o růstové koeficienty z důvodu reprezentativního měření hluku</w:t>
      </w:r>
    </w:p>
    <w:p>
      <w:pPr>
        <w:pStyle w:val="Style11"/>
        <w:keepNext w:val="0"/>
        <w:keepLines w:val="0"/>
        <w:widowControl w:val="0"/>
        <w:numPr>
          <w:ilvl w:val="0"/>
          <w:numId w:val="3"/>
        </w:numPr>
        <w:shd w:val="clear" w:color="auto" w:fill="auto"/>
        <w:tabs>
          <w:tab w:pos="1493" w:val="left"/>
        </w:tabs>
        <w:bidi w:val="0"/>
        <w:spacing w:before="0" w:after="60"/>
        <w:ind w:left="1380" w:right="0" w:hanging="260"/>
        <w:jc w:val="both"/>
      </w:pPr>
      <w:r>
        <w:rPr>
          <w:color w:val="000000"/>
          <w:spacing w:val="0"/>
          <w:w w:val="100"/>
          <w:position w:val="0"/>
          <w:shd w:val="clear" w:color="auto" w:fill="auto"/>
          <w:lang w:val="cs-CZ" w:eastAsia="cs-CZ" w:bidi="cs-CZ"/>
        </w:rPr>
        <w:t>provést posouzení možnosti uznání limitů pro starou hlukovou zátěž</w:t>
      </w:r>
    </w:p>
    <w:p>
      <w:pPr>
        <w:pStyle w:val="Style11"/>
        <w:keepNext w:val="0"/>
        <w:keepLines w:val="0"/>
        <w:widowControl w:val="0"/>
        <w:numPr>
          <w:ilvl w:val="0"/>
          <w:numId w:val="3"/>
        </w:numPr>
        <w:shd w:val="clear" w:color="auto" w:fill="auto"/>
        <w:tabs>
          <w:tab w:pos="1493" w:val="left"/>
        </w:tabs>
        <w:bidi w:val="0"/>
        <w:spacing w:before="0" w:after="60"/>
        <w:ind w:left="1380" w:right="0" w:hanging="260"/>
        <w:jc w:val="both"/>
      </w:pPr>
      <w:r>
        <w:rPr>
          <w:color w:val="000000"/>
          <w:spacing w:val="0"/>
          <w:w w:val="100"/>
          <w:position w:val="0"/>
          <w:shd w:val="clear" w:color="auto" w:fill="auto"/>
          <w:lang w:val="cs-CZ" w:eastAsia="cs-CZ" w:bidi="cs-CZ"/>
        </w:rPr>
        <w:t>musí garantovat výpočetní výstupy v souladu s platnou legislativou ve smyslu Zákona č. 258/2000 Sb. o ochraně veřejného zdraví a o změně některých souvisejících zákonů, v platném znění, Nařízení vlády č. 272/2011 Sb. o ochraně zdraví před nepříznivými účinky hluku a vibrací, a souvisejících předpisů</w:t>
      </w:r>
    </w:p>
    <w:p>
      <w:pPr>
        <w:pStyle w:val="Style11"/>
        <w:keepNext w:val="0"/>
        <w:keepLines w:val="0"/>
        <w:widowControl w:val="0"/>
        <w:numPr>
          <w:ilvl w:val="0"/>
          <w:numId w:val="3"/>
        </w:numPr>
        <w:shd w:val="clear" w:color="auto" w:fill="auto"/>
        <w:tabs>
          <w:tab w:pos="1493" w:val="left"/>
        </w:tabs>
        <w:bidi w:val="0"/>
        <w:spacing w:before="0" w:after="60" w:line="264" w:lineRule="auto"/>
        <w:ind w:left="1380" w:right="0" w:hanging="260"/>
        <w:jc w:val="both"/>
      </w:pPr>
      <w:r>
        <w:rPr>
          <w:color w:val="000000"/>
          <w:spacing w:val="0"/>
          <w:w w:val="100"/>
          <w:position w:val="0"/>
          <w:shd w:val="clear" w:color="auto" w:fill="auto"/>
          <w:lang w:val="cs-CZ" w:eastAsia="cs-CZ" w:bidi="cs-CZ"/>
        </w:rPr>
        <w:t>projednat závěrečnou zprávu z každého měření s Krajskou hygienickou stanicí Kraje Vysočina</w:t>
      </w:r>
    </w:p>
    <w:p>
      <w:pPr>
        <w:pStyle w:val="Style11"/>
        <w:keepNext w:val="0"/>
        <w:keepLines w:val="0"/>
        <w:widowControl w:val="0"/>
        <w:numPr>
          <w:ilvl w:val="0"/>
          <w:numId w:val="3"/>
        </w:numPr>
        <w:shd w:val="clear" w:color="auto" w:fill="auto"/>
        <w:tabs>
          <w:tab w:pos="1493" w:val="left"/>
        </w:tabs>
        <w:bidi w:val="0"/>
        <w:spacing w:before="0" w:after="320"/>
        <w:ind w:left="1380" w:right="0" w:hanging="260"/>
        <w:jc w:val="both"/>
      </w:pPr>
      <w:r>
        <w:rPr>
          <w:color w:val="000000"/>
          <w:spacing w:val="0"/>
          <w:w w:val="100"/>
          <w:position w:val="0"/>
          <w:shd w:val="clear" w:color="auto" w:fill="auto"/>
          <w:lang w:val="cs-CZ" w:eastAsia="cs-CZ" w:bidi="cs-CZ"/>
        </w:rPr>
        <w:t>odevzdání závěrečné zprávy v počtu 3 paré pro každé měření</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3</w:t>
      </w:r>
    </w:p>
    <w:p>
      <w:pPr>
        <w:pStyle w:val="Style21"/>
        <w:keepNext/>
        <w:keepLines/>
        <w:widowControl w:val="0"/>
        <w:shd w:val="clear" w:color="auto" w:fill="auto"/>
        <w:bidi w:val="0"/>
        <w:spacing w:before="0" w:after="120"/>
        <w:ind w:left="0" w:right="0" w:firstLine="0"/>
        <w:jc w:val="center"/>
      </w:pPr>
      <w:bookmarkStart w:id="8" w:name="bookmark8"/>
      <w:bookmarkStart w:id="9" w:name="bookmark9"/>
      <w:r>
        <w:rPr>
          <w:color w:val="000000"/>
          <w:spacing w:val="0"/>
          <w:w w:val="100"/>
          <w:position w:val="0"/>
          <w:shd w:val="clear" w:color="auto" w:fill="auto"/>
          <w:lang w:val="cs-CZ" w:eastAsia="cs-CZ" w:bidi="cs-CZ"/>
        </w:rPr>
        <w:t>Doba a místo plnění</w:t>
      </w:r>
      <w:bookmarkEnd w:id="8"/>
      <w:bookmarkEnd w:id="9"/>
    </w:p>
    <w:p>
      <w:pPr>
        <w:pStyle w:val="Style11"/>
        <w:keepNext w:val="0"/>
        <w:keepLines w:val="0"/>
        <w:widowControl w:val="0"/>
        <w:numPr>
          <w:ilvl w:val="0"/>
          <w:numId w:val="5"/>
        </w:numPr>
        <w:shd w:val="clear" w:color="auto" w:fill="auto"/>
        <w:tabs>
          <w:tab w:pos="1118" w:val="left"/>
        </w:tabs>
        <w:bidi w:val="0"/>
        <w:spacing w:before="0" w:after="60" w:line="271" w:lineRule="auto"/>
        <w:ind w:left="1100" w:right="0" w:hanging="540"/>
        <w:jc w:val="both"/>
      </w:pPr>
      <w:r>
        <w:rPr>
          <w:color w:val="000000"/>
          <w:spacing w:val="0"/>
          <w:w w:val="100"/>
          <w:position w:val="0"/>
          <w:shd w:val="clear" w:color="auto" w:fill="auto"/>
          <w:lang w:val="cs-CZ" w:eastAsia="cs-CZ" w:bidi="cs-CZ"/>
        </w:rPr>
        <w:t xml:space="preserve">Smluvní strany se dohodly na termínu plnění pro všechny úseky měření v období od </w:t>
      </w:r>
      <w:r>
        <w:rPr>
          <w:b/>
          <w:bCs/>
          <w:color w:val="000000"/>
          <w:spacing w:val="0"/>
          <w:w w:val="100"/>
          <w:position w:val="0"/>
          <w:shd w:val="clear" w:color="auto" w:fill="auto"/>
          <w:lang w:val="cs-CZ" w:eastAsia="cs-CZ" w:bidi="cs-CZ"/>
        </w:rPr>
        <w:t xml:space="preserve">1. 9. 2019 </w:t>
      </w:r>
      <w:r>
        <w:rPr>
          <w:color w:val="000000"/>
          <w:spacing w:val="0"/>
          <w:w w:val="100"/>
          <w:position w:val="0"/>
          <w:shd w:val="clear" w:color="auto" w:fill="auto"/>
          <w:lang w:val="cs-CZ" w:eastAsia="cs-CZ" w:bidi="cs-CZ"/>
        </w:rPr>
        <w:t xml:space="preserve">do </w:t>
      </w:r>
      <w:r>
        <w:rPr>
          <w:b/>
          <w:bCs/>
          <w:color w:val="000000"/>
          <w:spacing w:val="0"/>
          <w:w w:val="100"/>
          <w:position w:val="0"/>
          <w:shd w:val="clear" w:color="auto" w:fill="auto"/>
          <w:lang w:val="cs-CZ" w:eastAsia="cs-CZ" w:bidi="cs-CZ"/>
        </w:rPr>
        <w:t>31. 10. 2019.</w:t>
      </w:r>
    </w:p>
    <w:p>
      <w:pPr>
        <w:pStyle w:val="Style11"/>
        <w:keepNext w:val="0"/>
        <w:keepLines w:val="0"/>
        <w:widowControl w:val="0"/>
        <w:numPr>
          <w:ilvl w:val="0"/>
          <w:numId w:val="5"/>
        </w:numPr>
        <w:shd w:val="clear" w:color="auto" w:fill="auto"/>
        <w:tabs>
          <w:tab w:pos="1118" w:val="left"/>
        </w:tabs>
        <w:bidi w:val="0"/>
        <w:spacing w:before="0" w:after="120"/>
        <w:ind w:left="0" w:right="0" w:firstLine="560"/>
        <w:jc w:val="both"/>
      </w:pPr>
      <w:r>
        <w:rPr>
          <w:color w:val="000000"/>
          <w:spacing w:val="0"/>
          <w:w w:val="100"/>
          <w:position w:val="0"/>
          <w:shd w:val="clear" w:color="auto" w:fill="auto"/>
          <w:lang w:val="cs-CZ" w:eastAsia="cs-CZ" w:bidi="cs-CZ"/>
        </w:rPr>
        <w:t>Místa k měření hluku pro okres Třebíč jsou stanovena tato:</w:t>
      </w:r>
    </w:p>
    <w:p>
      <w:pPr>
        <w:pStyle w:val="Style11"/>
        <w:keepNext w:val="0"/>
        <w:keepLines w:val="0"/>
        <w:widowControl w:val="0"/>
        <w:numPr>
          <w:ilvl w:val="0"/>
          <w:numId w:val="7"/>
        </w:numPr>
        <w:shd w:val="clear" w:color="auto" w:fill="auto"/>
        <w:tabs>
          <w:tab w:pos="1581" w:val="left"/>
        </w:tabs>
        <w:bidi w:val="0"/>
        <w:spacing w:before="0" w:after="60"/>
        <w:ind w:left="1260" w:right="0" w:firstLine="0"/>
        <w:jc w:val="both"/>
      </w:pPr>
      <w:r>
        <w:rPr>
          <w:color w:val="000000"/>
          <w:spacing w:val="0"/>
          <w:w w:val="100"/>
          <w:position w:val="0"/>
          <w:shd w:val="clear" w:color="auto" w:fill="auto"/>
          <w:lang w:val="cs-CZ" w:eastAsia="cs-CZ" w:bidi="cs-CZ"/>
        </w:rPr>
        <w:t>11/360 Jaroměřice nad Rokytnou, Březinova 98</w:t>
      </w:r>
    </w:p>
    <w:p>
      <w:pPr>
        <w:pStyle w:val="Style11"/>
        <w:keepNext w:val="0"/>
        <w:keepLines w:val="0"/>
        <w:widowControl w:val="0"/>
        <w:numPr>
          <w:ilvl w:val="0"/>
          <w:numId w:val="7"/>
        </w:numPr>
        <w:shd w:val="clear" w:color="auto" w:fill="auto"/>
        <w:tabs>
          <w:tab w:pos="1610" w:val="left"/>
        </w:tabs>
        <w:bidi w:val="0"/>
        <w:spacing w:before="0" w:after="60"/>
        <w:ind w:left="1260" w:right="0" w:firstLine="0"/>
        <w:jc w:val="both"/>
      </w:pPr>
      <w:r>
        <w:rPr>
          <w:color w:val="000000"/>
          <w:spacing w:val="0"/>
          <w:w w:val="100"/>
          <w:position w:val="0"/>
          <w:shd w:val="clear" w:color="auto" w:fill="auto"/>
          <w:lang w:val="cs-CZ" w:eastAsia="cs-CZ" w:bidi="cs-CZ"/>
        </w:rPr>
        <w:t>II/l 52 Slavětice</w:t>
      </w:r>
    </w:p>
    <w:p>
      <w:pPr>
        <w:pStyle w:val="Style11"/>
        <w:keepNext w:val="0"/>
        <w:keepLines w:val="0"/>
        <w:widowControl w:val="0"/>
        <w:numPr>
          <w:ilvl w:val="0"/>
          <w:numId w:val="7"/>
        </w:numPr>
        <w:shd w:val="clear" w:color="auto" w:fill="auto"/>
        <w:tabs>
          <w:tab w:pos="1610" w:val="left"/>
        </w:tabs>
        <w:bidi w:val="0"/>
        <w:spacing w:before="0" w:after="60"/>
        <w:ind w:left="1260" w:right="0" w:firstLine="0"/>
        <w:jc w:val="both"/>
      </w:pPr>
      <w:r>
        <w:rPr>
          <w:color w:val="000000"/>
          <w:spacing w:val="0"/>
          <w:w w:val="100"/>
          <w:position w:val="0"/>
          <w:shd w:val="clear" w:color="auto" w:fill="auto"/>
          <w:lang w:val="cs-CZ" w:eastAsia="cs-CZ" w:bidi="cs-CZ"/>
        </w:rPr>
        <w:t>11/360 Pocoucov</w:t>
      </w:r>
    </w:p>
    <w:p>
      <w:pPr>
        <w:pStyle w:val="Style11"/>
        <w:keepNext w:val="0"/>
        <w:keepLines w:val="0"/>
        <w:widowControl w:val="0"/>
        <w:numPr>
          <w:ilvl w:val="0"/>
          <w:numId w:val="7"/>
        </w:numPr>
        <w:shd w:val="clear" w:color="auto" w:fill="auto"/>
        <w:tabs>
          <w:tab w:pos="1610" w:val="left"/>
        </w:tabs>
        <w:bidi w:val="0"/>
        <w:spacing w:before="0" w:after="60"/>
        <w:ind w:left="1260" w:right="0" w:firstLine="0"/>
        <w:jc w:val="both"/>
      </w:pPr>
      <w:r>
        <w:rPr>
          <w:color w:val="000000"/>
          <w:spacing w:val="0"/>
          <w:w w:val="100"/>
          <w:position w:val="0"/>
          <w:shd w:val="clear" w:color="auto" w:fill="auto"/>
          <w:lang w:val="cs-CZ" w:eastAsia="cs-CZ" w:bidi="cs-CZ"/>
        </w:rPr>
        <w:t>11/410 Třebíč, Dr. Ant. Hobzy</w:t>
      </w:r>
    </w:p>
    <w:p>
      <w:pPr>
        <w:pStyle w:val="Style11"/>
        <w:keepNext w:val="0"/>
        <w:keepLines w:val="0"/>
        <w:widowControl w:val="0"/>
        <w:numPr>
          <w:ilvl w:val="0"/>
          <w:numId w:val="7"/>
        </w:numPr>
        <w:shd w:val="clear" w:color="auto" w:fill="auto"/>
        <w:tabs>
          <w:tab w:pos="1610" w:val="left"/>
        </w:tabs>
        <w:bidi w:val="0"/>
        <w:spacing w:before="0" w:after="120"/>
        <w:ind w:left="1260" w:right="0" w:firstLine="0"/>
        <w:jc w:val="both"/>
      </w:pPr>
      <w:r>
        <w:rPr>
          <w:color w:val="000000"/>
          <w:spacing w:val="0"/>
          <w:w w:val="100"/>
          <w:position w:val="0"/>
          <w:shd w:val="clear" w:color="auto" w:fill="auto"/>
          <w:lang w:val="cs-CZ" w:eastAsia="cs-CZ" w:bidi="cs-CZ"/>
        </w:rPr>
        <w:t>111/40510 Přibyslavice, ul. Kaštanová, úsek mezi křiž, s ul. Kolonka a s křiž. Ve Zlebě</w:t>
      </w:r>
    </w:p>
    <w:p>
      <w:pPr>
        <w:pStyle w:val="Style11"/>
        <w:keepNext w:val="0"/>
        <w:keepLines w:val="0"/>
        <w:widowControl w:val="0"/>
        <w:numPr>
          <w:ilvl w:val="0"/>
          <w:numId w:val="5"/>
        </w:numPr>
        <w:shd w:val="clear" w:color="auto" w:fill="auto"/>
        <w:tabs>
          <w:tab w:pos="1118" w:val="left"/>
        </w:tabs>
        <w:bidi w:val="0"/>
        <w:spacing w:before="0" w:after="120"/>
        <w:ind w:left="0" w:right="0" w:firstLine="560"/>
        <w:jc w:val="both"/>
      </w:pPr>
      <w:r>
        <w:rPr>
          <w:color w:val="000000"/>
          <w:spacing w:val="0"/>
          <w:w w:val="100"/>
          <w:position w:val="0"/>
          <w:shd w:val="clear" w:color="auto" w:fill="auto"/>
          <w:lang w:val="cs-CZ" w:eastAsia="cs-CZ" w:bidi="cs-CZ"/>
        </w:rPr>
        <w:t>Dodavatel písemně vyrozumí objednatele o termínu provádění jednotlivých měření.</w:t>
      </w:r>
    </w:p>
    <w:p>
      <w:pPr>
        <w:pStyle w:val="Style11"/>
        <w:keepNext w:val="0"/>
        <w:keepLines w:val="0"/>
        <w:widowControl w:val="0"/>
        <w:numPr>
          <w:ilvl w:val="0"/>
          <w:numId w:val="5"/>
        </w:numPr>
        <w:shd w:val="clear" w:color="auto" w:fill="auto"/>
        <w:tabs>
          <w:tab w:pos="1118" w:val="left"/>
        </w:tabs>
        <w:bidi w:val="0"/>
        <w:spacing w:before="0" w:after="120" w:line="254" w:lineRule="auto"/>
        <w:ind w:left="1100" w:right="0" w:hanging="540"/>
        <w:jc w:val="both"/>
      </w:pPr>
      <w:r>
        <w:rPr>
          <w:b/>
          <w:bCs/>
          <w:color w:val="000000"/>
          <w:spacing w:val="0"/>
          <w:w w:val="100"/>
          <w:position w:val="0"/>
          <w:shd w:val="clear" w:color="auto" w:fill="auto"/>
          <w:lang w:val="cs-CZ" w:eastAsia="cs-CZ" w:bidi="cs-CZ"/>
        </w:rPr>
        <w:t xml:space="preserve">Termín vyhotovení a odevzdání závěrečné zprávy </w:t>
      </w:r>
      <w:r>
        <w:rPr>
          <w:color w:val="000000"/>
          <w:spacing w:val="0"/>
          <w:w w:val="100"/>
          <w:position w:val="0"/>
          <w:shd w:val="clear" w:color="auto" w:fill="auto"/>
          <w:lang w:val="cs-CZ" w:eastAsia="cs-CZ" w:bidi="cs-CZ"/>
        </w:rPr>
        <w:t xml:space="preserve">k měření hluku je </w:t>
      </w:r>
      <w:r>
        <w:rPr>
          <w:b/>
          <w:bCs/>
          <w:color w:val="000000"/>
          <w:spacing w:val="0"/>
          <w:w w:val="100"/>
          <w:position w:val="0"/>
          <w:shd w:val="clear" w:color="auto" w:fill="auto"/>
          <w:lang w:val="cs-CZ" w:eastAsia="cs-CZ" w:bidi="cs-CZ"/>
        </w:rPr>
        <w:t xml:space="preserve">do 30.11. 2019. </w:t>
      </w:r>
      <w:r>
        <w:rPr>
          <w:color w:val="000000"/>
          <w:spacing w:val="0"/>
          <w:w w:val="100"/>
          <w:position w:val="0"/>
          <w:shd w:val="clear" w:color="auto" w:fill="auto"/>
          <w:lang w:val="cs-CZ" w:eastAsia="cs-CZ" w:bidi="cs-CZ"/>
        </w:rPr>
        <w:t>Ke dni odevzdání závěrečné zprávy je dodavatel povinen odevzdat objednateli fakturu za provedené měření. Dřívější plnění je možné.</w:t>
      </w:r>
    </w:p>
    <w:p>
      <w:pPr>
        <w:pStyle w:val="Style11"/>
        <w:keepNext w:val="0"/>
        <w:keepLines w:val="0"/>
        <w:widowControl w:val="0"/>
        <w:numPr>
          <w:ilvl w:val="0"/>
          <w:numId w:val="5"/>
        </w:numPr>
        <w:shd w:val="clear" w:color="auto" w:fill="auto"/>
        <w:tabs>
          <w:tab w:pos="1079" w:val="left"/>
        </w:tabs>
        <w:bidi w:val="0"/>
        <w:spacing w:before="0" w:after="380" w:line="257" w:lineRule="auto"/>
        <w:ind w:left="1080" w:right="0" w:hanging="560"/>
        <w:jc w:val="both"/>
      </w:pPr>
      <w:r>
        <w:rPr>
          <w:color w:val="000000"/>
          <w:spacing w:val="0"/>
          <w:w w:val="100"/>
          <w:position w:val="0"/>
          <w:shd w:val="clear" w:color="auto" w:fill="auto"/>
          <w:lang w:val="cs-CZ" w:eastAsia="cs-CZ" w:bidi="cs-CZ"/>
        </w:rPr>
        <w:t>Místem pro odevzdání konečných protokolů a dokumentací je sídlo objednatele. Dokumentaci odevzdá dodavatel zástupci objednatele pověřenému jednat ve věcech technických.</w:t>
      </w:r>
    </w:p>
    <w:p>
      <w:pPr>
        <w:pStyle w:val="Style11"/>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4</w:t>
      </w:r>
    </w:p>
    <w:p>
      <w:pPr>
        <w:pStyle w:val="Style21"/>
        <w:keepNext/>
        <w:keepLines/>
        <w:widowControl w:val="0"/>
        <w:shd w:val="clear" w:color="auto" w:fill="auto"/>
        <w:bidi w:val="0"/>
        <w:spacing w:before="0" w:after="120" w:line="257"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Cena díla a platební podmínky</w:t>
      </w:r>
      <w:bookmarkEnd w:id="10"/>
      <w:bookmarkEnd w:id="11"/>
    </w:p>
    <w:p>
      <w:pPr>
        <w:pStyle w:val="Style11"/>
        <w:keepNext w:val="0"/>
        <w:keepLines w:val="0"/>
        <w:widowControl w:val="0"/>
        <w:numPr>
          <w:ilvl w:val="0"/>
          <w:numId w:val="9"/>
        </w:numPr>
        <w:shd w:val="clear" w:color="auto" w:fill="auto"/>
        <w:tabs>
          <w:tab w:pos="1079" w:val="left"/>
        </w:tabs>
        <w:bidi w:val="0"/>
        <w:spacing w:before="0" w:after="220" w:line="257" w:lineRule="auto"/>
        <w:ind w:left="1080" w:right="0" w:hanging="560"/>
        <w:jc w:val="both"/>
      </w:pPr>
      <w:r>
        <w:rPr>
          <w:color w:val="000000"/>
          <w:spacing w:val="0"/>
          <w:w w:val="100"/>
          <w:position w:val="0"/>
          <w:shd w:val="clear" w:color="auto" w:fill="auto"/>
          <w:lang w:val="cs-CZ" w:eastAsia="cs-CZ" w:bidi="cs-CZ"/>
        </w:rPr>
        <w:t>Objednatel se zavazuje, že úplnou a dokončenou dokumentaci převezme a zaplatí dodavateli za její vypracování podle této smlouvy smluvní dohodnutou odměnu ve výši:</w:t>
      </w:r>
    </w:p>
    <w:tbl>
      <w:tblPr>
        <w:tblOverlap w:val="never"/>
        <w:jc w:val="right"/>
        <w:tblLayout w:type="fixed"/>
      </w:tblPr>
      <w:tblGrid>
        <w:gridCol w:w="230"/>
        <w:gridCol w:w="5663"/>
        <w:gridCol w:w="2819"/>
      </w:tblGrid>
      <w:tr>
        <w:trPr>
          <w:trHeight w:val="29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11/360 Jaroměřice nad Rokytnou, Březinova 98</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21.500,- Kč bez DPH</w:t>
            </w:r>
          </w:p>
        </w:tc>
      </w:tr>
      <w:tr>
        <w:trPr>
          <w:trHeight w:val="31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11/152 Slavětice</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21.500,- Kč bez DPH</w:t>
            </w:r>
          </w:p>
        </w:tc>
      </w:tr>
      <w:tr>
        <w:trPr>
          <w:trHeight w:val="32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11/360 Pocoucov</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21.500,- Kč bez DPH</w:t>
            </w:r>
          </w:p>
        </w:tc>
      </w:tr>
      <w:tr>
        <w:trPr>
          <w:trHeight w:val="331"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II/410 Třebíč, Dr. Ant. Hobzy</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21.500,- Kč bez DPH</w:t>
            </w:r>
          </w:p>
        </w:tc>
      </w:tr>
      <w:tr>
        <w:trPr>
          <w:trHeight w:val="587"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w:t>
            </w:r>
          </w:p>
        </w:tc>
        <w:tc>
          <w:tcPr>
            <w:tcBorders/>
            <w:shd w:val="clear" w:color="auto" w:fill="FFFFFF"/>
            <w:vAlign w:val="top"/>
          </w:tcPr>
          <w:p>
            <w:pPr>
              <w:pStyle w:val="Style1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III/40510 Přibyslavice, ul. Kaštanová, úsek mezi křiž, s ul. Kolonka a s křiž. Ve Žlebě</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21.500,- Kč bez DPH</w:t>
            </w:r>
          </w:p>
        </w:tc>
      </w:tr>
      <w:tr>
        <w:trPr>
          <w:trHeight w:val="328" w:hRule="exact"/>
        </w:trPr>
        <w:tc>
          <w:tcPr>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Kč bez DPH</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107.500,-</w:t>
            </w:r>
          </w:p>
        </w:tc>
      </w:tr>
      <w:tr>
        <w:trPr>
          <w:trHeight w:val="32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22.575,-</w:t>
            </w:r>
          </w:p>
        </w:tc>
      </w:tr>
      <w:tr>
        <w:trPr>
          <w:trHeight w:val="30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Kč vč. DPH</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130.075,-</w:t>
            </w:r>
          </w:p>
        </w:tc>
      </w:tr>
    </w:tbl>
    <w:p>
      <w:pPr>
        <w:widowControl w:val="0"/>
        <w:spacing w:after="219" w:line="1" w:lineRule="exact"/>
      </w:pPr>
    </w:p>
    <w:p>
      <w:pPr>
        <w:pStyle w:val="Style11"/>
        <w:keepNext w:val="0"/>
        <w:keepLines w:val="0"/>
        <w:widowControl w:val="0"/>
        <w:numPr>
          <w:ilvl w:val="0"/>
          <w:numId w:val="9"/>
        </w:numPr>
        <w:shd w:val="clear" w:color="auto" w:fill="auto"/>
        <w:tabs>
          <w:tab w:pos="1079" w:val="left"/>
        </w:tabs>
        <w:bidi w:val="0"/>
        <w:spacing w:before="0" w:after="120"/>
        <w:ind w:left="1080" w:right="0" w:hanging="560"/>
        <w:jc w:val="both"/>
      </w:pPr>
      <w:r>
        <w:rPr>
          <w:color w:val="000000"/>
          <w:spacing w:val="0"/>
          <w:w w:val="100"/>
          <w:position w:val="0"/>
          <w:shd w:val="clear" w:color="auto" w:fill="auto"/>
          <w:lang w:val="cs-CZ" w:eastAsia="cs-CZ" w:bidi="cs-CZ"/>
        </w:rPr>
        <w:t>Cena díla je úplná, konečná a nepřekročítelná. V ceně podle bodu 4. 1. jsou zahrnuty veškeré náklady na provedení měření nutné ke splnění díla dle čl. 2 a čl. 3 této smlouvy vč. cestovného na místo plnění a konzultací.</w:t>
      </w:r>
    </w:p>
    <w:p>
      <w:pPr>
        <w:pStyle w:val="Style11"/>
        <w:keepNext w:val="0"/>
        <w:keepLines w:val="0"/>
        <w:widowControl w:val="0"/>
        <w:numPr>
          <w:ilvl w:val="0"/>
          <w:numId w:val="9"/>
        </w:numPr>
        <w:shd w:val="clear" w:color="auto" w:fill="auto"/>
        <w:tabs>
          <w:tab w:pos="1079" w:val="left"/>
        </w:tabs>
        <w:bidi w:val="0"/>
        <w:spacing w:before="0" w:after="120" w:line="240" w:lineRule="auto"/>
        <w:ind w:left="1080" w:right="0" w:hanging="560"/>
        <w:jc w:val="both"/>
      </w:pPr>
      <w:r>
        <w:rPr>
          <w:color w:val="000000"/>
          <w:spacing w:val="0"/>
          <w:w w:val="100"/>
          <w:position w:val="0"/>
          <w:shd w:val="clear" w:color="auto" w:fill="auto"/>
          <w:lang w:val="cs-CZ" w:eastAsia="cs-CZ" w:bidi="cs-CZ"/>
        </w:rPr>
        <w:t>Ke sjednané ceně bez DPH bude u plátce DPH účtována daň z přidané hodnoty v zákonné výši.</w:t>
      </w:r>
    </w:p>
    <w:p>
      <w:pPr>
        <w:pStyle w:val="Style11"/>
        <w:keepNext w:val="0"/>
        <w:keepLines w:val="0"/>
        <w:widowControl w:val="0"/>
        <w:numPr>
          <w:ilvl w:val="0"/>
          <w:numId w:val="9"/>
        </w:numPr>
        <w:shd w:val="clear" w:color="auto" w:fill="auto"/>
        <w:tabs>
          <w:tab w:pos="1079" w:val="left"/>
        </w:tabs>
        <w:bidi w:val="0"/>
        <w:spacing w:before="0" w:after="120" w:line="254" w:lineRule="auto"/>
        <w:ind w:left="0" w:right="0" w:firstLine="52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11"/>
        <w:keepNext w:val="0"/>
        <w:keepLines w:val="0"/>
        <w:widowControl w:val="0"/>
        <w:numPr>
          <w:ilvl w:val="0"/>
          <w:numId w:val="9"/>
        </w:numPr>
        <w:shd w:val="clear" w:color="auto" w:fill="auto"/>
        <w:tabs>
          <w:tab w:pos="1079" w:val="left"/>
        </w:tabs>
        <w:bidi w:val="0"/>
        <w:spacing w:before="0" w:after="120" w:line="240" w:lineRule="auto"/>
        <w:ind w:left="1080" w:right="0" w:hanging="560"/>
        <w:jc w:val="both"/>
      </w:pPr>
      <w:r>
        <w:rPr>
          <w:color w:val="000000"/>
          <w:spacing w:val="0"/>
          <w:w w:val="100"/>
          <w:position w:val="0"/>
          <w:shd w:val="clear" w:color="auto" w:fill="auto"/>
          <w:lang w:val="cs-CZ" w:eastAsia="cs-CZ" w:bidi="cs-CZ"/>
        </w:rPr>
        <w:t>Cena za dílo může být upravena (zvýšena či snížena) dodatky k této smlouvě v případě změny zákonných sazeb DPH.</w:t>
      </w:r>
    </w:p>
    <w:p>
      <w:pPr>
        <w:pStyle w:val="Style11"/>
        <w:keepNext w:val="0"/>
        <w:keepLines w:val="0"/>
        <w:widowControl w:val="0"/>
        <w:numPr>
          <w:ilvl w:val="0"/>
          <w:numId w:val="9"/>
        </w:numPr>
        <w:shd w:val="clear" w:color="auto" w:fill="auto"/>
        <w:tabs>
          <w:tab w:pos="1079" w:val="left"/>
        </w:tabs>
        <w:bidi w:val="0"/>
        <w:spacing w:before="0" w:after="120" w:line="254" w:lineRule="auto"/>
        <w:ind w:left="0" w:right="0" w:firstLine="520"/>
        <w:jc w:val="both"/>
      </w:pPr>
      <w:r>
        <w:rPr>
          <w:color w:val="000000"/>
          <w:spacing w:val="0"/>
          <w:w w:val="100"/>
          <w:position w:val="0"/>
          <w:shd w:val="clear" w:color="auto" w:fill="auto"/>
          <w:lang w:val="cs-CZ" w:eastAsia="cs-CZ" w:bidi="cs-CZ"/>
        </w:rPr>
        <w:t>Dohodnutá odměna bude dodavateli proplacena na základě jeho daňového dokladu (faktury).</w:t>
      </w:r>
    </w:p>
    <w:p>
      <w:pPr>
        <w:pStyle w:val="Style11"/>
        <w:keepNext w:val="0"/>
        <w:keepLines w:val="0"/>
        <w:widowControl w:val="0"/>
        <w:numPr>
          <w:ilvl w:val="0"/>
          <w:numId w:val="9"/>
        </w:numPr>
        <w:shd w:val="clear" w:color="auto" w:fill="auto"/>
        <w:tabs>
          <w:tab w:pos="1079" w:val="left"/>
        </w:tabs>
        <w:bidi w:val="0"/>
        <w:spacing w:before="0" w:after="120" w:line="254" w:lineRule="auto"/>
        <w:ind w:left="1080" w:right="0" w:hanging="560"/>
        <w:jc w:val="both"/>
      </w:pPr>
      <w:r>
        <w:rPr>
          <w:color w:val="000000"/>
          <w:spacing w:val="0"/>
          <w:w w:val="100"/>
          <w:position w:val="0"/>
          <w:shd w:val="clear" w:color="auto" w:fill="auto"/>
          <w:lang w:val="cs-CZ" w:eastAsia="cs-CZ" w:bidi="cs-CZ"/>
        </w:rPr>
        <w:t>Faktura bude vystavena v jednom vyhotovení, za všechna měření najednou a předána objednateli ke dni předání závěrečné zprávy, nejpozději do 30. 11. 2019. Mimo povinných náležitostí dle zákona je dodavatel povinen uvádět na daňovém dokladu doslovný a přesný název akce nebo akcí, který je definován v ustanovení odst. 3.2. této smlouvy. Platba bude uskutečněna.</w:t>
      </w:r>
    </w:p>
    <w:p>
      <w:pPr>
        <w:pStyle w:val="Style11"/>
        <w:keepNext w:val="0"/>
        <w:keepLines w:val="0"/>
        <w:widowControl w:val="0"/>
        <w:numPr>
          <w:ilvl w:val="0"/>
          <w:numId w:val="9"/>
        </w:numPr>
        <w:shd w:val="clear" w:color="auto" w:fill="auto"/>
        <w:tabs>
          <w:tab w:pos="1079" w:val="left"/>
        </w:tabs>
        <w:bidi w:val="0"/>
        <w:spacing w:before="0" w:after="120" w:line="254" w:lineRule="auto"/>
        <w:ind w:left="0" w:right="0" w:firstLine="520"/>
        <w:jc w:val="both"/>
      </w:pPr>
      <w:r>
        <w:rPr>
          <w:color w:val="000000"/>
          <w:spacing w:val="0"/>
          <w:w w:val="100"/>
          <w:position w:val="0"/>
          <w:shd w:val="clear" w:color="auto" w:fill="auto"/>
          <w:lang w:val="cs-CZ" w:eastAsia="cs-CZ" w:bidi="cs-CZ"/>
        </w:rPr>
        <w:t>Objednatel neposkytuje zálohu na plnění díla.</w:t>
      </w:r>
    </w:p>
    <w:p>
      <w:pPr>
        <w:pStyle w:val="Style11"/>
        <w:keepNext w:val="0"/>
        <w:keepLines w:val="0"/>
        <w:widowControl w:val="0"/>
        <w:numPr>
          <w:ilvl w:val="0"/>
          <w:numId w:val="9"/>
        </w:numPr>
        <w:shd w:val="clear" w:color="auto" w:fill="auto"/>
        <w:tabs>
          <w:tab w:pos="1079" w:val="left"/>
        </w:tabs>
        <w:bidi w:val="0"/>
        <w:spacing w:before="0" w:after="120" w:line="240" w:lineRule="auto"/>
        <w:ind w:left="1080" w:right="0" w:hanging="56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2ačl.3.</w:t>
      </w:r>
    </w:p>
    <w:p>
      <w:pPr>
        <w:pStyle w:val="Style11"/>
        <w:keepNext w:val="0"/>
        <w:keepLines w:val="0"/>
        <w:widowControl w:val="0"/>
        <w:numPr>
          <w:ilvl w:val="0"/>
          <w:numId w:val="9"/>
        </w:numPr>
        <w:shd w:val="clear" w:color="auto" w:fill="auto"/>
        <w:tabs>
          <w:tab w:pos="1135" w:val="left"/>
        </w:tabs>
        <w:bidi w:val="0"/>
        <w:spacing w:before="0" w:after="120" w:line="257" w:lineRule="auto"/>
        <w:ind w:left="1080" w:right="0" w:hanging="5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zákona č. 235/2004 Sb. o dani z přidané hodnoty, ve znění pozdějších předpisů (dále jen „zákon o DPH“).</w:t>
      </w:r>
    </w:p>
    <w:p>
      <w:pPr>
        <w:pStyle w:val="Style11"/>
        <w:keepNext w:val="0"/>
        <w:keepLines w:val="0"/>
        <w:widowControl w:val="0"/>
        <w:numPr>
          <w:ilvl w:val="0"/>
          <w:numId w:val="9"/>
        </w:numPr>
        <w:shd w:val="clear" w:color="auto" w:fill="auto"/>
        <w:tabs>
          <w:tab w:pos="1135" w:val="left"/>
        </w:tabs>
        <w:bidi w:val="0"/>
        <w:spacing w:before="0" w:after="160" w:line="254" w:lineRule="auto"/>
        <w:ind w:left="1080" w:right="0" w:hanging="560"/>
        <w:jc w:val="both"/>
        <w:sectPr>
          <w:footerReference w:type="default" r:id="rId6"/>
          <w:footerReference w:type="first" r:id="rId7"/>
          <w:footnotePr>
            <w:pos w:val="pageBottom"/>
            <w:numFmt w:val="decimal"/>
            <w:numRestart w:val="continuous"/>
          </w:footnotePr>
          <w:pgSz w:w="11900" w:h="16840"/>
          <w:pgMar w:top="1638" w:left="756" w:right="1032" w:bottom="1584" w:header="0" w:footer="3" w:gutter="0"/>
          <w:cols w:space="720"/>
          <w:noEndnote/>
          <w:titlePg/>
          <w:rtlGutter w:val="0"/>
          <w:docGrid w:linePitch="360"/>
        </w:sectPr>
      </w:pPr>
      <w:r>
        <w:rPr>
          <w:color w:val="000000"/>
          <w:spacing w:val="0"/>
          <w:w w:val="100"/>
          <w:position w:val="0"/>
          <w:shd w:val="clear" w:color="auto" w:fill="auto"/>
          <w:lang w:val="cs-CZ" w:eastAsia="cs-CZ" w:bidi="cs-CZ"/>
        </w:rPr>
        <w:t xml:space="preserve">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w:t>
      </w:r>
    </w:p>
    <w:p>
      <w:pPr>
        <w:pStyle w:val="Style11"/>
        <w:keepNext w:val="0"/>
        <w:keepLines w:val="0"/>
        <w:widowControl w:val="0"/>
        <w:shd w:val="clear" w:color="auto" w:fill="auto"/>
        <w:tabs>
          <w:tab w:pos="1135" w:val="left"/>
        </w:tabs>
        <w:bidi w:val="0"/>
        <w:spacing w:before="0" w:after="160" w:line="254" w:lineRule="auto"/>
        <w:ind w:left="1080" w:right="0" w:firstLine="0"/>
        <w:jc w:val="both"/>
      </w:pPr>
      <w:r>
        <w:rPr>
          <w:color w:val="000000"/>
          <w:spacing w:val="0"/>
          <w:w w:val="100"/>
          <w:position w:val="0"/>
          <w:shd w:val="clear" w:color="auto" w:fill="auto"/>
          <w:lang w:val="cs-CZ" w:eastAsia="cs-CZ" w:bidi="cs-CZ"/>
        </w:rPr>
        <w:t>považována za uhrazení příslušné části smluvní ceny rovnající se výši DPH fakturované dodavatelem.</w:t>
      </w:r>
    </w:p>
    <w:p>
      <w:pPr>
        <w:pStyle w:val="Style11"/>
        <w:keepNext w:val="0"/>
        <w:keepLines w:val="0"/>
        <w:widowControl w:val="0"/>
        <w:numPr>
          <w:ilvl w:val="0"/>
          <w:numId w:val="9"/>
        </w:numPr>
        <w:shd w:val="clear" w:color="auto" w:fill="auto"/>
        <w:tabs>
          <w:tab w:pos="807" w:val="left"/>
        </w:tabs>
        <w:bidi w:val="0"/>
        <w:spacing w:before="0" w:after="360" w:line="240" w:lineRule="auto"/>
        <w:ind w:left="700" w:right="0" w:hanging="540"/>
        <w:jc w:val="both"/>
      </w:pPr>
      <w:r>
        <w:rPr>
          <w:color w:val="000000"/>
          <w:spacing w:val="0"/>
          <w:w w:val="100"/>
          <w:position w:val="0"/>
          <w:shd w:val="clear" w:color="auto" w:fill="auto"/>
          <w:lang w:val="cs-CZ" w:eastAsia="cs-CZ" w:bidi="cs-CZ"/>
        </w:rPr>
        <w:t>Lhůta splatnosti daňových dokladů se vzájemnou dohodou sjednává do 30 ti dnů ode dne, kdy objednatel obdrží oprávněně vystavený daňový doklad.</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5</w:t>
      </w:r>
    </w:p>
    <w:p>
      <w:pPr>
        <w:pStyle w:val="Style21"/>
        <w:keepNext/>
        <w:keepLines/>
        <w:widowControl w:val="0"/>
        <w:shd w:val="clear" w:color="auto" w:fill="auto"/>
        <w:bidi w:val="0"/>
        <w:spacing w:before="0"/>
        <w:ind w:left="0" w:right="0" w:firstLine="0"/>
        <w:jc w:val="center"/>
      </w:pPr>
      <w:bookmarkStart w:id="12" w:name="bookmark12"/>
      <w:bookmarkStart w:id="13" w:name="bookmark13"/>
      <w:r>
        <w:rPr>
          <w:color w:val="000000"/>
          <w:spacing w:val="0"/>
          <w:w w:val="100"/>
          <w:position w:val="0"/>
          <w:shd w:val="clear" w:color="auto" w:fill="auto"/>
          <w:lang w:val="cs-CZ" w:eastAsia="cs-CZ" w:bidi="cs-CZ"/>
        </w:rPr>
        <w:t>Práva a povinnosti smluvních stran</w:t>
      </w:r>
      <w:bookmarkEnd w:id="12"/>
      <w:bookmarkEnd w:id="13"/>
    </w:p>
    <w:p>
      <w:pPr>
        <w:pStyle w:val="Style11"/>
        <w:keepNext w:val="0"/>
        <w:keepLines w:val="0"/>
        <w:widowControl w:val="0"/>
        <w:numPr>
          <w:ilvl w:val="0"/>
          <w:numId w:val="11"/>
        </w:numPr>
        <w:shd w:val="clear" w:color="auto" w:fill="auto"/>
        <w:tabs>
          <w:tab w:pos="718" w:val="left"/>
        </w:tabs>
        <w:bidi w:val="0"/>
        <w:spacing w:before="0" w:line="240" w:lineRule="auto"/>
        <w:ind w:left="700" w:right="0" w:hanging="54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1"/>
        <w:keepNext w:val="0"/>
        <w:keepLines w:val="0"/>
        <w:widowControl w:val="0"/>
        <w:numPr>
          <w:ilvl w:val="0"/>
          <w:numId w:val="11"/>
        </w:numPr>
        <w:shd w:val="clear" w:color="auto" w:fill="auto"/>
        <w:tabs>
          <w:tab w:pos="718" w:val="left"/>
        </w:tabs>
        <w:bidi w:val="0"/>
        <w:spacing w:before="0" w:after="160" w:line="240" w:lineRule="auto"/>
        <w:ind w:left="700" w:right="0" w:hanging="540"/>
        <w:jc w:val="both"/>
      </w:pPr>
      <w:r>
        <w:rPr>
          <w:color w:val="000000"/>
          <w:spacing w:val="0"/>
          <w:w w:val="100"/>
          <w:position w:val="0"/>
          <w:shd w:val="clear" w:color="auto" w:fill="auto"/>
          <w:lang w:val="cs-CZ" w:eastAsia="cs-CZ" w:bidi="cs-CZ"/>
        </w:rPr>
        <w:t>Dodavatel je povinen provádět měření hluku pouze prostřednictvím kvalifikovaných a odborně způsobilých osob na základě Osvědčení o akreditaci dle § 32a nebo Osvědčení o autorizaci dle § 83c Zákona č. 258/2000 Sb. o ochraně veřejného zdraví a o změně některých souvisejících zákonů.</w:t>
      </w:r>
    </w:p>
    <w:p>
      <w:pPr>
        <w:pStyle w:val="Style11"/>
        <w:keepNext w:val="0"/>
        <w:keepLines w:val="0"/>
        <w:widowControl w:val="0"/>
        <w:numPr>
          <w:ilvl w:val="0"/>
          <w:numId w:val="11"/>
        </w:numPr>
        <w:shd w:val="clear" w:color="auto" w:fill="auto"/>
        <w:tabs>
          <w:tab w:pos="718" w:val="left"/>
        </w:tabs>
        <w:bidi w:val="0"/>
        <w:spacing w:before="0" w:line="240" w:lineRule="auto"/>
        <w:ind w:left="700" w:right="0" w:hanging="540"/>
        <w:jc w:val="both"/>
      </w:pPr>
      <w:r>
        <w:rPr>
          <w:color w:val="000000"/>
          <w:spacing w:val="0"/>
          <w:w w:val="100"/>
          <w:position w:val="0"/>
          <w:shd w:val="clear" w:color="auto" w:fill="auto"/>
          <w:lang w:val="cs-CZ" w:eastAsia="cs-CZ" w:bidi="cs-CZ"/>
        </w:rPr>
        <w:t>Dodavatel je povinen objednatele bezodkladně informovat o průběhu prací a o veškerých významných skutečnostech souvisejících s provedením díla.</w:t>
      </w:r>
    </w:p>
    <w:p>
      <w:pPr>
        <w:pStyle w:val="Style11"/>
        <w:keepNext w:val="0"/>
        <w:keepLines w:val="0"/>
        <w:widowControl w:val="0"/>
        <w:numPr>
          <w:ilvl w:val="0"/>
          <w:numId w:val="11"/>
        </w:numPr>
        <w:shd w:val="clear" w:color="auto" w:fill="auto"/>
        <w:tabs>
          <w:tab w:pos="718" w:val="left"/>
        </w:tabs>
        <w:bidi w:val="0"/>
        <w:spacing w:before="0" w:after="500" w:line="240" w:lineRule="auto"/>
        <w:ind w:left="700" w:right="0" w:hanging="540"/>
        <w:jc w:val="both"/>
      </w:pPr>
      <w:r>
        <w:rPr>
          <w:color w:val="000000"/>
          <w:spacing w:val="0"/>
          <w:w w:val="100"/>
          <w:position w:val="0"/>
          <w:shd w:val="clear" w:color="auto" w:fill="auto"/>
          <w:lang w:val="cs-CZ" w:eastAsia="cs-CZ" w:bidi="cs-CZ"/>
        </w:rPr>
        <w:t>Objednatel se zavazuje poskytnout dodavateli veškeré informace, které jsou nutné k provedení díla. Dodavatel je povinen dbát pokynů objednatele.</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6</w:t>
      </w:r>
    </w:p>
    <w:p>
      <w:pPr>
        <w:pStyle w:val="Style21"/>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Odpovědnost za škodu</w:t>
      </w:r>
      <w:bookmarkEnd w:id="14"/>
      <w:bookmarkEnd w:id="15"/>
    </w:p>
    <w:p>
      <w:pPr>
        <w:pStyle w:val="Style11"/>
        <w:keepNext w:val="0"/>
        <w:keepLines w:val="0"/>
        <w:widowControl w:val="0"/>
        <w:numPr>
          <w:ilvl w:val="0"/>
          <w:numId w:val="13"/>
        </w:numPr>
        <w:shd w:val="clear" w:color="auto" w:fill="auto"/>
        <w:tabs>
          <w:tab w:pos="718" w:val="left"/>
        </w:tabs>
        <w:bidi w:val="0"/>
        <w:spacing w:before="0"/>
        <w:ind w:left="0" w:right="0" w:firstLine="140"/>
        <w:jc w:val="both"/>
      </w:pPr>
      <w:r>
        <w:rPr>
          <w:color w:val="000000"/>
          <w:spacing w:val="0"/>
          <w:w w:val="100"/>
          <w:position w:val="0"/>
          <w:shd w:val="clear" w:color="auto" w:fill="auto"/>
          <w:lang w:val="cs-CZ" w:eastAsia="cs-CZ" w:bidi="cs-CZ"/>
        </w:rPr>
        <w:t>Záruční doba se sjednává na 24 měsíců od předání výstupů měření.</w:t>
      </w:r>
    </w:p>
    <w:p>
      <w:pPr>
        <w:pStyle w:val="Style11"/>
        <w:keepNext w:val="0"/>
        <w:keepLines w:val="0"/>
        <w:widowControl w:val="0"/>
        <w:numPr>
          <w:ilvl w:val="0"/>
          <w:numId w:val="13"/>
        </w:numPr>
        <w:shd w:val="clear" w:color="auto" w:fill="auto"/>
        <w:tabs>
          <w:tab w:pos="718" w:val="left"/>
        </w:tabs>
        <w:bidi w:val="0"/>
        <w:spacing w:before="0" w:line="254" w:lineRule="auto"/>
        <w:ind w:left="700" w:right="0" w:hanging="540"/>
        <w:jc w:val="both"/>
      </w:pPr>
      <w:r>
        <w:rPr>
          <w:color w:val="000000"/>
          <w:spacing w:val="0"/>
          <w:w w:val="100"/>
          <w:position w:val="0"/>
          <w:shd w:val="clear" w:color="auto" w:fill="auto"/>
          <w:lang w:val="cs-CZ" w:eastAsia="cs-CZ" w:bidi="cs-CZ"/>
        </w:rPr>
        <w:t>Dodavatel odpovídá za vady, které má dílo v době jeho odevzdání objednateli. Za vady díla vzniklé po odevzdání díla odpovídá tehdy, pokud byly způsobeny porušením jeho povinnosti nebo jeho chybným zpracováním.</w:t>
      </w:r>
    </w:p>
    <w:p>
      <w:pPr>
        <w:pStyle w:val="Style11"/>
        <w:keepNext w:val="0"/>
        <w:keepLines w:val="0"/>
        <w:widowControl w:val="0"/>
        <w:numPr>
          <w:ilvl w:val="0"/>
          <w:numId w:val="13"/>
        </w:numPr>
        <w:shd w:val="clear" w:color="auto" w:fill="auto"/>
        <w:tabs>
          <w:tab w:pos="718" w:val="left"/>
        </w:tabs>
        <w:bidi w:val="0"/>
        <w:spacing w:before="0"/>
        <w:ind w:left="700" w:right="0" w:hanging="540"/>
        <w:jc w:val="both"/>
      </w:pPr>
      <w:r>
        <w:rPr>
          <w:color w:val="000000"/>
          <w:spacing w:val="0"/>
          <w:w w:val="100"/>
          <w:position w:val="0"/>
          <w:shd w:val="clear" w:color="auto" w:fill="auto"/>
          <w:lang w:val="cs-CZ" w:eastAsia="cs-CZ" w:bidi="cs-CZ"/>
        </w:rPr>
        <w:t>Objednatel je povinen vady díla reklamovat písemně. Dodavatel je povinen reklamaci vyřídit podáním vysvětlení k předmětu reklamace nebo provést opravu vad díla na vlastní náklady nejpozději do 10 dnů od doručení písemné reklamace na vady díla.</w:t>
      </w:r>
    </w:p>
    <w:p>
      <w:pPr>
        <w:pStyle w:val="Style11"/>
        <w:keepNext w:val="0"/>
        <w:keepLines w:val="0"/>
        <w:widowControl w:val="0"/>
        <w:numPr>
          <w:ilvl w:val="0"/>
          <w:numId w:val="13"/>
        </w:numPr>
        <w:shd w:val="clear" w:color="auto" w:fill="auto"/>
        <w:tabs>
          <w:tab w:pos="718" w:val="left"/>
        </w:tabs>
        <w:bidi w:val="0"/>
        <w:spacing w:before="0"/>
        <w:ind w:left="700" w:right="0" w:hanging="540"/>
        <w:jc w:val="both"/>
      </w:pPr>
      <w:r>
        <w:rPr>
          <w:color w:val="000000"/>
          <w:spacing w:val="0"/>
          <w:w w:val="100"/>
          <w:position w:val="0"/>
          <w:shd w:val="clear" w:color="auto" w:fill="auto"/>
          <w:lang w:val="cs-CZ" w:eastAsia="cs-CZ" w:bidi="cs-CZ"/>
        </w:rPr>
        <w:t>Dodavatel prohlašuje, že má uzavřenou pojistnou smlouvu, která kryje rizika spojená s případnými škodami, které by vznikly objednateli či třetím osobám, v důsledku vad díla.</w:t>
      </w:r>
    </w:p>
    <w:p>
      <w:pPr>
        <w:pStyle w:val="Style11"/>
        <w:keepNext w:val="0"/>
        <w:keepLines w:val="0"/>
        <w:widowControl w:val="0"/>
        <w:numPr>
          <w:ilvl w:val="0"/>
          <w:numId w:val="13"/>
        </w:numPr>
        <w:shd w:val="clear" w:color="auto" w:fill="auto"/>
        <w:tabs>
          <w:tab w:pos="718" w:val="left"/>
        </w:tabs>
        <w:bidi w:val="0"/>
        <w:spacing w:before="0" w:after="360" w:line="257" w:lineRule="auto"/>
        <w:ind w:left="700" w:right="0" w:hanging="54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7</w:t>
      </w:r>
    </w:p>
    <w:p>
      <w:pPr>
        <w:pStyle w:val="Style21"/>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Sankce</w:t>
      </w:r>
      <w:bookmarkEnd w:id="16"/>
      <w:bookmarkEnd w:id="17"/>
    </w:p>
    <w:p>
      <w:pPr>
        <w:pStyle w:val="Style11"/>
        <w:keepNext w:val="0"/>
        <w:keepLines w:val="0"/>
        <w:widowControl w:val="0"/>
        <w:numPr>
          <w:ilvl w:val="0"/>
          <w:numId w:val="15"/>
        </w:numPr>
        <w:shd w:val="clear" w:color="auto" w:fill="auto"/>
        <w:tabs>
          <w:tab w:pos="718" w:val="left"/>
        </w:tabs>
        <w:bidi w:val="0"/>
        <w:spacing w:before="0"/>
        <w:ind w:left="700" w:right="0" w:hanging="540"/>
        <w:jc w:val="both"/>
      </w:pPr>
      <w:r>
        <w:rPr>
          <w:color w:val="000000"/>
          <w:spacing w:val="0"/>
          <w:w w:val="100"/>
          <w:position w:val="0"/>
          <w:shd w:val="clear" w:color="auto" w:fill="auto"/>
          <w:lang w:val="cs-CZ" w:eastAsia="cs-CZ" w:bidi="cs-CZ"/>
        </w:rPr>
        <w:t>V případě zjištění neplnění smlouvy je dodavatel povinen uhradit objednateli smluvní pokutu ve výši 0,2 % z celkové ceny díla bez DPH, a to za každý započatý den prodlení.</w:t>
      </w:r>
    </w:p>
    <w:p>
      <w:pPr>
        <w:pStyle w:val="Style11"/>
        <w:keepNext w:val="0"/>
        <w:keepLines w:val="0"/>
        <w:widowControl w:val="0"/>
        <w:numPr>
          <w:ilvl w:val="0"/>
          <w:numId w:val="15"/>
        </w:numPr>
        <w:shd w:val="clear" w:color="auto" w:fill="auto"/>
        <w:tabs>
          <w:tab w:pos="718" w:val="left"/>
        </w:tabs>
        <w:bidi w:val="0"/>
        <w:spacing w:before="0" w:line="257" w:lineRule="auto"/>
        <w:ind w:left="700" w:right="0" w:hanging="540"/>
        <w:jc w:val="both"/>
      </w:pPr>
      <w:r>
        <w:rPr>
          <w:color w:val="000000"/>
          <w:spacing w:val="0"/>
          <w:w w:val="100"/>
          <w:position w:val="0"/>
          <w:shd w:val="clear" w:color="auto" w:fill="auto"/>
          <w:lang w:val="cs-CZ" w:eastAsia="cs-CZ" w:bidi="cs-CZ"/>
        </w:rPr>
        <w:t>V případě prodlení objednatele se zaplacením faktur uhradí objednatel dodavateli smluvní pokutu ve výši 0,2 % z dlužné částky za každý i jen započatý den prodlení.</w:t>
      </w:r>
    </w:p>
    <w:p>
      <w:pPr>
        <w:pStyle w:val="Style11"/>
        <w:keepNext w:val="0"/>
        <w:keepLines w:val="0"/>
        <w:widowControl w:val="0"/>
        <w:numPr>
          <w:ilvl w:val="0"/>
          <w:numId w:val="15"/>
        </w:numPr>
        <w:shd w:val="clear" w:color="auto" w:fill="auto"/>
        <w:tabs>
          <w:tab w:pos="718" w:val="left"/>
        </w:tabs>
        <w:bidi w:val="0"/>
        <w:spacing w:before="0" w:line="259" w:lineRule="auto"/>
        <w:ind w:left="700" w:right="0" w:hanging="540"/>
        <w:jc w:val="both"/>
      </w:pPr>
      <w:r>
        <w:rPr>
          <w:color w:val="000000"/>
          <w:spacing w:val="0"/>
          <w:w w:val="100"/>
          <w:position w:val="0"/>
          <w:shd w:val="clear" w:color="auto" w:fill="auto"/>
          <w:lang w:val="cs-CZ" w:eastAsia="cs-CZ" w:bidi="cs-CZ"/>
        </w:rPr>
        <w:t>Ustanoveními o smluvní pokutě nejsou dotčeny veškeré nároky objednatele na náhradu škody způsobenou dodavatelem.</w:t>
      </w:r>
    </w:p>
    <w:p>
      <w:pPr>
        <w:pStyle w:val="Style11"/>
        <w:keepNext w:val="0"/>
        <w:keepLines w:val="0"/>
        <w:widowControl w:val="0"/>
        <w:numPr>
          <w:ilvl w:val="0"/>
          <w:numId w:val="15"/>
        </w:numPr>
        <w:shd w:val="clear" w:color="auto" w:fill="auto"/>
        <w:tabs>
          <w:tab w:pos="718" w:val="left"/>
        </w:tabs>
        <w:bidi w:val="0"/>
        <w:spacing w:before="0"/>
        <w:ind w:left="0" w:right="0" w:firstLine="140"/>
        <w:jc w:val="left"/>
        <w:sectPr>
          <w:footerReference w:type="default" r:id="rId8"/>
          <w:footnotePr>
            <w:pos w:val="pageBottom"/>
            <w:numFmt w:val="decimal"/>
            <w:numRestart w:val="continuous"/>
          </w:footnotePr>
          <w:type w:val="continuous"/>
          <w:pgSz w:w="11900" w:h="16840"/>
          <w:pgMar w:top="1638" w:left="756" w:right="1032" w:bottom="1584" w:header="1210" w:footer="3" w:gutter="0"/>
          <w:cols w:space="720"/>
          <w:noEndnote/>
          <w:rtlGutter w:val="0"/>
          <w:docGrid w:linePitch="360"/>
        </w:sectPr>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11"/>
        <w:keepNext w:val="0"/>
        <w:keepLines w:val="0"/>
        <w:widowControl w:val="0"/>
        <w:numPr>
          <w:ilvl w:val="0"/>
          <w:numId w:val="15"/>
        </w:numPr>
        <w:shd w:val="clear" w:color="auto" w:fill="auto"/>
        <w:tabs>
          <w:tab w:pos="1056" w:val="left"/>
        </w:tabs>
        <w:bidi w:val="0"/>
        <w:spacing w:before="0" w:line="264" w:lineRule="auto"/>
        <w:ind w:left="1060" w:right="0" w:hanging="540"/>
        <w:jc w:val="both"/>
      </w:pPr>
      <w:r>
        <w:rPr>
          <w:color w:val="000000"/>
          <w:spacing w:val="0"/>
          <w:w w:val="100"/>
          <w:position w:val="0"/>
          <w:shd w:val="clear" w:color="auto" w:fill="auto"/>
          <w:lang w:val="cs-CZ" w:eastAsia="cs-CZ" w:bidi="cs-CZ"/>
        </w:rPr>
        <w:t>Pohledávku objednatele na zaplacení smluvní pokuty je objednatel oprávněn započítat s pohledávkou dodavatele na zaplacení ceny.</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8</w:t>
      </w:r>
    </w:p>
    <w:p>
      <w:pPr>
        <w:pStyle w:val="Style21"/>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Ostatní ujednání, závěrečná ustanovení</w:t>
      </w:r>
      <w:bookmarkEnd w:id="18"/>
      <w:bookmarkEnd w:id="19"/>
    </w:p>
    <w:p>
      <w:pPr>
        <w:pStyle w:val="Style11"/>
        <w:keepNext w:val="0"/>
        <w:keepLines w:val="0"/>
        <w:widowControl w:val="0"/>
        <w:numPr>
          <w:ilvl w:val="0"/>
          <w:numId w:val="17"/>
        </w:numPr>
        <w:shd w:val="clear" w:color="auto" w:fill="auto"/>
        <w:tabs>
          <w:tab w:pos="1056" w:val="left"/>
        </w:tabs>
        <w:bidi w:val="0"/>
        <w:spacing w:before="0" w:line="271" w:lineRule="auto"/>
        <w:ind w:left="500" w:right="0" w:firstLine="20"/>
        <w:jc w:val="both"/>
      </w:pPr>
      <w:r>
        <w:rPr>
          <w:color w:val="000000"/>
          <w:spacing w:val="0"/>
          <w:w w:val="100"/>
          <w:position w:val="0"/>
          <w:shd w:val="clear" w:color="auto" w:fill="auto"/>
          <w:lang w:val="cs-CZ" w:eastAsia="cs-CZ" w:bidi="cs-CZ"/>
        </w:rPr>
        <w:t>Tato smlouva je uzavřena na dobu určitou ode dne její účinnosti do dne ukončení předmětu plnění.</w:t>
      </w:r>
    </w:p>
    <w:p>
      <w:pPr>
        <w:pStyle w:val="Style11"/>
        <w:keepNext w:val="0"/>
        <w:keepLines w:val="0"/>
        <w:widowControl w:val="0"/>
        <w:numPr>
          <w:ilvl w:val="0"/>
          <w:numId w:val="17"/>
        </w:numPr>
        <w:shd w:val="clear" w:color="auto" w:fill="auto"/>
        <w:tabs>
          <w:tab w:pos="1056" w:val="left"/>
        </w:tabs>
        <w:bidi w:val="0"/>
        <w:spacing w:before="0"/>
        <w:ind w:left="500" w:right="0" w:firstLine="20"/>
        <w:jc w:val="both"/>
      </w:pPr>
      <w:r>
        <w:rPr>
          <w:color w:val="000000"/>
          <w:spacing w:val="0"/>
          <w:w w:val="100"/>
          <w:position w:val="0"/>
          <w:shd w:val="clear" w:color="auto" w:fill="auto"/>
          <w:lang w:val="cs-CZ" w:eastAsia="cs-CZ" w:bidi="cs-CZ"/>
        </w:rPr>
        <w:t>Dodavatel je oprávněn vypovědět smlouvu s účinností ke konci kalendářního měsíce následujícího po měsíci, v němž byla výpověď doručena objednateli, nevyplyvá-li z výpovědi doba pozdější. Do doby ukončení výpovědní lhůty jsou smluvní strany vázány zněním § 2440 občanského zákoníku.</w:t>
      </w:r>
    </w:p>
    <w:p>
      <w:pPr>
        <w:pStyle w:val="Style11"/>
        <w:keepNext w:val="0"/>
        <w:keepLines w:val="0"/>
        <w:widowControl w:val="0"/>
        <w:numPr>
          <w:ilvl w:val="0"/>
          <w:numId w:val="17"/>
        </w:numPr>
        <w:shd w:val="clear" w:color="auto" w:fill="auto"/>
        <w:tabs>
          <w:tab w:pos="1056" w:val="left"/>
        </w:tabs>
        <w:bidi w:val="0"/>
        <w:spacing w:before="0" w:line="254" w:lineRule="auto"/>
        <w:ind w:left="500" w:right="0" w:firstLine="2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dodavatele uskutečňovat činnosti, ke kterým se zavázal. Jestliže by tímto přerušením činností mohla vzniknout objednateli škoda, je dodavatel povinen na toto nebezpečí upozornit a navrhnout, jaká opatření je třeba učinit. Smlouva může být rovněž zrušena dohodou smluvních stran. Výpověď i dohoda musí být v písemné formě.</w:t>
      </w:r>
    </w:p>
    <w:p>
      <w:pPr>
        <w:pStyle w:val="Style11"/>
        <w:keepNext w:val="0"/>
        <w:keepLines w:val="0"/>
        <w:widowControl w:val="0"/>
        <w:numPr>
          <w:ilvl w:val="0"/>
          <w:numId w:val="17"/>
        </w:numPr>
        <w:shd w:val="clear" w:color="auto" w:fill="auto"/>
        <w:tabs>
          <w:tab w:pos="1056" w:val="left"/>
        </w:tabs>
        <w:bidi w:val="0"/>
        <w:spacing w:before="0" w:line="254" w:lineRule="auto"/>
        <w:ind w:left="500" w:right="0" w:firstLine="2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pPr>
        <w:pStyle w:val="Style11"/>
        <w:keepNext w:val="0"/>
        <w:keepLines w:val="0"/>
        <w:widowControl w:val="0"/>
        <w:numPr>
          <w:ilvl w:val="0"/>
          <w:numId w:val="17"/>
        </w:numPr>
        <w:shd w:val="clear" w:color="auto" w:fill="auto"/>
        <w:tabs>
          <w:tab w:pos="1056" w:val="left"/>
        </w:tabs>
        <w:bidi w:val="0"/>
        <w:spacing w:before="0" w:line="240" w:lineRule="auto"/>
        <w:ind w:left="500" w:right="0" w:firstLine="2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11"/>
        <w:keepNext w:val="0"/>
        <w:keepLines w:val="0"/>
        <w:widowControl w:val="0"/>
        <w:numPr>
          <w:ilvl w:val="0"/>
          <w:numId w:val="17"/>
        </w:numPr>
        <w:shd w:val="clear" w:color="auto" w:fill="auto"/>
        <w:tabs>
          <w:tab w:pos="1056" w:val="left"/>
        </w:tabs>
        <w:bidi w:val="0"/>
        <w:spacing w:before="0"/>
        <w:ind w:left="500" w:right="0" w:firstLine="2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11"/>
        <w:keepNext w:val="0"/>
        <w:keepLines w:val="0"/>
        <w:widowControl w:val="0"/>
        <w:numPr>
          <w:ilvl w:val="0"/>
          <w:numId w:val="17"/>
        </w:numPr>
        <w:shd w:val="clear" w:color="auto" w:fill="auto"/>
        <w:tabs>
          <w:tab w:pos="1056" w:val="left"/>
        </w:tabs>
        <w:bidi w:val="0"/>
        <w:spacing w:before="0" w:line="240" w:lineRule="auto"/>
        <w:ind w:left="500" w:right="0" w:firstLine="20"/>
        <w:jc w:val="both"/>
      </w:pPr>
      <w:r>
        <w:rPr>
          <w:color w:val="000000"/>
          <w:spacing w:val="0"/>
          <w:w w:val="100"/>
          <w:position w:val="0"/>
          <w:shd w:val="clear" w:color="auto" w:fill="auto"/>
          <w:lang w:val="cs-CZ" w:eastAsia="cs-CZ" w:bidi="cs-CZ"/>
        </w:rPr>
        <w:t xml:space="preserve">Smlouva je vyhotovena ve </w:t>
      </w:r>
      <w:r>
        <w:rPr>
          <w:b/>
          <w:bCs/>
          <w:color w:val="000000"/>
          <w:spacing w:val="0"/>
          <w:w w:val="100"/>
          <w:position w:val="0"/>
          <w:shd w:val="clear" w:color="auto" w:fill="auto"/>
          <w:lang w:val="cs-CZ" w:eastAsia="cs-CZ" w:bidi="cs-CZ"/>
        </w:rPr>
        <w:t xml:space="preserve">čtyřech stejnopisech, </w:t>
      </w:r>
      <w:r>
        <w:rPr>
          <w:color w:val="000000"/>
          <w:spacing w:val="0"/>
          <w:w w:val="100"/>
          <w:position w:val="0"/>
          <w:shd w:val="clear" w:color="auto" w:fill="auto"/>
          <w:lang w:val="cs-CZ" w:eastAsia="cs-CZ" w:bidi="cs-CZ"/>
        </w:rPr>
        <w:t xml:space="preserve">z nichž </w:t>
      </w:r>
      <w:r>
        <w:rPr>
          <w:b/>
          <w:bCs/>
          <w:color w:val="000000"/>
          <w:spacing w:val="0"/>
          <w:w w:val="100"/>
          <w:position w:val="0"/>
          <w:shd w:val="clear" w:color="auto" w:fill="auto"/>
          <w:lang w:val="cs-CZ" w:eastAsia="cs-CZ" w:bidi="cs-CZ"/>
        </w:rPr>
        <w:t xml:space="preserve">dva </w:t>
      </w:r>
      <w:r>
        <w:rPr>
          <w:color w:val="000000"/>
          <w:spacing w:val="0"/>
          <w:w w:val="100"/>
          <w:position w:val="0"/>
          <w:shd w:val="clear" w:color="auto" w:fill="auto"/>
          <w:lang w:val="cs-CZ" w:eastAsia="cs-CZ" w:bidi="cs-CZ"/>
        </w:rPr>
        <w:t xml:space="preserve">obdrží objednatel a </w:t>
      </w:r>
      <w:r>
        <w:rPr>
          <w:b/>
          <w:bCs/>
          <w:color w:val="000000"/>
          <w:spacing w:val="0"/>
          <w:w w:val="100"/>
          <w:position w:val="0"/>
          <w:shd w:val="clear" w:color="auto" w:fill="auto"/>
          <w:lang w:val="cs-CZ" w:eastAsia="cs-CZ" w:bidi="cs-CZ"/>
        </w:rPr>
        <w:t xml:space="preserve">dva </w:t>
      </w:r>
      <w:r>
        <w:rPr>
          <w:color w:val="000000"/>
          <w:spacing w:val="0"/>
          <w:w w:val="100"/>
          <w:position w:val="0"/>
          <w:shd w:val="clear" w:color="auto" w:fill="auto"/>
          <w:lang w:val="cs-CZ" w:eastAsia="cs-CZ" w:bidi="cs-CZ"/>
        </w:rPr>
        <w:t>dodavatel.</w:t>
      </w:r>
    </w:p>
    <w:p>
      <w:pPr>
        <w:pStyle w:val="Style11"/>
        <w:keepNext w:val="0"/>
        <w:keepLines w:val="0"/>
        <w:widowControl w:val="0"/>
        <w:numPr>
          <w:ilvl w:val="0"/>
          <w:numId w:val="17"/>
        </w:numPr>
        <w:shd w:val="clear" w:color="auto" w:fill="auto"/>
        <w:tabs>
          <w:tab w:pos="1056" w:val="left"/>
        </w:tabs>
        <w:bidi w:val="0"/>
        <w:spacing w:before="0" w:line="240" w:lineRule="auto"/>
        <w:ind w:left="500" w:right="0" w:firstLine="20"/>
        <w:jc w:val="both"/>
      </w:pPr>
      <w:r>
        <w:rPr>
          <w:color w:val="000000"/>
          <w:spacing w:val="0"/>
          <w:w w:val="100"/>
          <w:position w:val="0"/>
          <w:shd w:val="clear" w:color="auto" w:fill="auto"/>
          <w:lang w:val="cs-CZ" w:eastAsia="cs-CZ" w:bidi="cs-CZ"/>
        </w:rPr>
        <w:t>Tato smlouva nabývá platnosti dnem podpisu smlouvy oprávněnými zástupci obou smluvních stran a účinnosti dnem uveřejnění v informačním systému veřejné správy - Registru smluv. Tuto povinnost splní Objednatel.</w:t>
      </w:r>
    </w:p>
    <w:p>
      <w:pPr>
        <w:pStyle w:val="Style11"/>
        <w:keepNext w:val="0"/>
        <w:keepLines w:val="0"/>
        <w:widowControl w:val="0"/>
        <w:numPr>
          <w:ilvl w:val="0"/>
          <w:numId w:val="17"/>
        </w:numPr>
        <w:shd w:val="clear" w:color="auto" w:fill="auto"/>
        <w:tabs>
          <w:tab w:pos="1056" w:val="left"/>
        </w:tabs>
        <w:bidi w:val="0"/>
        <w:spacing w:before="0" w:after="0" w:line="240" w:lineRule="auto"/>
        <w:ind w:left="500" w:right="0" w:firstLine="20"/>
        <w:jc w:val="both"/>
        <w:sectPr>
          <w:footerReference w:type="default" r:id="rId9"/>
          <w:footnotePr>
            <w:pos w:val="pageBottom"/>
            <w:numFmt w:val="decimal"/>
            <w:numRestart w:val="continuous"/>
          </w:footnotePr>
          <w:pgSz w:w="11900" w:h="16840"/>
          <w:pgMar w:top="1638" w:left="756" w:right="1032" w:bottom="1584" w:header="1210" w:footer="3" w:gutter="0"/>
          <w:pgNumType w:start="2" w:fmt="upperRoman"/>
          <w:cols w:space="720"/>
          <w:noEndnote/>
          <w:rtlGutter w:val="0"/>
          <w:docGrid w:linePitch="360"/>
        </w:sectPr>
      </w:pP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667" w:left="0" w:right="0" w:bottom="1418" w:header="0" w:footer="3" w:gutter="0"/>
          <w:cols w:space="720"/>
          <w:noEndnote/>
          <w:rtlGutter w:val="0"/>
          <w:docGrid w:linePitch="360"/>
        </w:sectPr>
      </w:pPr>
    </w:p>
    <w:p>
      <w:pPr>
        <w:pStyle w:val="Style11"/>
        <w:keepNext w:val="0"/>
        <w:keepLines w:val="0"/>
        <w:framePr w:w="3866" w:h="803" w:wrap="none" w:vAnchor="text" w:hAnchor="page" w:x="1232" w:y="21"/>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Dodavatel:</w:t>
      </w:r>
    </w:p>
    <w:p>
      <w:pPr>
        <w:pStyle w:val="Style30"/>
        <w:keepNext w:val="0"/>
        <w:keepLines w:val="0"/>
        <w:framePr w:w="3866" w:h="803" w:wrap="none" w:vAnchor="text" w:hAnchor="page" w:x="1232" w:y="21"/>
        <w:widowControl w:val="0"/>
        <w:shd w:val="clear" w:color="auto" w:fill="auto"/>
        <w:tabs>
          <w:tab w:pos="1919" w:val="left"/>
        </w:tabs>
        <w:bidi w:val="0"/>
        <w:spacing w:before="0" w:after="0" w:line="240" w:lineRule="auto"/>
        <w:ind w:left="0" w:right="0" w:firstLine="0"/>
        <w:jc w:val="both"/>
        <w:rPr>
          <w:sz w:val="40"/>
          <w:szCs w:val="40"/>
        </w:rPr>
      </w:pPr>
      <w:r>
        <w:rPr>
          <w:rFonts w:ascii="Times New Roman" w:eastAsia="Times New Roman" w:hAnsi="Times New Roman" w:cs="Times New Roman"/>
          <w:smallCaps w:val="0"/>
          <w:color w:val="000000"/>
          <w:spacing w:val="0"/>
          <w:w w:val="100"/>
          <w:position w:val="0"/>
          <w:sz w:val="22"/>
          <w:szCs w:val="22"/>
          <w:shd w:val="clear" w:color="auto" w:fill="auto"/>
          <w:lang w:val="cs-CZ" w:eastAsia="cs-CZ" w:bidi="cs-CZ"/>
        </w:rPr>
        <w:t>V</w:t>
        <w:tab/>
      </w:r>
      <w:r>
        <w:rPr>
          <w:color w:val="000000"/>
          <w:spacing w:val="0"/>
          <w:w w:val="100"/>
          <w:position w:val="0"/>
          <w:sz w:val="15"/>
          <w:szCs w:val="15"/>
          <w:shd w:val="clear" w:color="auto" w:fill="auto"/>
          <w:lang w:val="cs-CZ" w:eastAsia="cs-CZ" w:bidi="cs-CZ"/>
        </w:rPr>
        <w:t xml:space="preserve">Hhp- - </w:t>
      </w:r>
      <w:r>
        <w:rPr>
          <w:color w:val="000000"/>
          <w:spacing w:val="0"/>
          <w:w w:val="100"/>
          <w:position w:val="0"/>
          <w:sz w:val="15"/>
          <w:szCs w:val="15"/>
          <w:shd w:val="clear" w:color="auto" w:fill="auto"/>
          <w:vertAlign w:val="superscript"/>
          <w:lang w:val="cs-CZ" w:eastAsia="cs-CZ" w:bidi="cs-CZ"/>
        </w:rPr>
        <w:t>Z</w:t>
      </w:r>
      <w:r>
        <w:rPr>
          <w:color w:val="000000"/>
          <w:spacing w:val="0"/>
          <w:w w:val="100"/>
          <w:position w:val="0"/>
          <w:sz w:val="15"/>
          <w:szCs w:val="15"/>
          <w:shd w:val="clear" w:color="auto" w:fill="auto"/>
          <w:lang w:val="cs-CZ" w:eastAsia="cs-CZ" w:bidi="cs-CZ"/>
        </w:rPr>
        <w:t xml:space="preserve"> </w:t>
      </w:r>
      <w:r>
        <w:rPr>
          <w:i/>
          <w:iCs/>
          <w:smallCaps w:val="0"/>
          <w:color w:val="000000"/>
          <w:spacing w:val="0"/>
          <w:w w:val="100"/>
          <w:position w:val="0"/>
          <w:sz w:val="40"/>
          <w:szCs w:val="40"/>
          <w:shd w:val="clear" w:color="auto" w:fill="auto"/>
          <w:lang w:val="cs-CZ" w:eastAsia="cs-CZ" w:bidi="cs-CZ"/>
        </w:rPr>
        <w:t>W</w:t>
      </w:r>
    </w:p>
    <w:p>
      <w:pPr>
        <w:pStyle w:val="Style11"/>
        <w:keepNext w:val="0"/>
        <w:keepLines w:val="0"/>
        <w:framePr w:w="1400" w:h="824" w:wrap="none" w:vAnchor="text" w:hAnchor="page" w:x="6088" w:y="3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Objednatel:</w:t>
      </w:r>
    </w:p>
    <w:p>
      <w:pPr>
        <w:pStyle w:val="Style11"/>
        <w:keepNext w:val="0"/>
        <w:keepLines w:val="0"/>
        <w:framePr w:w="1400" w:h="824" w:wrap="none" w:vAnchor="text" w:hAnchor="page" w:x="6088" w:y="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pStyle w:val="Style34"/>
        <w:keepNext/>
        <w:keepLines/>
        <w:framePr w:w="1534" w:h="364" w:wrap="none" w:vAnchor="text" w:hAnchor="page" w:x="7604" w:y="329"/>
        <w:widowControl w:val="0"/>
        <w:shd w:val="clear" w:color="auto" w:fill="auto"/>
        <w:bidi w:val="0"/>
        <w:spacing w:before="0" w:after="0" w:line="240" w:lineRule="auto"/>
        <w:ind w:left="0" w:right="0" w:firstLine="0"/>
        <w:jc w:val="left"/>
      </w:pPr>
      <w:bookmarkStart w:id="20" w:name="bookmark20"/>
      <w:bookmarkStart w:id="21" w:name="bookmark21"/>
      <w:r>
        <w:rPr>
          <w:color w:val="000000"/>
          <w:spacing w:val="0"/>
          <w:position w:val="0"/>
          <w:shd w:val="clear" w:color="auto" w:fill="auto"/>
          <w:lang w:val="cs-CZ" w:eastAsia="cs-CZ" w:bidi="cs-CZ"/>
        </w:rPr>
        <w:t>3 o -08- 2019</w:t>
      </w:r>
      <w:bookmarkEnd w:id="20"/>
      <w:bookmarkEnd w:id="21"/>
    </w:p>
    <w:p>
      <w:pPr>
        <w:widowControl w:val="0"/>
        <w:spacing w:line="360" w:lineRule="exact"/>
      </w:pPr>
    </w:p>
    <w:p>
      <w:pPr>
        <w:widowControl w:val="0"/>
        <w:spacing w:after="492" w:line="1" w:lineRule="exact"/>
      </w:pPr>
    </w:p>
    <w:p>
      <w:pPr>
        <w:widowControl w:val="0"/>
        <w:spacing w:line="1" w:lineRule="exact"/>
        <w:sectPr>
          <w:footnotePr>
            <w:pos w:val="pageBottom"/>
            <w:numFmt w:val="decimal"/>
            <w:numRestart w:val="continuous"/>
          </w:footnotePr>
          <w:type w:val="continuous"/>
          <w:pgSz w:w="11900" w:h="16840"/>
          <w:pgMar w:top="1667" w:left="853" w:right="934" w:bottom="1418"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8" w:after="2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667" w:left="0" w:right="0" w:bottom="166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4722495</wp:posOffset>
                </wp:positionH>
                <wp:positionV relativeFrom="paragraph">
                  <wp:posOffset>12700</wp:posOffset>
                </wp:positionV>
                <wp:extent cx="1275715" cy="194310"/>
                <wp:wrapSquare wrapText="bothSides"/>
                <wp:docPr id="26" name="Shape 26"/>
                <a:graphic xmlns:a="http://schemas.openxmlformats.org/drawingml/2006/main">
                  <a:graphicData uri="http://schemas.microsoft.com/office/word/2010/wordprocessingShape">
                    <wps:wsp>
                      <wps:cNvSpPr txBox="1"/>
                      <wps:spPr>
                        <a:xfrm>
                          <a:ext cx="1275715" cy="1943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Jan Mika, MBA</w:t>
                            </w:r>
                          </w:p>
                        </w:txbxContent>
                      </wps:txbx>
                      <wps:bodyPr wrap="none" lIns="0" tIns="0" rIns="0" bIns="0">
                        <a:noAutoFit/>
                      </wps:bodyPr>
                    </wps:wsp>
                  </a:graphicData>
                </a:graphic>
              </wp:anchor>
            </w:drawing>
          </mc:Choice>
          <mc:Fallback>
            <w:pict>
              <v:shape id="_x0000_s1052" type="#_x0000_t202" style="position:absolute;margin-left:371.85000000000002pt;margin-top:1.pt;width:100.45pt;height:15.300000000000001pt;z-index:-125829375;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Jan Mika, MBA</w:t>
                      </w:r>
                    </w:p>
                  </w:txbxContent>
                </v:textbox>
                <w10:wrap type="square" anchorx="page"/>
              </v:shape>
            </w:pict>
          </mc:Fallback>
        </mc:AlternateContent>
      </w:r>
    </w:p>
    <w:p>
      <w:pPr>
        <w:pStyle w:val="Style11"/>
        <w:keepNext w:val="0"/>
        <w:keepLines w:val="0"/>
        <w:widowControl w:val="0"/>
        <w:shd w:val="clear" w:color="auto" w:fill="auto"/>
        <w:bidi w:val="0"/>
        <w:spacing w:before="0" w:after="0" w:line="257" w:lineRule="auto"/>
        <w:ind w:left="0" w:right="0" w:firstLine="0"/>
        <w:jc w:val="center"/>
      </w:pPr>
      <w:r>
        <w:rPr>
          <w:i/>
          <w:iCs/>
          <w:color w:val="000000"/>
          <w:spacing w:val="0"/>
          <w:w w:val="100"/>
          <w:position w:val="0"/>
          <w:shd w:val="clear" w:color="auto" w:fill="auto"/>
          <w:lang w:val="cs-CZ" w:eastAsia="cs-CZ" w:bidi="cs-CZ"/>
        </w:rPr>
        <w:t>Titul, jméno, příjmem a funkce osoby</w:t>
        <w:br/>
        <w:t>oprávněné jednat za dodavatele</w:t>
      </w:r>
    </w:p>
    <w:sectPr>
      <w:footnotePr>
        <w:pos w:val="pageBottom"/>
        <w:numFmt w:val="decimal"/>
        <w:numRestart w:val="continuous"/>
      </w:footnotePr>
      <w:type w:val="continuous"/>
      <w:pgSz w:w="11900" w:h="16840"/>
      <w:pgMar w:top="1667" w:left="1329" w:right="4365" w:bottom="166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5709285</wp:posOffset>
              </wp:positionH>
              <wp:positionV relativeFrom="page">
                <wp:posOffset>9798685</wp:posOffset>
              </wp:positionV>
              <wp:extent cx="642620" cy="84455"/>
              <wp:wrapNone/>
              <wp:docPr id="1" name="Shape 1"/>
              <a:graphic xmlns:a="http://schemas.openxmlformats.org/drawingml/2006/main">
                <a:graphicData uri="http://schemas.microsoft.com/office/word/2010/wordprocessingShape">
                  <wps:wsp>
                    <wps:cNvSpPr txBox="1"/>
                    <wps:spPr>
                      <a:xfrm>
                        <a:ext cx="642620" cy="8445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9.55000000000001pt;margin-top:771.54999999999995pt;width:50.600000000000001pt;height:6.6500000000000004pt;z-index:-18874406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727710</wp:posOffset>
              </wp:positionH>
              <wp:positionV relativeFrom="page">
                <wp:posOffset>9807575</wp:posOffset>
              </wp:positionV>
              <wp:extent cx="3403600" cy="254000"/>
              <wp:wrapNone/>
              <wp:docPr id="3" name="Shape 3"/>
              <a:graphic xmlns:a="http://schemas.openxmlformats.org/drawingml/2006/main">
                <a:graphicData uri="http://schemas.microsoft.com/office/word/2010/wordprocessingShape">
                  <wps:wsp>
                    <wps:cNvSpPr txBox="1"/>
                    <wps:spPr>
                      <a:xfrm>
                        <a:ext cx="3403600" cy="2540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11. a II. tříd na území Kraje Vysočina pro rok 2019 - okres Třebíč</w:t>
                          </w:r>
                        </w:p>
                      </w:txbxContent>
                    </wps:txbx>
                    <wps:bodyPr wrap="none" lIns="0" tIns="0" rIns="0" bIns="0">
                      <a:spAutoFit/>
                    </wps:bodyPr>
                  </wps:wsp>
                </a:graphicData>
              </a:graphic>
            </wp:anchor>
          </w:drawing>
        </mc:Choice>
        <mc:Fallback>
          <w:pict>
            <v:shape id="_x0000_s1029" type="#_x0000_t202" style="position:absolute;margin-left:57.299999999999997pt;margin-top:772.25pt;width:268.pt;height:20.pt;z-index:-188744061;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11. a II. tříd na území Kraje Vysočina pro rok 2019 - okres Třebíč</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700405</wp:posOffset>
              </wp:positionH>
              <wp:positionV relativeFrom="page">
                <wp:posOffset>9763760</wp:posOffset>
              </wp:positionV>
              <wp:extent cx="6071870" cy="0"/>
              <wp:wrapNone/>
              <wp:docPr id="5" name="Shape 5"/>
              <a:graphic xmlns:a="http://schemas.openxmlformats.org/drawingml/2006/main">
                <a:graphicData uri="http://schemas.microsoft.com/office/word/2010/wordprocessingShape">
                  <wps:wsp>
                    <wps:cNvCnPr/>
                    <wps:spPr>
                      <a:xfrm>
                        <a:ext cx="6071870" cy="0"/>
                      </a:xfrm>
                      <a:prstGeom prst="straightConnector1"/>
                      <a:ln w="12700">
                        <a:solidFill/>
                      </a:ln>
                    </wps:spPr>
                    <wps:bodyPr/>
                  </wps:wsp>
                </a:graphicData>
              </a:graphic>
            </wp:anchor>
          </w:drawing>
        </mc:Choice>
        <mc:Fallback>
          <w:pict>
            <v:shape o:spt="32" o:oned="true" path="m,l21600,21600e" style="position:absolute;margin-left:55.149999999999999pt;margin-top:768.79999999999995pt;width:478.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5831205</wp:posOffset>
              </wp:positionH>
              <wp:positionV relativeFrom="page">
                <wp:posOffset>9750425</wp:posOffset>
              </wp:positionV>
              <wp:extent cx="642620" cy="93980"/>
              <wp:wrapNone/>
              <wp:docPr id="6" name="Shape 6"/>
              <a:graphic xmlns:a="http://schemas.openxmlformats.org/drawingml/2006/main">
                <a:graphicData uri="http://schemas.microsoft.com/office/word/2010/wordprocessingShape">
                  <wps:wsp>
                    <wps:cNvSpPr txBox="1"/>
                    <wps:spPr>
                      <a:xfrm>
                        <a:ext cx="642620" cy="9398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32" type="#_x0000_t202" style="position:absolute;margin-left:459.14999999999998pt;margin-top:767.75pt;width:50.600000000000001pt;height:7.4000000000000004pt;z-index:-188744059;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834390</wp:posOffset>
              </wp:positionH>
              <wp:positionV relativeFrom="page">
                <wp:posOffset>9764395</wp:posOffset>
              </wp:positionV>
              <wp:extent cx="3415030" cy="258445"/>
              <wp:wrapNone/>
              <wp:docPr id="8" name="Shape 8"/>
              <a:graphic xmlns:a="http://schemas.openxmlformats.org/drawingml/2006/main">
                <a:graphicData uri="http://schemas.microsoft.com/office/word/2010/wordprocessingShape">
                  <wps:wsp>
                    <wps:cNvSpPr txBox="1"/>
                    <wps:spPr>
                      <a:xfrm>
                        <a:ext cx="3415030" cy="25844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2019 - okres Třebíč</w:t>
                          </w:r>
                        </w:p>
                      </w:txbxContent>
                    </wps:txbx>
                    <wps:bodyPr wrap="none" lIns="0" tIns="0" rIns="0" bIns="0">
                      <a:spAutoFit/>
                    </wps:bodyPr>
                  </wps:wsp>
                </a:graphicData>
              </a:graphic>
            </wp:anchor>
          </w:drawing>
        </mc:Choice>
        <mc:Fallback>
          <w:pict>
            <v:shape id="_x0000_s1034" type="#_x0000_t202" style="position:absolute;margin-left:65.700000000000003pt;margin-top:768.85000000000002pt;width:268.89999999999998pt;height:20.350000000000001pt;z-index:-188744057;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2019 - okres Třebíč</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813435</wp:posOffset>
              </wp:positionH>
              <wp:positionV relativeFrom="page">
                <wp:posOffset>9719945</wp:posOffset>
              </wp:positionV>
              <wp:extent cx="6085205" cy="0"/>
              <wp:wrapNone/>
              <wp:docPr id="10" name="Shape 10"/>
              <a:graphic xmlns:a="http://schemas.openxmlformats.org/drawingml/2006/main">
                <a:graphicData uri="http://schemas.microsoft.com/office/word/2010/wordprocessingShape">
                  <wps:wsp>
                    <wps:cNvCnPr/>
                    <wps:spPr>
                      <a:xfrm>
                        <a:ext cx="6085205" cy="0"/>
                      </a:xfrm>
                      <a:prstGeom prst="straightConnector1"/>
                      <a:ln w="12700">
                        <a:solidFill/>
                      </a:ln>
                    </wps:spPr>
                    <wps:bodyPr/>
                  </wps:wsp>
                </a:graphicData>
              </a:graphic>
            </wp:anchor>
          </w:drawing>
        </mc:Choice>
        <mc:Fallback>
          <w:pict>
            <v:shape o:spt="32" o:oned="true" path="m,l21600,21600e" style="position:absolute;margin-left:64.049999999999997pt;margin-top:765.35000000000002pt;width:479.14999999999998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854710</wp:posOffset>
              </wp:positionH>
              <wp:positionV relativeFrom="page">
                <wp:posOffset>9733915</wp:posOffset>
              </wp:positionV>
              <wp:extent cx="3387725" cy="258445"/>
              <wp:wrapNone/>
              <wp:docPr id="11" name="Shape 11"/>
              <a:graphic xmlns:a="http://schemas.openxmlformats.org/drawingml/2006/main">
                <a:graphicData uri="http://schemas.microsoft.com/office/word/2010/wordprocessingShape">
                  <wps:wsp>
                    <wps:cNvSpPr txBox="1"/>
                    <wps:spPr>
                      <a:xfrm>
                        <a:ext cx="3387725" cy="25844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2019 - okres Třebíč</w:t>
                          </w:r>
                        </w:p>
                      </w:txbxContent>
                    </wps:txbx>
                    <wps:bodyPr wrap="none" lIns="0" tIns="0" rIns="0" bIns="0">
                      <a:spAutoFit/>
                    </wps:bodyPr>
                  </wps:wsp>
                </a:graphicData>
              </a:graphic>
            </wp:anchor>
          </w:drawing>
        </mc:Choice>
        <mc:Fallback>
          <w:pict>
            <v:shape id="_x0000_s1037" type="#_x0000_t202" style="position:absolute;margin-left:67.299999999999997pt;margin-top:766.45000000000005pt;width:266.75pt;height:20.350000000000001pt;z-index:-188744055;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2019 - okres Třebíč</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5819775</wp:posOffset>
              </wp:positionH>
              <wp:positionV relativeFrom="page">
                <wp:posOffset>9742805</wp:posOffset>
              </wp:positionV>
              <wp:extent cx="640080" cy="84455"/>
              <wp:wrapNone/>
              <wp:docPr id="13" name="Shape 13"/>
              <a:graphic xmlns:a="http://schemas.openxmlformats.org/drawingml/2006/main">
                <a:graphicData uri="http://schemas.microsoft.com/office/word/2010/wordprocessingShape">
                  <wps:wsp>
                    <wps:cNvSpPr txBox="1"/>
                    <wps:spPr>
                      <a:xfrm>
                        <a:ext cx="640080" cy="8445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39" type="#_x0000_t202" style="position:absolute;margin-left:458.25pt;margin-top:767.14999999999998pt;width:50.399999999999999pt;height:6.6500000000000004pt;z-index:-18874405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829945</wp:posOffset>
              </wp:positionH>
              <wp:positionV relativeFrom="page">
                <wp:posOffset>9697720</wp:posOffset>
              </wp:positionV>
              <wp:extent cx="6049010" cy="0"/>
              <wp:wrapNone/>
              <wp:docPr id="15" name="Shape 15"/>
              <a:graphic xmlns:a="http://schemas.openxmlformats.org/drawingml/2006/main">
                <a:graphicData uri="http://schemas.microsoft.com/office/word/2010/wordprocessingShape">
                  <wps:wsp>
                    <wps:cNvCnPr/>
                    <wps:spPr>
                      <a:xfrm>
                        <a:ext cx="6049010" cy="0"/>
                      </a:xfrm>
                      <a:prstGeom prst="straightConnector1"/>
                      <a:ln w="12700">
                        <a:solidFill/>
                      </a:ln>
                    </wps:spPr>
                    <wps:bodyPr/>
                  </wps:wsp>
                </a:graphicData>
              </a:graphic>
            </wp:anchor>
          </w:drawing>
        </mc:Choice>
        <mc:Fallback>
          <w:pict>
            <v:shape o:spt="32" o:oned="true" path="m,l21600,21600e" style="position:absolute;margin-left:65.349999999999994pt;margin-top:763.60000000000002pt;width:476.30000000000001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598805</wp:posOffset>
              </wp:positionH>
              <wp:positionV relativeFrom="page">
                <wp:posOffset>9750425</wp:posOffset>
              </wp:positionV>
              <wp:extent cx="3392170" cy="255905"/>
              <wp:wrapNone/>
              <wp:docPr id="16" name="Shape 16"/>
              <a:graphic xmlns:a="http://schemas.openxmlformats.org/drawingml/2006/main">
                <a:graphicData uri="http://schemas.microsoft.com/office/word/2010/wordprocessingShape">
                  <wps:wsp>
                    <wps:cNvSpPr txBox="1"/>
                    <wps:spPr>
                      <a:xfrm>
                        <a:ext cx="3392170" cy="25590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II. a II. tříd na </w:t>
                          </w:r>
                          <w:r>
                            <w:rPr>
                              <w:i/>
                              <w:iCs/>
                              <w:color w:val="000000"/>
                              <w:spacing w:val="0"/>
                              <w:w w:val="100"/>
                              <w:position w:val="0"/>
                              <w:sz w:val="19"/>
                              <w:szCs w:val="19"/>
                              <w:shd w:val="clear" w:color="auto" w:fill="auto"/>
                              <w:lang w:val="cs-CZ" w:eastAsia="cs-CZ" w:bidi="cs-CZ"/>
                            </w:rPr>
                            <w:t>území</w:t>
                          </w:r>
                          <w:r>
                            <w:rPr>
                              <w:color w:val="000000"/>
                              <w:spacing w:val="0"/>
                              <w:w w:val="100"/>
                              <w:position w:val="0"/>
                              <w:sz w:val="19"/>
                              <w:szCs w:val="19"/>
                              <w:shd w:val="clear" w:color="auto" w:fill="auto"/>
                              <w:lang w:val="cs-CZ" w:eastAsia="cs-CZ" w:bidi="cs-CZ"/>
                            </w:rPr>
                            <w:t xml:space="preserve"> Kraje Vysočina pro rok 2019 - okres Třebíč</w:t>
                          </w:r>
                        </w:p>
                      </w:txbxContent>
                    </wps:txbx>
                    <wps:bodyPr wrap="none" lIns="0" tIns="0" rIns="0" bIns="0">
                      <a:spAutoFit/>
                    </wps:bodyPr>
                  </wps:wsp>
                </a:graphicData>
              </a:graphic>
            </wp:anchor>
          </w:drawing>
        </mc:Choice>
        <mc:Fallback>
          <w:pict>
            <v:shape id="_x0000_s1042" type="#_x0000_t202" style="position:absolute;margin-left:47.149999999999999pt;margin-top:767.75pt;width:267.10000000000002pt;height:20.149999999999999pt;z-index:-188744051;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II. a II. tříd na </w:t>
                    </w:r>
                    <w:r>
                      <w:rPr>
                        <w:i/>
                        <w:iCs/>
                        <w:color w:val="000000"/>
                        <w:spacing w:val="0"/>
                        <w:w w:val="100"/>
                        <w:position w:val="0"/>
                        <w:sz w:val="19"/>
                        <w:szCs w:val="19"/>
                        <w:shd w:val="clear" w:color="auto" w:fill="auto"/>
                        <w:lang w:val="cs-CZ" w:eastAsia="cs-CZ" w:bidi="cs-CZ"/>
                      </w:rPr>
                      <w:t>území</w:t>
                    </w:r>
                    <w:r>
                      <w:rPr>
                        <w:color w:val="000000"/>
                        <w:spacing w:val="0"/>
                        <w:w w:val="100"/>
                        <w:position w:val="0"/>
                        <w:sz w:val="19"/>
                        <w:szCs w:val="19"/>
                        <w:shd w:val="clear" w:color="auto" w:fill="auto"/>
                        <w:lang w:val="cs-CZ" w:eastAsia="cs-CZ" w:bidi="cs-CZ"/>
                      </w:rPr>
                      <w:t xml:space="preserve"> Kraje Vysočina pro rok 2019 - okres Třebíč</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5563870</wp:posOffset>
              </wp:positionH>
              <wp:positionV relativeFrom="page">
                <wp:posOffset>9755505</wp:posOffset>
              </wp:positionV>
              <wp:extent cx="640080" cy="91440"/>
              <wp:wrapNone/>
              <wp:docPr id="18" name="Shape 18"/>
              <a:graphic xmlns:a="http://schemas.openxmlformats.org/drawingml/2006/main">
                <a:graphicData uri="http://schemas.microsoft.com/office/word/2010/wordprocessingShape">
                  <wps:wsp>
                    <wps:cNvSpPr txBox="1"/>
                    <wps:spPr>
                      <a:xfrm>
                        <a:ext cx="640080" cy="9144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44" type="#_x0000_t202" style="position:absolute;margin-left:438.10000000000002pt;margin-top:768.14999999999998pt;width:50.399999999999999pt;height:7.2000000000000002pt;z-index:-188744049;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582930</wp:posOffset>
              </wp:positionH>
              <wp:positionV relativeFrom="page">
                <wp:posOffset>9714865</wp:posOffset>
              </wp:positionV>
              <wp:extent cx="6049010" cy="0"/>
              <wp:wrapNone/>
              <wp:docPr id="20" name="Shape 20"/>
              <a:graphic xmlns:a="http://schemas.openxmlformats.org/drawingml/2006/main">
                <a:graphicData uri="http://schemas.microsoft.com/office/word/2010/wordprocessingShape">
                  <wps:wsp>
                    <wps:cNvCnPr/>
                    <wps:spPr>
                      <a:xfrm>
                        <a:ext cx="6049010" cy="0"/>
                      </a:xfrm>
                      <a:prstGeom prst="straightConnector1"/>
                      <a:ln w="12700">
                        <a:solidFill/>
                      </a:ln>
                    </wps:spPr>
                    <wps:bodyPr/>
                  </wps:wsp>
                </a:graphicData>
              </a:graphic>
            </wp:anchor>
          </w:drawing>
        </mc:Choice>
        <mc:Fallback>
          <w:pict>
            <v:shape o:spt="32" o:oned="true" path="m,l21600,21600e" style="position:absolute;margin-left:45.899999999999999pt;margin-top:764.95000000000005pt;width:476.30000000000001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813435</wp:posOffset>
              </wp:positionH>
              <wp:positionV relativeFrom="page">
                <wp:posOffset>9750425</wp:posOffset>
              </wp:positionV>
              <wp:extent cx="3406140" cy="255905"/>
              <wp:wrapNone/>
              <wp:docPr id="21" name="Shape 21"/>
              <a:graphic xmlns:a="http://schemas.openxmlformats.org/drawingml/2006/main">
                <a:graphicData uri="http://schemas.microsoft.com/office/word/2010/wordprocessingShape">
                  <wps:wsp>
                    <wps:cNvSpPr txBox="1"/>
                    <wps:spPr>
                      <a:xfrm>
                        <a:ext cx="3406140" cy="25590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2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a II. tříd na území Kraje Vysočina pro rok 2019 - okres Třebíč</w:t>
                          </w:r>
                        </w:p>
                      </w:txbxContent>
                    </wps:txbx>
                    <wps:bodyPr wrap="none" lIns="0" tIns="0" rIns="0" bIns="0">
                      <a:spAutoFit/>
                    </wps:bodyPr>
                  </wps:wsp>
                </a:graphicData>
              </a:graphic>
            </wp:anchor>
          </w:drawing>
        </mc:Choice>
        <mc:Fallback>
          <w:pict>
            <v:shape id="_x0000_s1047" type="#_x0000_t202" style="position:absolute;margin-left:64.049999999999997pt;margin-top:767.75pt;width:268.19999999999999pt;height:20.149999999999999pt;z-index:-188744047;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2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a II. tříd na území Kraje Vysočina pro rok 2019 - okres Třebíč</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6720840</wp:posOffset>
              </wp:positionH>
              <wp:positionV relativeFrom="page">
                <wp:posOffset>9796145</wp:posOffset>
              </wp:positionV>
              <wp:extent cx="36830" cy="77470"/>
              <wp:wrapNone/>
              <wp:docPr id="23" name="Shape 23"/>
              <a:graphic xmlns:a="http://schemas.openxmlformats.org/drawingml/2006/main">
                <a:graphicData uri="http://schemas.microsoft.com/office/word/2010/wordprocessingShape">
                  <wps:wsp>
                    <wps:cNvSpPr txBox="1"/>
                    <wps:spPr>
                      <a:xfrm>
                        <a:ext cx="36830" cy="7747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49" type="#_x0000_t202" style="position:absolute;margin-left:529.20000000000005pt;margin-top:771.35000000000002pt;width:2.8999999999999999pt;height:6.0999999999999996pt;z-index:-188744045;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790575</wp:posOffset>
              </wp:positionH>
              <wp:positionV relativeFrom="page">
                <wp:posOffset>9714865</wp:posOffset>
              </wp:positionV>
              <wp:extent cx="4270375" cy="0"/>
              <wp:wrapNone/>
              <wp:docPr id="25" name="Shape 25"/>
              <a:graphic xmlns:a="http://schemas.openxmlformats.org/drawingml/2006/main">
                <a:graphicData uri="http://schemas.microsoft.com/office/word/2010/wordprocessingShape">
                  <wps:wsp>
                    <wps:cNvCnPr/>
                    <wps:spPr>
                      <a:xfrm>
                        <a:ext cx="4270375" cy="0"/>
                      </a:xfrm>
                      <a:prstGeom prst="straightConnector1"/>
                      <a:ln w="12700">
                        <a:solidFill/>
                      </a:ln>
                    </wps:spPr>
                    <wps:bodyPr/>
                  </wps:wsp>
                </a:graphicData>
              </a:graphic>
            </wp:anchor>
          </w:drawing>
        </mc:Choice>
        <mc:Fallback>
          <w:pict>
            <v:shape o:spt="32" o:oned="true" path="m,l21600,21600e" style="position:absolute;margin-left:62.25pt;margin-top:764.95000000000005pt;width:336.25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7.%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Times New Roman" w:eastAsia="Times New Roman" w:hAnsi="Times New Roman" w:cs="Times New Roman"/>
      <w:b/>
      <w:bCs/>
      <w:i w:val="0"/>
      <w:iCs w:val="0"/>
      <w:smallCaps w:val="0"/>
      <w:strike w:val="0"/>
      <w:sz w:val="38"/>
      <w:szCs w:val="38"/>
      <w:u w:val="none"/>
    </w:rPr>
  </w:style>
  <w:style w:type="character" w:customStyle="1" w:styleId="CharStyle5">
    <w:name w:val="Základní text (2)_"/>
    <w:basedOn w:val="DefaultParagraphFont"/>
    <w:link w:val="Style4"/>
    <w:rPr>
      <w:rFonts w:ascii="Arial" w:eastAsia="Arial" w:hAnsi="Arial" w:cs="Arial"/>
      <w:b w:val="0"/>
      <w:bCs w:val="0"/>
      <w:i w:val="0"/>
      <w:iCs w:val="0"/>
      <w:smallCaps w:val="0"/>
      <w:strike w:val="0"/>
      <w:sz w:val="13"/>
      <w:szCs w:val="13"/>
      <w:u w:val="none"/>
    </w:rPr>
  </w:style>
  <w:style w:type="character" w:customStyle="1" w:styleId="CharStyle7">
    <w:name w:val="Základní text (3)_"/>
    <w:basedOn w:val="DefaultParagraphFont"/>
    <w:link w:val="Style6"/>
    <w:rPr>
      <w:rFonts w:ascii="Tahoma" w:eastAsia="Tahoma" w:hAnsi="Tahoma" w:cs="Tahoma"/>
      <w:b w:val="0"/>
      <w:bCs w:val="0"/>
      <w:i w:val="0"/>
      <w:iCs w:val="0"/>
      <w:smallCaps/>
      <w:strike w:val="0"/>
      <w:sz w:val="18"/>
      <w:szCs w:val="18"/>
      <w:u w:val="none"/>
    </w:rPr>
  </w:style>
  <w:style w:type="character" w:customStyle="1" w:styleId="CharStyle10">
    <w:name w:val="Nadpis #2_"/>
    <w:basedOn w:val="DefaultParagraphFont"/>
    <w:link w:val="Style9"/>
    <w:rPr>
      <w:rFonts w:ascii="Times New Roman" w:eastAsia="Times New Roman" w:hAnsi="Times New Roman" w:cs="Times New Roman"/>
      <w:b/>
      <w:bCs/>
      <w:i w:val="0"/>
      <w:iCs w:val="0"/>
      <w:smallCaps w:val="0"/>
      <w:strike w:val="0"/>
      <w:sz w:val="34"/>
      <w:szCs w:val="34"/>
      <w:u w:val="none"/>
    </w:rPr>
  </w:style>
  <w:style w:type="character" w:customStyle="1" w:styleId="CharStyle12">
    <w:name w:val="Základní text_"/>
    <w:basedOn w:val="DefaultParagraphFont"/>
    <w:link w:val="Style11"/>
    <w:rPr>
      <w:rFonts w:ascii="Times New Roman" w:eastAsia="Times New Roman" w:hAnsi="Times New Roman" w:cs="Times New Roman"/>
      <w:b w:val="0"/>
      <w:bCs w:val="0"/>
      <w:i w:val="0"/>
      <w:iCs w:val="0"/>
      <w:smallCaps w:val="0"/>
      <w:strike w:val="0"/>
      <w:sz w:val="22"/>
      <w:szCs w:val="22"/>
      <w:u w:val="none"/>
    </w:rPr>
  </w:style>
  <w:style w:type="character" w:customStyle="1" w:styleId="CharStyle15">
    <w:name w:val="Jiné_"/>
    <w:basedOn w:val="DefaultParagraphFont"/>
    <w:link w:val="Style14"/>
    <w:rPr>
      <w:rFonts w:ascii="Times New Roman" w:eastAsia="Times New Roman" w:hAnsi="Times New Roman" w:cs="Times New Roman"/>
      <w:b w:val="0"/>
      <w:bCs w:val="0"/>
      <w:i w:val="0"/>
      <w:iCs w:val="0"/>
      <w:smallCaps w:val="0"/>
      <w:strike w:val="0"/>
      <w:sz w:val="22"/>
      <w:szCs w:val="22"/>
      <w:u w:val="none"/>
    </w:rPr>
  </w:style>
  <w:style w:type="character" w:customStyle="1" w:styleId="CharStyle18">
    <w:name w:val="Titulek tabulky_"/>
    <w:basedOn w:val="DefaultParagraphFont"/>
    <w:link w:val="Style17"/>
    <w:rPr>
      <w:rFonts w:ascii="Times New Roman" w:eastAsia="Times New Roman" w:hAnsi="Times New Roman" w:cs="Times New Roman"/>
      <w:b w:val="0"/>
      <w:bCs w:val="0"/>
      <w:i w:val="0"/>
      <w:iCs w:val="0"/>
      <w:smallCaps w:val="0"/>
      <w:strike w:val="0"/>
      <w:sz w:val="22"/>
      <w:szCs w:val="22"/>
      <w:u w:val="none"/>
    </w:rPr>
  </w:style>
  <w:style w:type="character" w:customStyle="1" w:styleId="CharStyle22">
    <w:name w:val="Nadpis #4_"/>
    <w:basedOn w:val="DefaultParagraphFont"/>
    <w:link w:val="Style21"/>
    <w:rPr>
      <w:rFonts w:ascii="Times New Roman" w:eastAsia="Times New Roman" w:hAnsi="Times New Roman" w:cs="Times New Roman"/>
      <w:b/>
      <w:bCs/>
      <w:i w:val="0"/>
      <w:iCs w:val="0"/>
      <w:smallCaps w:val="0"/>
      <w:strike w:val="0"/>
      <w:sz w:val="22"/>
      <w:szCs w:val="22"/>
      <w:u w:val="none"/>
    </w:rPr>
  </w:style>
  <w:style w:type="character" w:customStyle="1" w:styleId="CharStyle25">
    <w:name w:val="Záhlaví nebo zápatí (2)_"/>
    <w:basedOn w:val="DefaultParagraphFont"/>
    <w:link w:val="Style24"/>
    <w:rPr>
      <w:rFonts w:ascii="Times New Roman" w:eastAsia="Times New Roman" w:hAnsi="Times New Roman" w:cs="Times New Roman"/>
      <w:b w:val="0"/>
      <w:bCs w:val="0"/>
      <w:i w:val="0"/>
      <w:iCs w:val="0"/>
      <w:smallCaps w:val="0"/>
      <w:strike w:val="0"/>
      <w:sz w:val="20"/>
      <w:szCs w:val="20"/>
      <w:u w:val="none"/>
    </w:rPr>
  </w:style>
  <w:style w:type="character" w:customStyle="1" w:styleId="CharStyle31">
    <w:name w:val="Základní text (4)_"/>
    <w:basedOn w:val="DefaultParagraphFont"/>
    <w:link w:val="Style30"/>
    <w:rPr>
      <w:rFonts w:ascii="Arial" w:eastAsia="Arial" w:hAnsi="Arial" w:cs="Arial"/>
      <w:b w:val="0"/>
      <w:bCs w:val="0"/>
      <w:i w:val="0"/>
      <w:iCs w:val="0"/>
      <w:smallCaps/>
      <w:strike w:val="0"/>
      <w:sz w:val="15"/>
      <w:szCs w:val="15"/>
      <w:u w:val="none"/>
    </w:rPr>
  </w:style>
  <w:style w:type="character" w:customStyle="1" w:styleId="CharStyle35">
    <w:name w:val="Nadpis #3_"/>
    <w:basedOn w:val="DefaultParagraphFont"/>
    <w:link w:val="Style34"/>
    <w:rPr>
      <w:rFonts w:ascii="Arial" w:eastAsia="Arial" w:hAnsi="Arial" w:cs="Arial"/>
      <w:b w:val="0"/>
      <w:bCs w:val="0"/>
      <w:i w:val="0"/>
      <w:iCs w:val="0"/>
      <w:smallCaps w:val="0"/>
      <w:strike w:val="0"/>
      <w:w w:val="70"/>
      <w:sz w:val="28"/>
      <w:szCs w:val="28"/>
      <w:u w:val="none"/>
    </w:rPr>
  </w:style>
  <w:style w:type="paragraph" w:customStyle="1" w:styleId="Style2">
    <w:name w:val="Nadpis #1"/>
    <w:basedOn w:val="Normal"/>
    <w:link w:val="CharStyle3"/>
    <w:pPr>
      <w:widowControl w:val="0"/>
      <w:shd w:val="clear" w:color="auto" w:fill="FFFFFF"/>
      <w:outlineLvl w:val="0"/>
    </w:pPr>
    <w:rPr>
      <w:rFonts w:ascii="Times New Roman" w:eastAsia="Times New Roman" w:hAnsi="Times New Roman" w:cs="Times New Roman"/>
      <w:b/>
      <w:bCs/>
      <w:i w:val="0"/>
      <w:iCs w:val="0"/>
      <w:smallCaps w:val="0"/>
      <w:strike w:val="0"/>
      <w:sz w:val="38"/>
      <w:szCs w:val="38"/>
      <w:u w:val="none"/>
    </w:rPr>
  </w:style>
  <w:style w:type="paragraph" w:customStyle="1" w:styleId="Style4">
    <w:name w:val="Základní text (2)"/>
    <w:basedOn w:val="Normal"/>
    <w:link w:val="CharStyle5"/>
    <w:pPr>
      <w:widowControl w:val="0"/>
      <w:shd w:val="clear" w:color="auto" w:fill="FFFFFF"/>
      <w:spacing w:line="418" w:lineRule="auto"/>
    </w:pPr>
    <w:rPr>
      <w:rFonts w:ascii="Arial" w:eastAsia="Arial" w:hAnsi="Arial" w:cs="Arial"/>
      <w:b w:val="0"/>
      <w:bCs w:val="0"/>
      <w:i w:val="0"/>
      <w:iCs w:val="0"/>
      <w:smallCaps w:val="0"/>
      <w:strike w:val="0"/>
      <w:sz w:val="13"/>
      <w:szCs w:val="13"/>
      <w:u w:val="none"/>
    </w:rPr>
  </w:style>
  <w:style w:type="paragraph" w:customStyle="1" w:styleId="Style6">
    <w:name w:val="Základní text (3)"/>
    <w:basedOn w:val="Normal"/>
    <w:link w:val="CharStyle7"/>
    <w:pPr>
      <w:widowControl w:val="0"/>
      <w:shd w:val="clear" w:color="auto" w:fill="FFFFFF"/>
      <w:spacing w:after="280"/>
    </w:pPr>
    <w:rPr>
      <w:rFonts w:ascii="Tahoma" w:eastAsia="Tahoma" w:hAnsi="Tahoma" w:cs="Tahoma"/>
      <w:b w:val="0"/>
      <w:bCs w:val="0"/>
      <w:i w:val="0"/>
      <w:iCs w:val="0"/>
      <w:smallCaps/>
      <w:strike w:val="0"/>
      <w:sz w:val="18"/>
      <w:szCs w:val="18"/>
      <w:u w:val="none"/>
    </w:rPr>
  </w:style>
  <w:style w:type="paragraph" w:customStyle="1" w:styleId="Style9">
    <w:name w:val="Nadpis #2"/>
    <w:basedOn w:val="Normal"/>
    <w:link w:val="CharStyle10"/>
    <w:pPr>
      <w:widowControl w:val="0"/>
      <w:shd w:val="clear" w:color="auto" w:fill="FFFFFF"/>
      <w:spacing w:after="200"/>
      <w:ind w:left="360" w:firstLine="320"/>
      <w:outlineLvl w:val="1"/>
    </w:pPr>
    <w:rPr>
      <w:rFonts w:ascii="Times New Roman" w:eastAsia="Times New Roman" w:hAnsi="Times New Roman" w:cs="Times New Roman"/>
      <w:b/>
      <w:bCs/>
      <w:i w:val="0"/>
      <w:iCs w:val="0"/>
      <w:smallCaps w:val="0"/>
      <w:strike w:val="0"/>
      <w:sz w:val="34"/>
      <w:szCs w:val="34"/>
      <w:u w:val="none"/>
    </w:rPr>
  </w:style>
  <w:style w:type="paragraph" w:customStyle="1" w:styleId="Style11">
    <w:name w:val="Základní text"/>
    <w:basedOn w:val="Normal"/>
    <w:link w:val="CharStyle12"/>
    <w:pPr>
      <w:widowControl w:val="0"/>
      <w:shd w:val="clear" w:color="auto" w:fill="FFFFFF"/>
      <w:spacing w:after="10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4">
    <w:name w:val="Jiné"/>
    <w:basedOn w:val="Normal"/>
    <w:link w:val="CharStyle15"/>
    <w:pPr>
      <w:widowControl w:val="0"/>
      <w:shd w:val="clear" w:color="auto" w:fill="FFFFFF"/>
      <w:spacing w:after="10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7">
    <w:name w:val="Titulek tabulky"/>
    <w:basedOn w:val="Normal"/>
    <w:link w:val="CharStyle18"/>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21">
    <w:name w:val="Nadpis #4"/>
    <w:basedOn w:val="Normal"/>
    <w:link w:val="CharStyle22"/>
    <w:pPr>
      <w:widowControl w:val="0"/>
      <w:shd w:val="clear" w:color="auto" w:fill="FFFFFF"/>
      <w:spacing w:after="100" w:line="252" w:lineRule="auto"/>
      <w:jc w:val="center"/>
      <w:outlineLvl w:val="3"/>
    </w:pPr>
    <w:rPr>
      <w:rFonts w:ascii="Times New Roman" w:eastAsia="Times New Roman" w:hAnsi="Times New Roman" w:cs="Times New Roman"/>
      <w:b/>
      <w:bCs/>
      <w:i w:val="0"/>
      <w:iCs w:val="0"/>
      <w:smallCaps w:val="0"/>
      <w:strike w:val="0"/>
      <w:sz w:val="22"/>
      <w:szCs w:val="22"/>
      <w:u w:val="none"/>
    </w:rPr>
  </w:style>
  <w:style w:type="paragraph" w:customStyle="1" w:styleId="Style24">
    <w:name w:val="Záhlaví nebo zápatí (2)"/>
    <w:basedOn w:val="Normal"/>
    <w:link w:val="CharStyle2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30">
    <w:name w:val="Základní text (4)"/>
    <w:basedOn w:val="Normal"/>
    <w:link w:val="CharStyle31"/>
    <w:pPr>
      <w:widowControl w:val="0"/>
      <w:shd w:val="clear" w:color="auto" w:fill="FFFFFF"/>
    </w:pPr>
    <w:rPr>
      <w:rFonts w:ascii="Arial" w:eastAsia="Arial" w:hAnsi="Arial" w:cs="Arial"/>
      <w:b w:val="0"/>
      <w:bCs w:val="0"/>
      <w:i w:val="0"/>
      <w:iCs w:val="0"/>
      <w:smallCaps/>
      <w:strike w:val="0"/>
      <w:sz w:val="15"/>
      <w:szCs w:val="15"/>
      <w:u w:val="none"/>
    </w:rPr>
  </w:style>
  <w:style w:type="paragraph" w:customStyle="1" w:styleId="Style34">
    <w:name w:val="Nadpis #3"/>
    <w:basedOn w:val="Normal"/>
    <w:link w:val="CharStyle35"/>
    <w:pPr>
      <w:widowControl w:val="0"/>
      <w:shd w:val="clear" w:color="auto" w:fill="FFFFFF"/>
      <w:outlineLvl w:val="2"/>
    </w:pPr>
    <w:rPr>
      <w:rFonts w:ascii="Arial" w:eastAsia="Arial" w:hAnsi="Arial" w:cs="Arial"/>
      <w:b w:val="0"/>
      <w:bCs w:val="0"/>
      <w:i w:val="0"/>
      <w:iCs w:val="0"/>
      <w:smallCaps w:val="0"/>
      <w:strike w:val="0"/>
      <w:w w:val="7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s>
</file>