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adpis1IM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jc w:val="right"/>
        <w:outlineLvl w:val="0"/>
        <w:rPr>
          <w:rFonts w:ascii="Arial" w:hAnsi="Arial" w:cs="Arial"/>
          <w:sz w:val="22"/>
          <w:szCs w:val="22"/>
        </w:rPr>
      </w:pPr>
      <w:r>
        <w:rPr>
          <w:rFonts w:ascii="Arial" w:hAnsi="Arial" w:cs="Arial"/>
          <w:sz w:val="22"/>
          <w:szCs w:val="22"/>
        </w:rPr>
        <w:t>Příloha č. 1 ZD</w:t>
      </w:r>
    </w:p>
    <w:p>
      <w:pPr>
        <w:pStyle w:val="Nadpis1IM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jc w:val="right"/>
        <w:outlineLvl w:val="0"/>
        <w:rPr>
          <w:rFonts w:ascii="Arial" w:hAnsi="Arial" w:cs="Arial"/>
          <w:sz w:val="22"/>
          <w:szCs w:val="22"/>
        </w:rPr>
      </w:pPr>
    </w:p>
    <w:p>
      <w:pPr>
        <w:jc w:val="right"/>
        <w:rPr>
          <w:highlight w:val="yellow"/>
        </w:rPr>
      </w:pPr>
      <w:proofErr w:type="gramStart"/>
      <w:r>
        <w:t>Č.j.</w:t>
      </w:r>
      <w:proofErr w:type="gramEnd"/>
      <w:r>
        <w:t>: 4948/SFDI/310163/10580/2019</w:t>
      </w:r>
    </w:p>
    <w:p>
      <w:pPr>
        <w:pStyle w:val="Nadpis1IM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jc w:val="right"/>
        <w:rPr>
          <w:rFonts w:ascii="Arial" w:hAnsi="Arial" w:cs="Arial"/>
          <w:caps/>
          <w:sz w:val="22"/>
          <w:szCs w:val="22"/>
        </w:rPr>
      </w:pPr>
      <w:r>
        <w:rPr>
          <w:rFonts w:ascii="Arial" w:hAnsi="Arial" w:cs="Arial"/>
          <w:caps/>
          <w:sz w:val="22"/>
          <w:szCs w:val="22"/>
        </w:rPr>
        <w:t>CES SFDI:</w:t>
      </w:r>
      <w:r>
        <w:t xml:space="preserve"> </w:t>
      </w:r>
      <w:r>
        <w:rPr>
          <w:rFonts w:ascii="Arial" w:hAnsi="Arial" w:cs="Arial"/>
          <w:caps/>
          <w:sz w:val="22"/>
          <w:szCs w:val="22"/>
        </w:rPr>
        <w:t>27/2019</w:t>
      </w:r>
    </w:p>
    <w:p>
      <w:pPr>
        <w:pStyle w:val="Nzev"/>
        <w:suppressAutoHyphens/>
        <w:rPr>
          <w:rFonts w:ascii="Arial" w:hAnsi="Arial" w:cs="Arial"/>
          <w:lang w:eastAsia="ar-SA"/>
        </w:rPr>
      </w:pPr>
      <w:r>
        <w:rPr>
          <w:rFonts w:ascii="Arial" w:hAnsi="Arial" w:cs="Arial"/>
          <w:lang w:eastAsia="ar-SA"/>
        </w:rPr>
        <w:t>Rámcová dohoda</w:t>
      </w:r>
    </w:p>
    <w:p>
      <w:pPr>
        <w:pStyle w:val="Nzev"/>
        <w:suppressAutoHyphens/>
        <w:rPr>
          <w:rFonts w:ascii="Arial" w:hAnsi="Arial" w:cs="Arial"/>
          <w:sz w:val="24"/>
          <w:lang w:eastAsia="ar-SA"/>
        </w:rPr>
      </w:pPr>
      <w:r>
        <w:rPr>
          <w:rFonts w:ascii="Arial" w:hAnsi="Arial" w:cs="Arial"/>
          <w:sz w:val="24"/>
          <w:lang w:eastAsia="ar-SA"/>
        </w:rPr>
        <w:t xml:space="preserve">„Dodávky xerografického papíru pro resort dopravy 2019 - 2021“ </w:t>
      </w:r>
    </w:p>
    <w:p>
      <w:pPr>
        <w:jc w:val="center"/>
      </w:pPr>
      <w:r>
        <w:t>uzavřená v souladu s  § 2079 a násl. zákona č. 89/2012 Sb., občanský zákoník, ve znění pozdějších předpisů (dále jen „OZ“) a v souladu s ustanovením § 131 zákona č. 134/2016 Sb., o zadávání veřejných zakázek, ve znění pozdějších předpisů (dále jen „ZZVZ“)</w:t>
      </w:r>
    </w:p>
    <w:p>
      <w:pPr>
        <w:jc w:val="center"/>
        <w:rPr>
          <w:b/>
          <w:lang w:eastAsia="cs-CZ" w:bidi="ar-SA"/>
        </w:rPr>
      </w:pPr>
    </w:p>
    <w:p>
      <w:pPr>
        <w:pStyle w:val="Nzev"/>
        <w:suppressAutoHyphens/>
        <w:rPr>
          <w:rFonts w:ascii="Arial" w:hAnsi="Arial" w:cs="Arial"/>
          <w:sz w:val="22"/>
          <w:lang w:eastAsia="ar-SA"/>
        </w:rPr>
      </w:pPr>
      <w:r>
        <w:rPr>
          <w:rFonts w:ascii="Arial" w:hAnsi="Arial" w:cs="Arial"/>
          <w:sz w:val="22"/>
          <w:lang w:eastAsia="ar-SA"/>
        </w:rPr>
        <w:t>Smluvní strany</w:t>
      </w:r>
    </w:p>
    <w:p>
      <w:pPr>
        <w:rPr>
          <w:rFonts w:cs="Arial"/>
          <w:b/>
          <w:szCs w:val="22"/>
          <w:lang w:eastAsia="cs-CZ" w:bidi="ar-SA"/>
        </w:rPr>
      </w:pPr>
    </w:p>
    <w:p>
      <w:pPr>
        <w:suppressAutoHyphens/>
        <w:jc w:val="both"/>
        <w:rPr>
          <w:rFonts w:cs="Arial"/>
          <w:szCs w:val="22"/>
          <w:lang w:eastAsia="ar-SA" w:bidi="ar-SA"/>
        </w:rPr>
      </w:pPr>
      <w:r>
        <w:rPr>
          <w:rFonts w:cs="Arial"/>
          <w:b/>
          <w:szCs w:val="22"/>
          <w:lang w:eastAsia="cs-CZ"/>
        </w:rPr>
        <w:t>Státní fond dopravní infrastruktury</w:t>
      </w:r>
    </w:p>
    <w:p>
      <w:pPr>
        <w:suppressAutoHyphens/>
        <w:spacing w:before="120"/>
        <w:jc w:val="both"/>
        <w:rPr>
          <w:rFonts w:cs="Arial"/>
          <w:szCs w:val="22"/>
          <w:lang w:eastAsia="ar-SA" w:bidi="ar-SA"/>
        </w:rPr>
      </w:pPr>
      <w:r>
        <w:rPr>
          <w:rFonts w:cs="Arial"/>
          <w:szCs w:val="22"/>
          <w:lang w:eastAsia="ar-SA" w:bidi="ar-SA"/>
        </w:rPr>
        <w:t xml:space="preserve">se sídlem: </w:t>
      </w:r>
      <w:r>
        <w:rPr>
          <w:rFonts w:cs="Arial"/>
          <w:szCs w:val="22"/>
          <w:lang w:eastAsia="ar-SA" w:bidi="ar-SA"/>
        </w:rPr>
        <w:tab/>
      </w:r>
      <w:r>
        <w:rPr>
          <w:rFonts w:cs="Arial"/>
          <w:szCs w:val="22"/>
          <w:lang w:eastAsia="ar-SA" w:bidi="ar-SA"/>
        </w:rPr>
        <w:tab/>
        <w:t>Sokolovská 1955/278, 190 00 Praha 9</w:t>
      </w:r>
    </w:p>
    <w:p>
      <w:pPr>
        <w:rPr>
          <w:lang w:eastAsia="ar-SA" w:bidi="ar-SA"/>
        </w:rPr>
      </w:pPr>
      <w:r>
        <w:rPr>
          <w:lang w:eastAsia="ar-SA" w:bidi="ar-SA"/>
        </w:rPr>
        <w:t xml:space="preserve">zastoupený: </w:t>
      </w:r>
      <w:r>
        <w:rPr>
          <w:lang w:eastAsia="ar-SA" w:bidi="ar-SA"/>
        </w:rPr>
        <w:tab/>
      </w:r>
      <w:r>
        <w:rPr>
          <w:lang w:eastAsia="ar-SA" w:bidi="ar-SA"/>
        </w:rPr>
        <w:tab/>
        <w:t>Ing. Zbyňkem Hořelicou, ředitelem SFDI</w:t>
      </w:r>
    </w:p>
    <w:p>
      <w:pPr>
        <w:rPr>
          <w:rStyle w:val="apple-style-span"/>
          <w:rFonts w:cs="Arial"/>
          <w:color w:val="000000"/>
          <w:szCs w:val="22"/>
        </w:rPr>
      </w:pPr>
      <w:r>
        <w:rPr>
          <w:lang w:eastAsia="ar-SA" w:bidi="ar-SA"/>
        </w:rPr>
        <w:t xml:space="preserve">IČO: </w:t>
      </w:r>
      <w:r>
        <w:rPr>
          <w:lang w:eastAsia="ar-SA" w:bidi="ar-SA"/>
        </w:rPr>
        <w:tab/>
      </w:r>
      <w:r>
        <w:rPr>
          <w:lang w:eastAsia="ar-SA" w:bidi="ar-SA"/>
        </w:rPr>
        <w:tab/>
      </w:r>
      <w:r>
        <w:rPr>
          <w:lang w:eastAsia="ar-SA" w:bidi="ar-SA"/>
        </w:rPr>
        <w:tab/>
      </w:r>
      <w:r>
        <w:rPr>
          <w:rStyle w:val="apple-style-span"/>
          <w:rFonts w:cs="Arial"/>
          <w:color w:val="000000"/>
          <w:szCs w:val="22"/>
        </w:rPr>
        <w:t>70856508</w:t>
      </w:r>
    </w:p>
    <w:p>
      <w:pPr>
        <w:suppressAutoHyphens/>
        <w:rPr>
          <w:rFonts w:cs="Arial"/>
          <w:szCs w:val="22"/>
          <w:lang w:eastAsia="ar-SA" w:bidi="ar-SA"/>
        </w:rPr>
      </w:pPr>
      <w:r>
        <w:rPr>
          <w:rFonts w:cs="Arial"/>
          <w:szCs w:val="22"/>
          <w:lang w:eastAsia="ar-SA" w:bidi="ar-SA"/>
        </w:rPr>
        <w:t xml:space="preserve">bankovní spojení: </w:t>
      </w:r>
      <w:r>
        <w:rPr>
          <w:rFonts w:cs="Arial"/>
          <w:szCs w:val="22"/>
          <w:lang w:eastAsia="ar-SA" w:bidi="ar-SA"/>
        </w:rPr>
        <w:tab/>
      </w:r>
      <w:proofErr w:type="spellStart"/>
      <w:r>
        <w:rPr>
          <w:rFonts w:cs="Arial"/>
          <w:szCs w:val="22"/>
          <w:lang w:eastAsia="ar-SA" w:bidi="ar-SA"/>
        </w:rPr>
        <w:t>xxx</w:t>
      </w:r>
      <w:proofErr w:type="spellEnd"/>
    </w:p>
    <w:p>
      <w:pPr>
        <w:rPr>
          <w:lang w:eastAsia="ar-SA" w:bidi="ar-SA"/>
        </w:rPr>
      </w:pPr>
      <w:r>
        <w:rPr>
          <w:lang w:eastAsia="ar-SA" w:bidi="ar-SA"/>
        </w:rPr>
        <w:t xml:space="preserve">číslo účtu: </w:t>
      </w:r>
      <w:r>
        <w:rPr>
          <w:lang w:eastAsia="ar-SA" w:bidi="ar-SA"/>
        </w:rPr>
        <w:tab/>
      </w:r>
      <w:r>
        <w:rPr>
          <w:lang w:eastAsia="ar-SA" w:bidi="ar-SA"/>
        </w:rPr>
        <w:tab/>
      </w:r>
      <w:proofErr w:type="spellStart"/>
      <w:r>
        <w:rPr>
          <w:lang w:eastAsia="ar-SA" w:bidi="ar-SA"/>
        </w:rPr>
        <w:t>xxx</w:t>
      </w:r>
      <w:proofErr w:type="spellEnd"/>
    </w:p>
    <w:p>
      <w:pPr>
        <w:suppressAutoHyphens/>
        <w:ind w:left="2832" w:hanging="2832"/>
        <w:rPr>
          <w:rFonts w:cs="Arial"/>
          <w:szCs w:val="22"/>
          <w:lang w:eastAsia="ar-SA" w:bidi="ar-SA"/>
        </w:rPr>
      </w:pPr>
      <w:r>
        <w:rPr>
          <w:rFonts w:cs="Arial"/>
          <w:szCs w:val="22"/>
          <w:lang w:eastAsia="ar-SA" w:bidi="ar-SA"/>
        </w:rPr>
        <w:t xml:space="preserve">kontaktní osoba:         Ing. Petra Grabmüllerová, tel. 266 097 234, </w:t>
      </w:r>
    </w:p>
    <w:p>
      <w:pPr>
        <w:suppressAutoHyphens/>
        <w:ind w:left="2832" w:hanging="708"/>
        <w:rPr>
          <w:rFonts w:cs="Arial"/>
          <w:szCs w:val="22"/>
          <w:lang w:eastAsia="ar-SA" w:bidi="ar-SA"/>
        </w:rPr>
      </w:pPr>
      <w:r>
        <w:rPr>
          <w:rFonts w:cs="Arial"/>
          <w:szCs w:val="22"/>
          <w:lang w:eastAsia="ar-SA" w:bidi="ar-SA"/>
        </w:rPr>
        <w:t>e-mail:</w:t>
      </w:r>
      <w:hyperlink r:id="rId9" w:history="1">
        <w:r>
          <w:rPr>
            <w:rStyle w:val="Hypertextovodkaz"/>
            <w:rFonts w:cs="Arial"/>
            <w:szCs w:val="22"/>
            <w:lang w:eastAsia="ar-SA" w:bidi="ar-SA"/>
          </w:rPr>
          <w:t>petra.grabmullerova@sfdi.cz</w:t>
        </w:r>
      </w:hyperlink>
      <w:r>
        <w:rPr>
          <w:rFonts w:cs="Arial"/>
          <w:szCs w:val="22"/>
          <w:lang w:eastAsia="ar-SA" w:bidi="ar-SA"/>
        </w:rPr>
        <w:t xml:space="preserve">, </w:t>
      </w:r>
      <w:hyperlink r:id="rId10" w:history="1">
        <w:r>
          <w:rPr>
            <w:rStyle w:val="Hypertextovodkaz"/>
            <w:rFonts w:cs="Arial"/>
            <w:szCs w:val="22"/>
            <w:lang w:eastAsia="ar-SA" w:bidi="ar-SA"/>
          </w:rPr>
          <w:t>rsczvz@sfdi.cz</w:t>
        </w:r>
      </w:hyperlink>
      <w:r>
        <w:rPr>
          <w:rFonts w:cs="Arial"/>
          <w:szCs w:val="22"/>
          <w:lang w:eastAsia="ar-SA" w:bidi="ar-SA"/>
        </w:rPr>
        <w:t xml:space="preserve"> </w:t>
      </w:r>
    </w:p>
    <w:p>
      <w:pPr>
        <w:suppressAutoHyphens/>
        <w:spacing w:before="120"/>
        <w:jc w:val="both"/>
        <w:rPr>
          <w:rFonts w:cs="Arial"/>
          <w:szCs w:val="22"/>
          <w:lang w:eastAsia="ar-SA" w:bidi="ar-SA"/>
        </w:rPr>
      </w:pPr>
      <w:r>
        <w:rPr>
          <w:rFonts w:cs="Arial"/>
          <w:szCs w:val="22"/>
          <w:lang w:eastAsia="ar-SA" w:bidi="ar-SA"/>
        </w:rPr>
        <w:t>(dále také jako „</w:t>
      </w:r>
      <w:r>
        <w:rPr>
          <w:rFonts w:cs="Arial"/>
          <w:i/>
          <w:szCs w:val="22"/>
          <w:lang w:eastAsia="ar-SA" w:bidi="ar-SA"/>
        </w:rPr>
        <w:t>Jednající Kupující</w:t>
      </w:r>
      <w:r>
        <w:rPr>
          <w:rFonts w:cs="Arial"/>
          <w:szCs w:val="22"/>
          <w:lang w:eastAsia="ar-SA" w:bidi="ar-SA"/>
        </w:rPr>
        <w:t>“)</w:t>
      </w:r>
    </w:p>
    <w:p>
      <w:pPr>
        <w:suppressAutoHyphens/>
        <w:ind w:left="2832" w:hanging="708"/>
        <w:rPr>
          <w:rFonts w:cs="Arial"/>
          <w:szCs w:val="22"/>
          <w:lang w:eastAsia="ar-SA" w:bidi="ar-SA"/>
        </w:rPr>
      </w:pPr>
    </w:p>
    <w:p>
      <w:pPr>
        <w:rPr>
          <w:rFonts w:cs="Arial"/>
        </w:rPr>
      </w:pPr>
      <w:r>
        <w:rPr>
          <w:rFonts w:cs="Arial"/>
        </w:rPr>
        <w:t>a</w:t>
      </w:r>
    </w:p>
    <w:p>
      <w:pPr>
        <w:rPr>
          <w:rFonts w:cs="Arial"/>
        </w:rPr>
      </w:pPr>
    </w:p>
    <w:p>
      <w:pPr>
        <w:suppressAutoHyphens/>
        <w:jc w:val="both"/>
        <w:rPr>
          <w:rFonts w:cs="Arial"/>
          <w:b/>
          <w:szCs w:val="22"/>
        </w:rPr>
      </w:pPr>
      <w:r>
        <w:rPr>
          <w:rFonts w:cs="Arial"/>
          <w:b/>
          <w:szCs w:val="22"/>
        </w:rPr>
        <w:t>Česká republika – Ministerstvo dopravy</w:t>
      </w:r>
    </w:p>
    <w:p>
      <w:pPr>
        <w:rPr>
          <w:rFonts w:cs="Arial"/>
        </w:rPr>
      </w:pPr>
      <w:r>
        <w:rPr>
          <w:rFonts w:cs="Arial"/>
        </w:rPr>
        <w:t xml:space="preserve">se sídlem: </w:t>
      </w:r>
      <w:r>
        <w:rPr>
          <w:rFonts w:cs="Arial"/>
        </w:rPr>
        <w:tab/>
      </w:r>
      <w:r>
        <w:rPr>
          <w:rFonts w:cs="Arial"/>
        </w:rPr>
        <w:tab/>
        <w:t>nábřeží Ludvíka Svobody 1222/12, 110 15 Praha 1</w:t>
      </w:r>
    </w:p>
    <w:p>
      <w:pPr>
        <w:rPr>
          <w:rFonts w:cs="Arial"/>
        </w:rPr>
      </w:pPr>
      <w:r>
        <w:rPr>
          <w:rFonts w:cs="Arial"/>
        </w:rPr>
        <w:t xml:space="preserve">IČO: </w:t>
      </w:r>
      <w:r>
        <w:rPr>
          <w:rFonts w:cs="Arial"/>
        </w:rPr>
        <w:tab/>
      </w:r>
      <w:r>
        <w:rPr>
          <w:rFonts w:cs="Arial"/>
        </w:rPr>
        <w:tab/>
      </w:r>
      <w:r>
        <w:rPr>
          <w:rFonts w:cs="Arial"/>
        </w:rPr>
        <w:tab/>
        <w:t>66003008</w:t>
      </w:r>
    </w:p>
    <w:p>
      <w:pPr>
        <w:rPr>
          <w:rFonts w:cs="Arial"/>
        </w:rPr>
      </w:pPr>
      <w:r>
        <w:rPr>
          <w:rFonts w:cs="Arial"/>
        </w:rPr>
        <w:t xml:space="preserve">zastoupené: </w:t>
      </w:r>
      <w:r>
        <w:rPr>
          <w:rFonts w:cs="Arial"/>
        </w:rPr>
        <w:tab/>
      </w:r>
      <w:r>
        <w:rPr>
          <w:rFonts w:cs="Arial"/>
        </w:rPr>
        <w:tab/>
        <w:t xml:space="preserve">JUDr. Vladimírem </w:t>
      </w:r>
      <w:proofErr w:type="spellStart"/>
      <w:r>
        <w:rPr>
          <w:rFonts w:cs="Arial"/>
        </w:rPr>
        <w:t>Kremlíkem</w:t>
      </w:r>
      <w:proofErr w:type="spellEnd"/>
      <w:r>
        <w:rPr>
          <w:rFonts w:cs="Arial"/>
        </w:rPr>
        <w:t xml:space="preserve">, ministrem, </w:t>
      </w:r>
    </w:p>
    <w:p>
      <w:pPr>
        <w:rPr>
          <w:rFonts w:cs="Arial"/>
          <w:highlight w:val="yellow"/>
        </w:rPr>
      </w:pPr>
      <w:r>
        <w:rPr>
          <w:rFonts w:cs="Arial"/>
        </w:rPr>
        <w:t>jehož jménem jedná Státní fond dopravní infrastruktury na základě uzavřené smlouvy o centralizovaném zadávání CES 7/2018 ze dne 5. 6. 2018</w:t>
      </w:r>
    </w:p>
    <w:p>
      <w:pPr>
        <w:rPr>
          <w:rFonts w:cs="Arial"/>
        </w:rPr>
      </w:pPr>
    </w:p>
    <w:p>
      <w:pPr>
        <w:rPr>
          <w:rFonts w:cs="Arial"/>
        </w:rPr>
      </w:pPr>
      <w:r>
        <w:rPr>
          <w:rFonts w:cs="Arial"/>
        </w:rPr>
        <w:t>a</w:t>
      </w:r>
    </w:p>
    <w:p>
      <w:pPr>
        <w:rPr>
          <w:rFonts w:cs="Arial"/>
        </w:rPr>
      </w:pPr>
    </w:p>
    <w:p>
      <w:pPr>
        <w:suppressAutoHyphens/>
        <w:jc w:val="both"/>
        <w:rPr>
          <w:rFonts w:cs="Arial"/>
          <w:b/>
          <w:szCs w:val="22"/>
        </w:rPr>
      </w:pPr>
      <w:r>
        <w:rPr>
          <w:rFonts w:cs="Arial"/>
          <w:b/>
          <w:szCs w:val="22"/>
        </w:rPr>
        <w:t xml:space="preserve">Centrum dopravního výzkumu, </w:t>
      </w:r>
      <w:proofErr w:type="spellStart"/>
      <w:proofErr w:type="gramStart"/>
      <w:r>
        <w:rPr>
          <w:rFonts w:cs="Arial"/>
          <w:b/>
          <w:szCs w:val="22"/>
        </w:rPr>
        <w:t>v.v.</w:t>
      </w:r>
      <w:proofErr w:type="gramEnd"/>
      <w:r>
        <w:rPr>
          <w:rFonts w:cs="Arial"/>
          <w:b/>
          <w:szCs w:val="22"/>
        </w:rPr>
        <w:t>i</w:t>
      </w:r>
      <w:proofErr w:type="spellEnd"/>
      <w:r>
        <w:rPr>
          <w:rFonts w:cs="Arial"/>
          <w:b/>
          <w:szCs w:val="22"/>
        </w:rPr>
        <w:t>.</w:t>
      </w:r>
    </w:p>
    <w:p>
      <w:pPr>
        <w:rPr>
          <w:rFonts w:cs="Arial"/>
        </w:rPr>
      </w:pPr>
      <w:r>
        <w:rPr>
          <w:rFonts w:cs="Arial"/>
        </w:rPr>
        <w:t xml:space="preserve">se sídlem: </w:t>
      </w:r>
      <w:r>
        <w:rPr>
          <w:rFonts w:cs="Arial"/>
        </w:rPr>
        <w:tab/>
      </w:r>
      <w:r>
        <w:rPr>
          <w:rFonts w:cs="Arial"/>
        </w:rPr>
        <w:tab/>
        <w:t>Líšeňská 33a, 602 00 Brno</w:t>
      </w:r>
    </w:p>
    <w:p>
      <w:pPr>
        <w:rPr>
          <w:rFonts w:cs="Arial"/>
        </w:rPr>
      </w:pPr>
      <w:r>
        <w:rPr>
          <w:rFonts w:cs="Arial"/>
        </w:rPr>
        <w:t xml:space="preserve">IČO: </w:t>
      </w:r>
      <w:r>
        <w:rPr>
          <w:rFonts w:cs="Arial"/>
        </w:rPr>
        <w:tab/>
      </w:r>
      <w:r>
        <w:rPr>
          <w:rFonts w:cs="Arial"/>
        </w:rPr>
        <w:tab/>
      </w:r>
      <w:r>
        <w:rPr>
          <w:rFonts w:cs="Arial"/>
        </w:rPr>
        <w:tab/>
        <w:t>44994575</w:t>
      </w:r>
    </w:p>
    <w:p>
      <w:pPr>
        <w:rPr>
          <w:rFonts w:cs="Arial"/>
        </w:rPr>
      </w:pPr>
      <w:r>
        <w:rPr>
          <w:rFonts w:cs="Arial"/>
        </w:rPr>
        <w:t xml:space="preserve">zastoupená </w:t>
      </w:r>
      <w:r>
        <w:rPr>
          <w:rFonts w:cs="Arial"/>
        </w:rPr>
        <w:tab/>
      </w:r>
      <w:r>
        <w:rPr>
          <w:rFonts w:cs="Arial"/>
        </w:rPr>
        <w:tab/>
        <w:t xml:space="preserve">Ing. Jindřichem Fričem, Ph.D., ředitelem, </w:t>
      </w:r>
    </w:p>
    <w:p>
      <w:pPr>
        <w:rPr>
          <w:rFonts w:cs="Arial"/>
        </w:rPr>
      </w:pPr>
      <w:r>
        <w:rPr>
          <w:rFonts w:cs="Arial"/>
        </w:rPr>
        <w:t>jejímž jménem jedná Státní fond dopravní infrastruktury na základě uzavřené smlouvy o centralizovaném zadávání CES 7/2018 ze dne 5. 6. 2018</w:t>
      </w:r>
    </w:p>
    <w:p>
      <w:pPr>
        <w:rPr>
          <w:rFonts w:cs="Arial"/>
        </w:rPr>
      </w:pPr>
    </w:p>
    <w:p>
      <w:pPr>
        <w:rPr>
          <w:rFonts w:cs="Arial"/>
        </w:rPr>
      </w:pPr>
      <w:r>
        <w:rPr>
          <w:rFonts w:cs="Arial"/>
        </w:rPr>
        <w:t>a</w:t>
      </w:r>
    </w:p>
    <w:p>
      <w:pPr>
        <w:rPr>
          <w:rFonts w:cs="Arial"/>
        </w:rPr>
      </w:pPr>
    </w:p>
    <w:p>
      <w:pPr>
        <w:rPr>
          <w:rFonts w:cs="Arial"/>
          <w:b/>
        </w:rPr>
      </w:pPr>
      <w:r>
        <w:rPr>
          <w:rFonts w:cs="Arial"/>
          <w:b/>
        </w:rPr>
        <w:t xml:space="preserve">CENDIS, </w:t>
      </w:r>
      <w:proofErr w:type="gramStart"/>
      <w:r>
        <w:rPr>
          <w:rFonts w:cs="Arial"/>
          <w:b/>
        </w:rPr>
        <w:t>s.p.</w:t>
      </w:r>
      <w:proofErr w:type="gramEnd"/>
    </w:p>
    <w:p>
      <w:pPr>
        <w:rPr>
          <w:rFonts w:cs="Arial"/>
        </w:rPr>
      </w:pPr>
      <w:r>
        <w:rPr>
          <w:rFonts w:cs="Arial"/>
        </w:rPr>
        <w:t xml:space="preserve">se sídlem: </w:t>
      </w:r>
      <w:r>
        <w:rPr>
          <w:rFonts w:cs="Arial"/>
        </w:rPr>
        <w:tab/>
      </w:r>
      <w:r>
        <w:rPr>
          <w:rFonts w:cs="Arial"/>
        </w:rPr>
        <w:tab/>
        <w:t>nábřeží Ludvíka Svobody 1222/12, 110 15 Praha 1</w:t>
      </w:r>
    </w:p>
    <w:p>
      <w:pPr>
        <w:rPr>
          <w:rFonts w:cs="Arial"/>
        </w:rPr>
      </w:pPr>
      <w:r>
        <w:rPr>
          <w:rFonts w:cs="Arial"/>
        </w:rPr>
        <w:t xml:space="preserve">IČO: </w:t>
      </w:r>
      <w:r>
        <w:rPr>
          <w:rFonts w:cs="Arial"/>
        </w:rPr>
        <w:tab/>
      </w:r>
      <w:r>
        <w:rPr>
          <w:rFonts w:cs="Arial"/>
        </w:rPr>
        <w:tab/>
      </w:r>
      <w:r>
        <w:rPr>
          <w:rFonts w:cs="Arial"/>
        </w:rPr>
        <w:tab/>
        <w:t>00311391</w:t>
      </w:r>
    </w:p>
    <w:p>
      <w:pPr>
        <w:rPr>
          <w:rFonts w:cs="Arial"/>
        </w:rPr>
      </w:pPr>
      <w:r>
        <w:rPr>
          <w:rFonts w:cs="Arial"/>
        </w:rPr>
        <w:lastRenderedPageBreak/>
        <w:t xml:space="preserve">zastoupený: </w:t>
      </w:r>
      <w:r>
        <w:rPr>
          <w:rFonts w:cs="Arial"/>
        </w:rPr>
        <w:tab/>
      </w:r>
      <w:r>
        <w:rPr>
          <w:rFonts w:cs="Arial"/>
        </w:rPr>
        <w:tab/>
        <w:t>Ing. Janem Chovancem, Ph.D., ředitelem,</w:t>
      </w:r>
    </w:p>
    <w:p>
      <w:pPr>
        <w:rPr>
          <w:rFonts w:cs="Arial"/>
        </w:rPr>
      </w:pPr>
      <w:r>
        <w:rPr>
          <w:rFonts w:cs="Arial"/>
        </w:rPr>
        <w:t>jehož jménem jedná Státní fond dopravní infrastruktury na základě uzavřené smlouvy o centralizovaném zadávání CES 7/2018  ze dne 5. 6. 2018</w:t>
      </w:r>
    </w:p>
    <w:p>
      <w:pPr>
        <w:rPr>
          <w:rFonts w:cs="Arial"/>
        </w:rPr>
      </w:pPr>
    </w:p>
    <w:p>
      <w:pPr>
        <w:rPr>
          <w:rFonts w:cs="Arial"/>
        </w:rPr>
      </w:pPr>
      <w:r>
        <w:rPr>
          <w:rFonts w:cs="Arial"/>
        </w:rPr>
        <w:t>a</w:t>
      </w:r>
    </w:p>
    <w:p>
      <w:pPr>
        <w:rPr>
          <w:rFonts w:cs="Arial"/>
        </w:rPr>
      </w:pPr>
    </w:p>
    <w:p>
      <w:pPr>
        <w:rPr>
          <w:rFonts w:cs="Arial"/>
          <w:b/>
        </w:rPr>
      </w:pPr>
      <w:r>
        <w:rPr>
          <w:rFonts w:cs="Arial"/>
          <w:b/>
        </w:rPr>
        <w:t>Centrum služeb pro silniční dopravu</w:t>
      </w:r>
    </w:p>
    <w:p>
      <w:pPr>
        <w:rPr>
          <w:rFonts w:cs="Arial"/>
        </w:rPr>
      </w:pPr>
      <w:r>
        <w:rPr>
          <w:rFonts w:cs="Arial"/>
        </w:rPr>
        <w:t xml:space="preserve">se sídlem: </w:t>
      </w:r>
      <w:r>
        <w:rPr>
          <w:rFonts w:cs="Arial"/>
        </w:rPr>
        <w:tab/>
      </w:r>
      <w:r>
        <w:rPr>
          <w:rFonts w:cs="Arial"/>
        </w:rPr>
        <w:tab/>
        <w:t>nábřeží Ludvíka Svobody 1222/12, 110 15 Praha 1</w:t>
      </w:r>
    </w:p>
    <w:p>
      <w:pPr>
        <w:rPr>
          <w:rFonts w:cs="Arial"/>
        </w:rPr>
      </w:pPr>
      <w:r>
        <w:rPr>
          <w:rFonts w:cs="Arial"/>
        </w:rPr>
        <w:t xml:space="preserve">IČO: </w:t>
      </w:r>
      <w:r>
        <w:rPr>
          <w:rFonts w:cs="Arial"/>
        </w:rPr>
        <w:tab/>
      </w:r>
      <w:r>
        <w:rPr>
          <w:rFonts w:cs="Arial"/>
        </w:rPr>
        <w:tab/>
      </w:r>
      <w:r>
        <w:rPr>
          <w:rFonts w:cs="Arial"/>
        </w:rPr>
        <w:tab/>
        <w:t>70898219</w:t>
      </w:r>
    </w:p>
    <w:p>
      <w:pPr>
        <w:rPr>
          <w:rFonts w:cs="Arial"/>
        </w:rPr>
      </w:pPr>
      <w:r>
        <w:rPr>
          <w:rFonts w:cs="Arial"/>
        </w:rPr>
        <w:t xml:space="preserve">zastoupené: </w:t>
      </w:r>
      <w:r>
        <w:rPr>
          <w:rFonts w:cs="Arial"/>
        </w:rPr>
        <w:tab/>
      </w:r>
      <w:r>
        <w:rPr>
          <w:rFonts w:cs="Arial"/>
        </w:rPr>
        <w:tab/>
        <w:t xml:space="preserve">Ing. Lenkou Zborníkovou, ředitelkou, </w:t>
      </w:r>
    </w:p>
    <w:p>
      <w:pPr>
        <w:rPr>
          <w:rFonts w:cs="Arial"/>
        </w:rPr>
      </w:pPr>
      <w:r>
        <w:rPr>
          <w:rFonts w:cs="Arial"/>
        </w:rPr>
        <w:t>jehož jménem jedná Státní fond dopravní infrastruktury na základě uzavřené smlouvy o centralizovaném zadávání CES 7/2018 ze dne 5. 6. 2018</w:t>
      </w:r>
    </w:p>
    <w:p>
      <w:pPr>
        <w:rPr>
          <w:rFonts w:cs="Arial"/>
        </w:rPr>
      </w:pPr>
    </w:p>
    <w:p>
      <w:pPr>
        <w:rPr>
          <w:rFonts w:cs="Arial"/>
        </w:rPr>
      </w:pPr>
      <w:r>
        <w:rPr>
          <w:rFonts w:cs="Arial"/>
        </w:rPr>
        <w:t>a</w:t>
      </w:r>
    </w:p>
    <w:p>
      <w:pPr>
        <w:rPr>
          <w:rFonts w:cs="Arial"/>
        </w:rPr>
      </w:pPr>
    </w:p>
    <w:p>
      <w:pPr>
        <w:rPr>
          <w:rFonts w:cs="Arial"/>
          <w:b/>
        </w:rPr>
      </w:pPr>
      <w:r>
        <w:rPr>
          <w:rFonts w:cs="Arial"/>
          <w:b/>
        </w:rPr>
        <w:t>České dráhy, a.s.</w:t>
      </w:r>
    </w:p>
    <w:p>
      <w:pPr>
        <w:rPr>
          <w:rFonts w:cs="Arial"/>
        </w:rPr>
      </w:pPr>
      <w:r>
        <w:rPr>
          <w:rFonts w:cs="Arial"/>
        </w:rPr>
        <w:t xml:space="preserve">se sídlem: </w:t>
      </w:r>
      <w:r>
        <w:rPr>
          <w:rFonts w:cs="Arial"/>
        </w:rPr>
        <w:tab/>
      </w:r>
      <w:r>
        <w:rPr>
          <w:rFonts w:cs="Arial"/>
        </w:rPr>
        <w:tab/>
        <w:t>nábřeží Ludvíka Svobody 1222/12, 110 15 Praha 1</w:t>
      </w:r>
    </w:p>
    <w:p>
      <w:pPr>
        <w:rPr>
          <w:rFonts w:cs="Arial"/>
        </w:rPr>
      </w:pPr>
      <w:r>
        <w:rPr>
          <w:rFonts w:cs="Arial"/>
        </w:rPr>
        <w:t xml:space="preserve">IČO: </w:t>
      </w:r>
      <w:r>
        <w:rPr>
          <w:rFonts w:cs="Arial"/>
        </w:rPr>
        <w:tab/>
      </w:r>
      <w:r>
        <w:rPr>
          <w:rFonts w:cs="Arial"/>
        </w:rPr>
        <w:tab/>
      </w:r>
      <w:r>
        <w:rPr>
          <w:rFonts w:cs="Arial"/>
        </w:rPr>
        <w:tab/>
        <w:t>70994226</w:t>
      </w:r>
    </w:p>
    <w:p>
      <w:pPr>
        <w:rPr>
          <w:rFonts w:cs="Arial"/>
        </w:rPr>
      </w:pPr>
      <w:r>
        <w:rPr>
          <w:rFonts w:cs="Arial"/>
        </w:rPr>
        <w:t xml:space="preserve">zastoupená: </w:t>
      </w:r>
      <w:r>
        <w:rPr>
          <w:rFonts w:cs="Arial"/>
        </w:rPr>
        <w:tab/>
      </w:r>
      <w:r>
        <w:rPr>
          <w:rFonts w:cs="Arial"/>
        </w:rPr>
        <w:tab/>
        <w:t>Ing. Miroslavem Kupcem, předsedou představenstva a</w:t>
      </w:r>
    </w:p>
    <w:p>
      <w:pPr>
        <w:rPr>
          <w:rFonts w:cs="Arial"/>
        </w:rPr>
      </w:pPr>
      <w:r>
        <w:rPr>
          <w:rFonts w:cs="Arial"/>
        </w:rPr>
        <w:tab/>
        <w:t xml:space="preserve">        </w:t>
      </w:r>
      <w:r>
        <w:rPr>
          <w:rFonts w:cs="Arial"/>
        </w:rPr>
        <w:tab/>
      </w:r>
      <w:r>
        <w:rPr>
          <w:rFonts w:cs="Arial"/>
        </w:rPr>
        <w:tab/>
        <w:t xml:space="preserve">Ing. Michalem Heřmanem, MBA, členem představenstva, </w:t>
      </w:r>
    </w:p>
    <w:p>
      <w:pPr>
        <w:rPr>
          <w:rFonts w:cs="Arial"/>
        </w:rPr>
      </w:pPr>
      <w:r>
        <w:rPr>
          <w:rFonts w:cs="Arial"/>
        </w:rPr>
        <w:t>jejímž jménem jedná Státní fond dopravní infrastruktury na základě uzavřené smlouvy o centralizovaném zadávání CES 7/2018  ze dne 5. 6. 2018</w:t>
      </w:r>
    </w:p>
    <w:p>
      <w:pPr>
        <w:rPr>
          <w:rFonts w:cs="Arial"/>
        </w:rPr>
      </w:pPr>
    </w:p>
    <w:p>
      <w:pPr>
        <w:rPr>
          <w:rFonts w:cs="Arial"/>
        </w:rPr>
      </w:pPr>
      <w:r>
        <w:rPr>
          <w:rFonts w:cs="Arial"/>
        </w:rPr>
        <w:t>a</w:t>
      </w:r>
    </w:p>
    <w:p>
      <w:pPr>
        <w:rPr>
          <w:rFonts w:cs="Arial"/>
          <w:szCs w:val="22"/>
        </w:rPr>
      </w:pPr>
    </w:p>
    <w:p>
      <w:pPr>
        <w:rPr>
          <w:rFonts w:cs="Arial"/>
          <w:b/>
          <w:szCs w:val="22"/>
        </w:rPr>
      </w:pPr>
      <w:r>
        <w:rPr>
          <w:rFonts w:cs="Arial"/>
          <w:b/>
          <w:szCs w:val="22"/>
        </w:rPr>
        <w:t>Česká republika - Drážní inspekce</w:t>
      </w:r>
    </w:p>
    <w:p>
      <w:pPr>
        <w:rPr>
          <w:rFonts w:cs="Arial"/>
          <w:szCs w:val="22"/>
        </w:rPr>
      </w:pPr>
      <w:r>
        <w:rPr>
          <w:rFonts w:cs="Arial"/>
          <w:szCs w:val="22"/>
        </w:rPr>
        <w:t>se sídlem:</w:t>
      </w:r>
      <w:r>
        <w:rPr>
          <w:rFonts w:cs="Arial"/>
          <w:szCs w:val="22"/>
        </w:rPr>
        <w:tab/>
      </w:r>
      <w:r>
        <w:rPr>
          <w:rFonts w:cs="Arial"/>
          <w:szCs w:val="22"/>
        </w:rPr>
        <w:tab/>
      </w:r>
      <w:proofErr w:type="spellStart"/>
      <w:r>
        <w:rPr>
          <w:rFonts w:cs="Arial"/>
          <w:szCs w:val="22"/>
        </w:rPr>
        <w:t>Těšnov</w:t>
      </w:r>
      <w:proofErr w:type="spellEnd"/>
      <w:r>
        <w:rPr>
          <w:rFonts w:cs="Arial"/>
          <w:szCs w:val="22"/>
        </w:rPr>
        <w:t xml:space="preserve"> 1163/5, 110 00 Praha 1</w:t>
      </w:r>
    </w:p>
    <w:p>
      <w:pPr>
        <w:rPr>
          <w:rFonts w:cs="Arial"/>
          <w:szCs w:val="22"/>
        </w:rPr>
      </w:pPr>
      <w:r>
        <w:rPr>
          <w:rFonts w:cs="Arial"/>
          <w:szCs w:val="22"/>
        </w:rPr>
        <w:t>IČO:</w:t>
      </w:r>
      <w:r>
        <w:rPr>
          <w:rFonts w:cs="Arial"/>
          <w:szCs w:val="22"/>
        </w:rPr>
        <w:tab/>
      </w:r>
      <w:r>
        <w:rPr>
          <w:rFonts w:cs="Arial"/>
          <w:szCs w:val="22"/>
        </w:rPr>
        <w:tab/>
      </w:r>
      <w:r>
        <w:rPr>
          <w:rFonts w:cs="Arial"/>
          <w:szCs w:val="22"/>
        </w:rPr>
        <w:tab/>
        <w:t>75009561</w:t>
      </w:r>
    </w:p>
    <w:p>
      <w:pPr>
        <w:rPr>
          <w:rFonts w:cs="Arial"/>
          <w:szCs w:val="22"/>
        </w:rPr>
      </w:pPr>
      <w:r>
        <w:rPr>
          <w:rFonts w:cs="Arial"/>
          <w:szCs w:val="22"/>
        </w:rPr>
        <w:t>zastoupená:</w:t>
      </w:r>
      <w:r>
        <w:rPr>
          <w:rFonts w:cs="Arial"/>
          <w:szCs w:val="22"/>
        </w:rPr>
        <w:tab/>
      </w:r>
      <w:r>
        <w:rPr>
          <w:rFonts w:cs="Arial"/>
          <w:szCs w:val="22"/>
        </w:rPr>
        <w:tab/>
        <w:t>Mgr. Janem Kučerou, generálním inspektorem,</w:t>
      </w:r>
    </w:p>
    <w:p>
      <w:pPr>
        <w:rPr>
          <w:rFonts w:cs="Arial"/>
          <w:szCs w:val="22"/>
        </w:rPr>
      </w:pPr>
      <w:r>
        <w:rPr>
          <w:rFonts w:cs="Arial"/>
          <w:szCs w:val="22"/>
        </w:rPr>
        <w:t xml:space="preserve">jejímž jménem jedná Státní fond dopravní infrastruktury na základě uzavřené smlouvy o centralizovaném zadávání </w:t>
      </w:r>
      <w:r>
        <w:rPr>
          <w:rFonts w:cs="Arial"/>
        </w:rPr>
        <w:t>CES 7/2018 ze dne 5. 6. 2018</w:t>
      </w:r>
    </w:p>
    <w:p>
      <w:pPr>
        <w:rPr>
          <w:lang w:eastAsia="ar-SA" w:bidi="ar-SA"/>
        </w:rPr>
      </w:pPr>
    </w:p>
    <w:p>
      <w:pPr>
        <w:rPr>
          <w:rFonts w:cs="Arial"/>
        </w:rPr>
      </w:pPr>
      <w:r>
        <w:rPr>
          <w:rFonts w:cs="Arial"/>
        </w:rPr>
        <w:t>a</w:t>
      </w:r>
    </w:p>
    <w:p>
      <w:pPr>
        <w:rPr>
          <w:rFonts w:cs="Arial"/>
        </w:rPr>
      </w:pPr>
    </w:p>
    <w:p>
      <w:pPr>
        <w:rPr>
          <w:rFonts w:cs="Arial"/>
          <w:b/>
        </w:rPr>
      </w:pPr>
      <w:r>
        <w:rPr>
          <w:rFonts w:cs="Arial"/>
          <w:b/>
        </w:rPr>
        <w:t>Drážní úřad</w:t>
      </w:r>
    </w:p>
    <w:p>
      <w:pPr>
        <w:rPr>
          <w:rFonts w:cs="Arial"/>
        </w:rPr>
      </w:pPr>
      <w:r>
        <w:rPr>
          <w:rFonts w:cs="Arial"/>
        </w:rPr>
        <w:t xml:space="preserve">se sídlem: </w:t>
      </w:r>
      <w:r>
        <w:rPr>
          <w:rFonts w:cs="Arial"/>
        </w:rPr>
        <w:tab/>
      </w:r>
      <w:r>
        <w:rPr>
          <w:rFonts w:cs="Arial"/>
        </w:rPr>
        <w:tab/>
        <w:t>Wilsonova 300/8, 110 00 Praha - Vinohrady</w:t>
      </w:r>
    </w:p>
    <w:p>
      <w:pPr>
        <w:rPr>
          <w:rFonts w:cs="Arial"/>
        </w:rPr>
      </w:pPr>
      <w:r>
        <w:rPr>
          <w:rFonts w:cs="Arial"/>
        </w:rPr>
        <w:t xml:space="preserve">IČO: </w:t>
      </w:r>
      <w:r>
        <w:rPr>
          <w:rFonts w:cs="Arial"/>
        </w:rPr>
        <w:tab/>
      </w:r>
      <w:r>
        <w:rPr>
          <w:rFonts w:cs="Arial"/>
        </w:rPr>
        <w:tab/>
      </w:r>
      <w:r>
        <w:rPr>
          <w:rFonts w:cs="Arial"/>
        </w:rPr>
        <w:tab/>
        <w:t>61379425</w:t>
      </w:r>
    </w:p>
    <w:p>
      <w:pPr>
        <w:rPr>
          <w:rFonts w:cs="Arial"/>
        </w:rPr>
      </w:pPr>
      <w:r>
        <w:rPr>
          <w:rFonts w:cs="Arial"/>
        </w:rPr>
        <w:t xml:space="preserve">zastoupený </w:t>
      </w:r>
      <w:r>
        <w:rPr>
          <w:rFonts w:cs="Arial"/>
        </w:rPr>
        <w:tab/>
      </w:r>
      <w:r>
        <w:rPr>
          <w:rFonts w:cs="Arial"/>
        </w:rPr>
        <w:tab/>
        <w:t>Ing. Jiřím Kolářem, Ph.D., ředitelem,</w:t>
      </w:r>
    </w:p>
    <w:p>
      <w:pPr>
        <w:rPr>
          <w:rFonts w:cs="Arial"/>
        </w:rPr>
      </w:pPr>
      <w:r>
        <w:rPr>
          <w:rFonts w:cs="Arial"/>
        </w:rPr>
        <w:t>jehož jménem jedná Státní fond dopravní infrastruktury na základě uzavřené smlouvy o centralizovaném zadávání CES 7/2018 ze dne 5. 6. 2018</w:t>
      </w:r>
    </w:p>
    <w:p>
      <w:pPr>
        <w:rPr>
          <w:rFonts w:cs="Arial"/>
        </w:rPr>
      </w:pPr>
    </w:p>
    <w:p>
      <w:pPr>
        <w:rPr>
          <w:rFonts w:cs="Arial"/>
        </w:rPr>
      </w:pPr>
      <w:r>
        <w:rPr>
          <w:rFonts w:cs="Arial"/>
        </w:rPr>
        <w:t>a</w:t>
      </w:r>
    </w:p>
    <w:p>
      <w:pPr>
        <w:rPr>
          <w:rFonts w:cs="Arial"/>
        </w:rPr>
      </w:pPr>
    </w:p>
    <w:p>
      <w:pPr>
        <w:rPr>
          <w:rFonts w:cs="Arial"/>
          <w:b/>
        </w:rPr>
      </w:pPr>
      <w:r>
        <w:rPr>
          <w:rFonts w:cs="Arial"/>
          <w:b/>
        </w:rPr>
        <w:t>Ředitelství silnic a dálnic ČR</w:t>
      </w:r>
    </w:p>
    <w:p>
      <w:pPr>
        <w:rPr>
          <w:rFonts w:cs="Arial"/>
        </w:rPr>
      </w:pPr>
      <w:r>
        <w:rPr>
          <w:rFonts w:cs="Arial"/>
        </w:rPr>
        <w:t xml:space="preserve">se sídlem: </w:t>
      </w:r>
      <w:r>
        <w:rPr>
          <w:rFonts w:cs="Arial"/>
        </w:rPr>
        <w:tab/>
      </w:r>
      <w:r>
        <w:rPr>
          <w:rFonts w:cs="Arial"/>
        </w:rPr>
        <w:tab/>
        <w:t>Na Pankráci 546/56, 140 00 Praha 4</w:t>
      </w:r>
    </w:p>
    <w:p>
      <w:pPr>
        <w:pStyle w:val="Zkladntext"/>
        <w:rPr>
          <w:rFonts w:ascii="Arial" w:hAnsi="Arial" w:cs="Arial"/>
          <w:sz w:val="22"/>
        </w:rPr>
      </w:pPr>
      <w:r>
        <w:rPr>
          <w:rFonts w:ascii="Arial" w:hAnsi="Arial" w:cs="Arial"/>
          <w:sz w:val="22"/>
        </w:rPr>
        <w:t xml:space="preserve">IČO: </w:t>
      </w:r>
      <w:r>
        <w:rPr>
          <w:rFonts w:ascii="Arial" w:hAnsi="Arial" w:cs="Arial"/>
          <w:sz w:val="22"/>
        </w:rPr>
        <w:tab/>
      </w:r>
      <w:r>
        <w:rPr>
          <w:rFonts w:ascii="Arial" w:hAnsi="Arial" w:cs="Arial"/>
          <w:sz w:val="22"/>
        </w:rPr>
        <w:tab/>
      </w:r>
      <w:r>
        <w:rPr>
          <w:rFonts w:ascii="Arial" w:hAnsi="Arial" w:cs="Arial"/>
          <w:sz w:val="22"/>
        </w:rPr>
        <w:tab/>
        <w:t>65993390</w:t>
      </w:r>
    </w:p>
    <w:p>
      <w:pPr>
        <w:pStyle w:val="Zkladntext"/>
        <w:rPr>
          <w:rFonts w:ascii="Arial" w:hAnsi="Arial" w:cs="Arial"/>
          <w:sz w:val="22"/>
        </w:rPr>
      </w:pPr>
      <w:r>
        <w:rPr>
          <w:rFonts w:ascii="Arial" w:hAnsi="Arial" w:cs="Arial"/>
          <w:sz w:val="22"/>
        </w:rPr>
        <w:t xml:space="preserve">zastoupené: </w:t>
      </w:r>
      <w:r>
        <w:rPr>
          <w:rFonts w:ascii="Arial" w:hAnsi="Arial" w:cs="Arial"/>
          <w:sz w:val="22"/>
        </w:rPr>
        <w:tab/>
      </w:r>
      <w:r>
        <w:rPr>
          <w:rFonts w:ascii="Arial" w:hAnsi="Arial" w:cs="Arial"/>
          <w:sz w:val="22"/>
        </w:rPr>
        <w:tab/>
        <w:t>Ing. Radkem Mátlem, pověřeným řízením ŘSD ČR,</w:t>
      </w:r>
    </w:p>
    <w:p>
      <w:pPr>
        <w:rPr>
          <w:rFonts w:cs="Arial"/>
        </w:rPr>
      </w:pPr>
      <w:r>
        <w:rPr>
          <w:rFonts w:cs="Arial"/>
        </w:rPr>
        <w:t>jehož jménem jedná Státní fond dopravní infrastruktury na základě uzavřené smlouvy o centralizovaném zadávání CES 7/2018 ze dne 5. 6. 2018</w:t>
      </w:r>
    </w:p>
    <w:p>
      <w:pPr>
        <w:rPr>
          <w:rFonts w:cs="Arial"/>
        </w:rPr>
      </w:pPr>
    </w:p>
    <w:p>
      <w:pPr>
        <w:rPr>
          <w:rFonts w:cs="Arial"/>
        </w:rPr>
      </w:pPr>
      <w:r>
        <w:rPr>
          <w:rFonts w:cs="Arial"/>
        </w:rPr>
        <w:t>a</w:t>
      </w:r>
    </w:p>
    <w:p>
      <w:pPr>
        <w:rPr>
          <w:rFonts w:cs="Arial"/>
        </w:rPr>
      </w:pPr>
    </w:p>
    <w:p>
      <w:pPr>
        <w:rPr>
          <w:rFonts w:cs="Arial"/>
          <w:b/>
        </w:rPr>
      </w:pPr>
      <w:r>
        <w:rPr>
          <w:rFonts w:cs="Arial"/>
          <w:b/>
        </w:rPr>
        <w:t>Ředitelství vodních cest ČR</w:t>
      </w:r>
    </w:p>
    <w:p>
      <w:pPr>
        <w:rPr>
          <w:rFonts w:cs="Arial"/>
        </w:rPr>
      </w:pPr>
      <w:r>
        <w:rPr>
          <w:rFonts w:cs="Arial"/>
        </w:rPr>
        <w:t xml:space="preserve">se sídlem: </w:t>
      </w:r>
      <w:r>
        <w:rPr>
          <w:rFonts w:cs="Arial"/>
        </w:rPr>
        <w:tab/>
      </w:r>
      <w:r>
        <w:rPr>
          <w:rFonts w:cs="Arial"/>
        </w:rPr>
        <w:tab/>
        <w:t>nábřeží Ludvíka Svobody 1222/12, 110 15 Praha 1</w:t>
      </w:r>
    </w:p>
    <w:p>
      <w:pPr>
        <w:pStyle w:val="Zkladntext"/>
        <w:rPr>
          <w:rFonts w:ascii="Arial" w:hAnsi="Arial" w:cs="Arial"/>
          <w:sz w:val="22"/>
        </w:rPr>
      </w:pPr>
      <w:r>
        <w:rPr>
          <w:rFonts w:ascii="Arial" w:hAnsi="Arial" w:cs="Arial"/>
          <w:sz w:val="22"/>
        </w:rPr>
        <w:t xml:space="preserve">IČO: </w:t>
      </w:r>
      <w:r>
        <w:rPr>
          <w:rFonts w:ascii="Arial" w:hAnsi="Arial" w:cs="Arial"/>
          <w:sz w:val="22"/>
        </w:rPr>
        <w:tab/>
      </w:r>
      <w:r>
        <w:rPr>
          <w:rFonts w:ascii="Arial" w:hAnsi="Arial" w:cs="Arial"/>
          <w:sz w:val="22"/>
        </w:rPr>
        <w:tab/>
      </w:r>
      <w:r>
        <w:rPr>
          <w:rFonts w:ascii="Arial" w:hAnsi="Arial" w:cs="Arial"/>
          <w:sz w:val="22"/>
        </w:rPr>
        <w:tab/>
        <w:t>67981801</w:t>
      </w:r>
    </w:p>
    <w:p>
      <w:pPr>
        <w:pStyle w:val="Zkladntext"/>
        <w:rPr>
          <w:rFonts w:ascii="Arial" w:hAnsi="Arial" w:cs="Arial"/>
          <w:sz w:val="22"/>
        </w:rPr>
      </w:pPr>
      <w:r>
        <w:rPr>
          <w:rFonts w:ascii="Arial" w:hAnsi="Arial" w:cs="Arial"/>
          <w:sz w:val="22"/>
        </w:rPr>
        <w:lastRenderedPageBreak/>
        <w:t xml:space="preserve">zastoupené: </w:t>
      </w:r>
      <w:r>
        <w:rPr>
          <w:rFonts w:ascii="Arial" w:hAnsi="Arial" w:cs="Arial"/>
          <w:sz w:val="22"/>
        </w:rPr>
        <w:tab/>
      </w:r>
      <w:r>
        <w:rPr>
          <w:rFonts w:ascii="Arial" w:hAnsi="Arial" w:cs="Arial"/>
          <w:sz w:val="22"/>
        </w:rPr>
        <w:tab/>
        <w:t>Ing. Lubomírem Fojtů, ředitelem,</w:t>
      </w:r>
    </w:p>
    <w:p>
      <w:pPr>
        <w:rPr>
          <w:rFonts w:cs="Arial"/>
        </w:rPr>
      </w:pPr>
      <w:r>
        <w:rPr>
          <w:rFonts w:cs="Arial"/>
        </w:rPr>
        <w:t>jehož jménem jedná Státní fond dopravní infrastruktury na základě uzavřené smlouvy o centralizovaném zadávání CES 7/2018 ze dne 5. 6. 2018</w:t>
      </w:r>
    </w:p>
    <w:p>
      <w:pPr>
        <w:rPr>
          <w:rFonts w:cs="Arial"/>
        </w:rPr>
      </w:pPr>
    </w:p>
    <w:p>
      <w:pPr>
        <w:rPr>
          <w:rFonts w:cs="Arial"/>
        </w:rPr>
      </w:pPr>
      <w:r>
        <w:rPr>
          <w:rFonts w:cs="Arial"/>
        </w:rPr>
        <w:t>a</w:t>
      </w:r>
    </w:p>
    <w:p>
      <w:pPr>
        <w:rPr>
          <w:rFonts w:cs="Arial"/>
          <w:b/>
        </w:rPr>
      </w:pPr>
    </w:p>
    <w:p>
      <w:pPr>
        <w:rPr>
          <w:rFonts w:cs="Arial"/>
          <w:b/>
        </w:rPr>
      </w:pPr>
      <w:r>
        <w:rPr>
          <w:rFonts w:cs="Arial"/>
          <w:b/>
        </w:rPr>
        <w:t>Řízení letového provozu ČR, s. p.</w:t>
      </w:r>
    </w:p>
    <w:p>
      <w:pPr>
        <w:rPr>
          <w:rFonts w:cs="Arial"/>
        </w:rPr>
      </w:pPr>
      <w:r>
        <w:rPr>
          <w:rFonts w:cs="Arial"/>
        </w:rPr>
        <w:t xml:space="preserve">se sídlem: </w:t>
      </w:r>
      <w:r>
        <w:rPr>
          <w:rFonts w:cs="Arial"/>
        </w:rPr>
        <w:tab/>
      </w:r>
      <w:r>
        <w:rPr>
          <w:rFonts w:cs="Arial"/>
        </w:rPr>
        <w:tab/>
        <w:t>Navigační 787, 252 61 Jeneč</w:t>
      </w:r>
    </w:p>
    <w:p>
      <w:pPr>
        <w:pStyle w:val="Zkladntext"/>
        <w:rPr>
          <w:rFonts w:ascii="Arial" w:hAnsi="Arial" w:cs="Arial"/>
          <w:sz w:val="22"/>
        </w:rPr>
      </w:pPr>
      <w:r>
        <w:rPr>
          <w:rFonts w:ascii="Arial" w:hAnsi="Arial" w:cs="Arial"/>
          <w:sz w:val="22"/>
        </w:rPr>
        <w:t xml:space="preserve">IČO: </w:t>
      </w:r>
      <w:r>
        <w:rPr>
          <w:rFonts w:ascii="Arial" w:hAnsi="Arial" w:cs="Arial"/>
          <w:sz w:val="22"/>
        </w:rPr>
        <w:tab/>
      </w:r>
      <w:r>
        <w:rPr>
          <w:rFonts w:ascii="Arial" w:hAnsi="Arial" w:cs="Arial"/>
          <w:sz w:val="22"/>
        </w:rPr>
        <w:tab/>
      </w:r>
      <w:r>
        <w:rPr>
          <w:rFonts w:ascii="Arial" w:hAnsi="Arial" w:cs="Arial"/>
          <w:sz w:val="22"/>
        </w:rPr>
        <w:tab/>
        <w:t>49710371</w:t>
      </w:r>
    </w:p>
    <w:p>
      <w:pPr>
        <w:pStyle w:val="Zkladntext"/>
        <w:rPr>
          <w:rFonts w:ascii="Arial" w:hAnsi="Arial" w:cs="Arial"/>
          <w:sz w:val="22"/>
        </w:rPr>
      </w:pPr>
      <w:r>
        <w:rPr>
          <w:rFonts w:ascii="Arial" w:hAnsi="Arial" w:cs="Arial"/>
          <w:sz w:val="22"/>
        </w:rPr>
        <w:t xml:space="preserve">zastoupený: </w:t>
      </w:r>
      <w:r>
        <w:rPr>
          <w:rFonts w:ascii="Arial" w:hAnsi="Arial" w:cs="Arial"/>
          <w:sz w:val="22"/>
        </w:rPr>
        <w:tab/>
      </w:r>
      <w:r>
        <w:rPr>
          <w:rFonts w:ascii="Arial" w:hAnsi="Arial" w:cs="Arial"/>
          <w:sz w:val="22"/>
        </w:rPr>
        <w:tab/>
        <w:t>Ing. Janem Klasem, generálním ředitelem,</w:t>
      </w:r>
    </w:p>
    <w:p>
      <w:pPr>
        <w:rPr>
          <w:rFonts w:cs="Arial"/>
        </w:rPr>
      </w:pPr>
      <w:r>
        <w:rPr>
          <w:rFonts w:cs="Arial"/>
        </w:rPr>
        <w:t>jehož jménem jedná Státní fond dopravní infrastruktury na základě uzavřené smlouvy o centralizovaném zadávání CES 7/2018  ze dne 5. 6. 2018</w:t>
      </w:r>
    </w:p>
    <w:p>
      <w:pPr>
        <w:rPr>
          <w:rFonts w:cs="Arial"/>
        </w:rPr>
      </w:pPr>
    </w:p>
    <w:p>
      <w:pPr>
        <w:rPr>
          <w:rFonts w:cs="Arial"/>
        </w:rPr>
      </w:pPr>
      <w:r>
        <w:rPr>
          <w:rFonts w:cs="Arial"/>
        </w:rPr>
        <w:t>a</w:t>
      </w:r>
    </w:p>
    <w:p>
      <w:pPr>
        <w:rPr>
          <w:rFonts w:cs="Arial"/>
        </w:rPr>
      </w:pPr>
    </w:p>
    <w:p>
      <w:pPr>
        <w:rPr>
          <w:rFonts w:cs="Arial"/>
          <w:b/>
        </w:rPr>
      </w:pPr>
      <w:r>
        <w:rPr>
          <w:rFonts w:cs="Arial"/>
          <w:b/>
        </w:rPr>
        <w:t>Správa železniční dopravní cesty, státní organizace</w:t>
      </w:r>
    </w:p>
    <w:p>
      <w:pPr>
        <w:rPr>
          <w:rFonts w:cs="Arial"/>
        </w:rPr>
      </w:pPr>
      <w:r>
        <w:rPr>
          <w:rFonts w:cs="Arial"/>
        </w:rPr>
        <w:t xml:space="preserve">se sídlem: </w:t>
      </w:r>
      <w:r>
        <w:rPr>
          <w:rFonts w:cs="Arial"/>
        </w:rPr>
        <w:tab/>
      </w:r>
      <w:r>
        <w:rPr>
          <w:rFonts w:cs="Arial"/>
        </w:rPr>
        <w:tab/>
        <w:t>Dlážděná 1003/7, 110 00 Praha 1 </w:t>
      </w:r>
      <w:r>
        <w:rPr>
          <w:rFonts w:cs="Arial"/>
        </w:rPr>
        <w:br/>
        <w:t xml:space="preserve">IČO: </w:t>
      </w:r>
      <w:r>
        <w:rPr>
          <w:rFonts w:cs="Arial"/>
        </w:rPr>
        <w:tab/>
      </w:r>
      <w:r>
        <w:rPr>
          <w:rFonts w:cs="Arial"/>
        </w:rPr>
        <w:tab/>
      </w:r>
      <w:r>
        <w:rPr>
          <w:rFonts w:cs="Arial"/>
        </w:rPr>
        <w:tab/>
        <w:t>70994234</w:t>
      </w:r>
    </w:p>
    <w:p>
      <w:pPr>
        <w:rPr>
          <w:rFonts w:cs="Arial"/>
        </w:rPr>
      </w:pPr>
      <w:r>
        <w:rPr>
          <w:rFonts w:cs="Arial"/>
        </w:rPr>
        <w:t xml:space="preserve">zastoupená: </w:t>
      </w:r>
      <w:r>
        <w:rPr>
          <w:rFonts w:cs="Arial"/>
        </w:rPr>
        <w:tab/>
      </w:r>
      <w:r>
        <w:rPr>
          <w:rFonts w:cs="Arial"/>
        </w:rPr>
        <w:tab/>
        <w:t xml:space="preserve">Bc. Jiřím Svobodou, MBA, generálním ředitelem, </w:t>
      </w:r>
    </w:p>
    <w:p>
      <w:pPr>
        <w:rPr>
          <w:rFonts w:cs="Arial"/>
          <w:i/>
          <w:color w:val="FF0000"/>
        </w:rPr>
      </w:pPr>
      <w:r>
        <w:rPr>
          <w:rFonts w:cs="Arial"/>
        </w:rPr>
        <w:t>jejímž jménem jedná Státní fond dopravní infrastruktury na základě uzavřené smlouvy o centralizovaném zadávání CES 7/2018 ze dne 5. 6. 2018</w:t>
      </w:r>
    </w:p>
    <w:p>
      <w:pPr>
        <w:rPr>
          <w:rFonts w:cs="Arial"/>
          <w:i/>
          <w:color w:val="FF0000"/>
        </w:rPr>
      </w:pPr>
    </w:p>
    <w:p>
      <w:pPr>
        <w:rPr>
          <w:rFonts w:cs="Arial"/>
        </w:rPr>
      </w:pPr>
      <w:r>
        <w:rPr>
          <w:rFonts w:cs="Arial"/>
        </w:rPr>
        <w:t>a</w:t>
      </w:r>
    </w:p>
    <w:p>
      <w:pPr>
        <w:rPr>
          <w:rFonts w:cs="Arial"/>
          <w:b/>
        </w:rPr>
      </w:pPr>
    </w:p>
    <w:p>
      <w:pPr>
        <w:rPr>
          <w:rFonts w:cs="Arial"/>
          <w:b/>
        </w:rPr>
      </w:pPr>
      <w:r>
        <w:rPr>
          <w:rFonts w:cs="Arial"/>
          <w:b/>
        </w:rPr>
        <w:t>Česká republika - Státní plavební správa</w:t>
      </w:r>
    </w:p>
    <w:p>
      <w:pPr>
        <w:rPr>
          <w:rFonts w:cs="Arial"/>
        </w:rPr>
      </w:pPr>
      <w:r>
        <w:rPr>
          <w:rFonts w:cs="Arial"/>
        </w:rPr>
        <w:t xml:space="preserve">se sídlem: </w:t>
      </w:r>
      <w:r>
        <w:rPr>
          <w:rFonts w:cs="Arial"/>
        </w:rPr>
        <w:tab/>
      </w:r>
      <w:r>
        <w:rPr>
          <w:rFonts w:cs="Arial"/>
        </w:rPr>
        <w:tab/>
        <w:t>Jankovcova 4, 170 04 Praha 7 </w:t>
      </w:r>
      <w:r>
        <w:rPr>
          <w:rFonts w:cs="Arial"/>
        </w:rPr>
        <w:br/>
        <w:t xml:space="preserve">IČO: </w:t>
      </w:r>
      <w:r>
        <w:rPr>
          <w:rFonts w:cs="Arial"/>
        </w:rPr>
        <w:tab/>
      </w:r>
      <w:r>
        <w:rPr>
          <w:rFonts w:cs="Arial"/>
        </w:rPr>
        <w:tab/>
      </w:r>
      <w:r>
        <w:rPr>
          <w:rFonts w:cs="Arial"/>
        </w:rPr>
        <w:tab/>
        <w:t>00003352</w:t>
      </w:r>
    </w:p>
    <w:p>
      <w:pPr>
        <w:rPr>
          <w:rFonts w:cs="Arial"/>
        </w:rPr>
      </w:pPr>
      <w:r>
        <w:rPr>
          <w:rFonts w:cs="Arial"/>
        </w:rPr>
        <w:t xml:space="preserve">zastoupená: </w:t>
      </w:r>
      <w:r>
        <w:rPr>
          <w:rFonts w:cs="Arial"/>
        </w:rPr>
        <w:tab/>
      </w:r>
      <w:r>
        <w:rPr>
          <w:rFonts w:cs="Arial"/>
        </w:rPr>
        <w:tab/>
        <w:t>Mgr. Klárou Němcovou, ředitelkou,</w:t>
      </w:r>
    </w:p>
    <w:p>
      <w:pPr>
        <w:rPr>
          <w:rFonts w:cs="Arial"/>
          <w:i/>
          <w:color w:val="FF0000"/>
        </w:rPr>
      </w:pPr>
      <w:r>
        <w:rPr>
          <w:rFonts w:cs="Arial"/>
        </w:rPr>
        <w:t>jejímž jménem jedná Státní fond dopravní infrastruktury na základě uzavřené smlouvy o centralizovaném zadávání CES 7/2018 ze dne 5. 6. 2018</w:t>
      </w:r>
    </w:p>
    <w:p>
      <w:pPr>
        <w:rPr>
          <w:rFonts w:cs="Arial"/>
          <w:b/>
          <w:szCs w:val="22"/>
        </w:rPr>
      </w:pPr>
    </w:p>
    <w:p>
      <w:pPr>
        <w:rPr>
          <w:rFonts w:cs="Arial"/>
          <w:szCs w:val="22"/>
        </w:rPr>
      </w:pPr>
      <w:r>
        <w:rPr>
          <w:rFonts w:cs="Arial"/>
          <w:szCs w:val="22"/>
        </w:rPr>
        <w:t>a</w:t>
      </w:r>
    </w:p>
    <w:p>
      <w:pPr>
        <w:jc w:val="center"/>
      </w:pPr>
    </w:p>
    <w:p>
      <w:pPr>
        <w:rPr>
          <w:rFonts w:cs="Arial"/>
        </w:rPr>
      </w:pPr>
      <w:r>
        <w:rPr>
          <w:rFonts w:cs="Arial"/>
          <w:b/>
          <w:szCs w:val="22"/>
        </w:rPr>
        <w:t>Česká republika</w:t>
      </w:r>
      <w:r>
        <w:rPr>
          <w:rFonts w:cs="Arial"/>
          <w:b/>
        </w:rPr>
        <w:t xml:space="preserve"> - Úřad pro civilní letectví</w:t>
      </w:r>
      <w:r>
        <w:rPr>
          <w:rFonts w:cs="Arial"/>
        </w:rPr>
        <w:t xml:space="preserve"> </w:t>
      </w:r>
    </w:p>
    <w:p>
      <w:pPr>
        <w:rPr>
          <w:rFonts w:cs="Arial"/>
        </w:rPr>
      </w:pPr>
      <w:r>
        <w:rPr>
          <w:rFonts w:cs="Arial"/>
        </w:rPr>
        <w:t xml:space="preserve">se sídlem: </w:t>
      </w:r>
      <w:r>
        <w:rPr>
          <w:rFonts w:cs="Arial"/>
        </w:rPr>
        <w:tab/>
      </w:r>
      <w:r>
        <w:rPr>
          <w:rFonts w:cs="Arial"/>
        </w:rPr>
        <w:tab/>
        <w:t>K letišti 1149/23 160 08 Praha 6 </w:t>
      </w:r>
      <w:r>
        <w:rPr>
          <w:rFonts w:cs="Arial"/>
        </w:rPr>
        <w:br/>
        <w:t xml:space="preserve">IČO: </w:t>
      </w:r>
      <w:r>
        <w:rPr>
          <w:rFonts w:cs="Arial"/>
        </w:rPr>
        <w:tab/>
      </w:r>
      <w:r>
        <w:rPr>
          <w:rFonts w:cs="Arial"/>
        </w:rPr>
        <w:tab/>
      </w:r>
      <w:r>
        <w:rPr>
          <w:rFonts w:cs="Arial"/>
        </w:rPr>
        <w:tab/>
        <w:t>48134678</w:t>
      </w:r>
    </w:p>
    <w:p>
      <w:pPr>
        <w:rPr>
          <w:rFonts w:cs="Arial"/>
        </w:rPr>
      </w:pPr>
      <w:r>
        <w:rPr>
          <w:rFonts w:cs="Arial"/>
        </w:rPr>
        <w:t xml:space="preserve">zastoupený: </w:t>
      </w:r>
      <w:r>
        <w:rPr>
          <w:rFonts w:cs="Arial"/>
        </w:rPr>
        <w:tab/>
      </w:r>
      <w:r>
        <w:rPr>
          <w:rFonts w:cs="Arial"/>
        </w:rPr>
        <w:tab/>
        <w:t xml:space="preserve">Ing. Davidem Jágrem, ředitelem, </w:t>
      </w:r>
    </w:p>
    <w:p>
      <w:pPr>
        <w:rPr>
          <w:rFonts w:cs="Arial"/>
        </w:rPr>
      </w:pPr>
      <w:r>
        <w:rPr>
          <w:rFonts w:cs="Arial"/>
        </w:rPr>
        <w:t>jehož jménem jedná Státní fond dopravní infrastruktury na základě uzavřené smlouvy o centralizovaném zadávání CES 7/2018 ze dne 5. 6. 2018</w:t>
      </w:r>
    </w:p>
    <w:p>
      <w:pPr>
        <w:rPr>
          <w:rFonts w:cs="Arial"/>
        </w:rPr>
      </w:pPr>
    </w:p>
    <w:p>
      <w:pPr>
        <w:rPr>
          <w:rFonts w:cs="Arial"/>
        </w:rPr>
      </w:pPr>
      <w:r>
        <w:rPr>
          <w:rFonts w:cs="Arial"/>
        </w:rPr>
        <w:t>a</w:t>
      </w:r>
    </w:p>
    <w:p>
      <w:pPr>
        <w:rPr>
          <w:rFonts w:cs="Arial"/>
        </w:rPr>
      </w:pPr>
    </w:p>
    <w:p>
      <w:pPr>
        <w:rPr>
          <w:rFonts w:cs="Arial"/>
          <w:b/>
        </w:rPr>
      </w:pPr>
      <w:r>
        <w:rPr>
          <w:rFonts w:cs="Arial"/>
          <w:b/>
        </w:rPr>
        <w:t xml:space="preserve">Úřad pro přístup k dopravní infrastruktuře </w:t>
      </w:r>
    </w:p>
    <w:p>
      <w:pPr>
        <w:rPr>
          <w:rFonts w:cs="Arial"/>
        </w:rPr>
      </w:pPr>
      <w:r>
        <w:rPr>
          <w:rFonts w:cs="Arial"/>
        </w:rPr>
        <w:t xml:space="preserve">se sídlem: </w:t>
      </w:r>
      <w:r>
        <w:rPr>
          <w:rFonts w:cs="Arial"/>
        </w:rPr>
        <w:tab/>
      </w:r>
      <w:r>
        <w:rPr>
          <w:rFonts w:cs="Arial"/>
        </w:rPr>
        <w:tab/>
      </w:r>
      <w:r>
        <w:rPr>
          <w:rFonts w:cs="Arial"/>
          <w:szCs w:val="22"/>
        </w:rPr>
        <w:t>Myslíkova 171/31, 110 00 Praha 1</w:t>
      </w:r>
      <w:r>
        <w:rPr>
          <w:rFonts w:cs="Arial"/>
        </w:rPr>
        <w:t> </w:t>
      </w:r>
      <w:r>
        <w:rPr>
          <w:rFonts w:cs="Arial"/>
        </w:rPr>
        <w:br/>
        <w:t xml:space="preserve">IČO: </w:t>
      </w:r>
      <w:r>
        <w:rPr>
          <w:rFonts w:cs="Arial"/>
        </w:rPr>
        <w:tab/>
      </w:r>
      <w:r>
        <w:rPr>
          <w:rFonts w:cs="Arial"/>
        </w:rPr>
        <w:tab/>
      </w:r>
      <w:r>
        <w:rPr>
          <w:rFonts w:cs="Arial"/>
        </w:rPr>
        <w:tab/>
      </w:r>
      <w:r>
        <w:rPr>
          <w:rFonts w:cs="Arial"/>
          <w:szCs w:val="22"/>
        </w:rPr>
        <w:t>05553521</w:t>
      </w:r>
    </w:p>
    <w:p>
      <w:pPr>
        <w:rPr>
          <w:rFonts w:cs="Arial"/>
        </w:rPr>
      </w:pPr>
      <w:r>
        <w:rPr>
          <w:rFonts w:cs="Arial"/>
        </w:rPr>
        <w:t xml:space="preserve">zastoupený: </w:t>
      </w:r>
      <w:r>
        <w:rPr>
          <w:rFonts w:cs="Arial"/>
        </w:rPr>
        <w:tab/>
      </w:r>
      <w:r>
        <w:rPr>
          <w:rFonts w:cs="Arial"/>
        </w:rPr>
        <w:tab/>
      </w:r>
      <w:r>
        <w:rPr>
          <w:rFonts w:cs="Arial"/>
          <w:szCs w:val="22"/>
        </w:rPr>
        <w:t xml:space="preserve">Ing. Pavlem </w:t>
      </w:r>
      <w:proofErr w:type="spellStart"/>
      <w:r>
        <w:rPr>
          <w:rFonts w:cs="Arial"/>
          <w:szCs w:val="22"/>
        </w:rPr>
        <w:t>Kodymem</w:t>
      </w:r>
      <w:proofErr w:type="spellEnd"/>
      <w:r>
        <w:rPr>
          <w:rFonts w:cs="Arial"/>
          <w:szCs w:val="22"/>
        </w:rPr>
        <w:t>, předsedou</w:t>
      </w:r>
      <w:r>
        <w:rPr>
          <w:rFonts w:cs="Arial"/>
        </w:rPr>
        <w:t>,</w:t>
      </w:r>
    </w:p>
    <w:p>
      <w:pPr>
        <w:rPr>
          <w:rFonts w:cs="Arial"/>
        </w:rPr>
      </w:pPr>
      <w:r>
        <w:rPr>
          <w:rFonts w:cs="Arial"/>
        </w:rPr>
        <w:t>jehož jménem jedná Státní fond dopravní infrastruktury na základě uzavřené smlouvy o centralizovaném zadávání CES 7/2018 ze dne 5. 6. 2018</w:t>
      </w:r>
    </w:p>
    <w:p>
      <w:pPr>
        <w:rPr>
          <w:rFonts w:cs="Arial"/>
        </w:rPr>
      </w:pPr>
    </w:p>
    <w:p>
      <w:pPr>
        <w:rPr>
          <w:rFonts w:cs="Arial"/>
        </w:rPr>
      </w:pPr>
      <w:r>
        <w:rPr>
          <w:rFonts w:cs="Arial"/>
        </w:rPr>
        <w:t>a</w:t>
      </w:r>
    </w:p>
    <w:p>
      <w:pPr>
        <w:rPr>
          <w:rFonts w:cs="Arial"/>
        </w:rPr>
      </w:pPr>
    </w:p>
    <w:p>
      <w:pPr>
        <w:rPr>
          <w:rFonts w:cs="Arial"/>
          <w:b/>
        </w:rPr>
      </w:pPr>
      <w:r>
        <w:rPr>
          <w:rFonts w:cs="Arial"/>
          <w:b/>
        </w:rPr>
        <w:t>Ústav pro odborné zjišťování příčin leteckých nehod</w:t>
      </w:r>
    </w:p>
    <w:p>
      <w:pPr>
        <w:rPr>
          <w:rFonts w:cs="Arial"/>
        </w:rPr>
      </w:pPr>
      <w:r>
        <w:rPr>
          <w:rFonts w:cs="Arial"/>
        </w:rPr>
        <w:t xml:space="preserve">se sídlem: </w:t>
      </w:r>
      <w:r>
        <w:rPr>
          <w:rFonts w:cs="Arial"/>
        </w:rPr>
        <w:tab/>
      </w:r>
      <w:r>
        <w:rPr>
          <w:rFonts w:cs="Arial"/>
        </w:rPr>
        <w:tab/>
        <w:t>Beranových 130, 199 01 Praha 9 - Letňany </w:t>
      </w:r>
      <w:r>
        <w:rPr>
          <w:rFonts w:cs="Arial"/>
        </w:rPr>
        <w:br/>
        <w:t xml:space="preserve">IČO: </w:t>
      </w:r>
      <w:r>
        <w:rPr>
          <w:rFonts w:cs="Arial"/>
        </w:rPr>
        <w:tab/>
      </w:r>
      <w:r>
        <w:rPr>
          <w:rFonts w:cs="Arial"/>
        </w:rPr>
        <w:tab/>
      </w:r>
      <w:r>
        <w:rPr>
          <w:rFonts w:cs="Arial"/>
        </w:rPr>
        <w:tab/>
        <w:t>70990948</w:t>
      </w:r>
    </w:p>
    <w:p>
      <w:pPr>
        <w:rPr>
          <w:rFonts w:cs="Arial"/>
        </w:rPr>
      </w:pPr>
      <w:r>
        <w:rPr>
          <w:rFonts w:cs="Arial"/>
        </w:rPr>
        <w:t xml:space="preserve">zastoupený: </w:t>
      </w:r>
      <w:r>
        <w:rPr>
          <w:rFonts w:cs="Arial"/>
        </w:rPr>
        <w:tab/>
      </w:r>
      <w:r>
        <w:rPr>
          <w:rFonts w:cs="Arial"/>
        </w:rPr>
        <w:tab/>
        <w:t xml:space="preserve">Ing. Pavlem </w:t>
      </w:r>
      <w:proofErr w:type="spellStart"/>
      <w:r>
        <w:rPr>
          <w:rFonts w:cs="Arial"/>
        </w:rPr>
        <w:t>Štrůblem</w:t>
      </w:r>
      <w:proofErr w:type="spellEnd"/>
      <w:r>
        <w:rPr>
          <w:rFonts w:cs="Arial"/>
        </w:rPr>
        <w:t>, ředitelem,</w:t>
      </w:r>
    </w:p>
    <w:p>
      <w:pPr>
        <w:rPr>
          <w:rFonts w:cs="Arial"/>
          <w:i/>
          <w:color w:val="FF0000"/>
        </w:rPr>
      </w:pPr>
      <w:r>
        <w:rPr>
          <w:rFonts w:cs="Arial"/>
        </w:rPr>
        <w:t>jehož jménem jedná Státní fond dopravní infrastruktury na základě uzavřené smlouvy o centralizovaném zadávání CES 7/2018 ze dne 5. 6. 2018</w:t>
      </w:r>
    </w:p>
    <w:p>
      <w:pPr>
        <w:contextualSpacing/>
        <w:rPr>
          <w:rFonts w:cs="Arial"/>
          <w:color w:val="FF0000"/>
        </w:rPr>
      </w:pPr>
    </w:p>
    <w:p>
      <w:pPr>
        <w:contextualSpacing/>
        <w:rPr>
          <w:rFonts w:cs="Arial"/>
        </w:rPr>
      </w:pPr>
      <w:r>
        <w:rPr>
          <w:rFonts w:cs="Arial"/>
        </w:rPr>
        <w:t>na straně jedné</w:t>
      </w:r>
    </w:p>
    <w:p>
      <w:pPr>
        <w:suppressAutoHyphens/>
        <w:jc w:val="both"/>
        <w:rPr>
          <w:rFonts w:cs="Arial"/>
          <w:szCs w:val="22"/>
          <w:lang w:eastAsia="ar-SA" w:bidi="ar-SA"/>
        </w:rPr>
      </w:pPr>
      <w:r>
        <w:rPr>
          <w:rFonts w:cs="Arial"/>
          <w:szCs w:val="22"/>
          <w:lang w:eastAsia="ar-SA" w:bidi="ar-SA"/>
        </w:rPr>
        <w:t>(dále jednotlivě i společně také „</w:t>
      </w:r>
      <w:r>
        <w:rPr>
          <w:rFonts w:cs="Arial"/>
          <w:i/>
          <w:szCs w:val="22"/>
          <w:lang w:eastAsia="ar-SA" w:bidi="ar-SA"/>
        </w:rPr>
        <w:t>Kupující</w:t>
      </w:r>
      <w:r>
        <w:rPr>
          <w:rFonts w:cs="Arial"/>
          <w:szCs w:val="22"/>
          <w:lang w:eastAsia="ar-SA" w:bidi="ar-SA"/>
        </w:rPr>
        <w:t>“)</w:t>
      </w:r>
    </w:p>
    <w:p/>
    <w:p>
      <w:pPr>
        <w:jc w:val="center"/>
      </w:pPr>
      <w:r>
        <w:t>a</w:t>
      </w:r>
    </w:p>
    <w:p/>
    <w:p/>
    <w:p>
      <w:pPr>
        <w:rPr>
          <w:szCs w:val="22"/>
        </w:rPr>
      </w:pPr>
      <w:r>
        <w:rPr>
          <w:rStyle w:val="preformatted"/>
          <w:rFonts w:cs="Arial"/>
          <w:b/>
        </w:rPr>
        <w:t>OFFICE DEPOT s.r.o.</w:t>
      </w:r>
    </w:p>
    <w:p>
      <w:pPr>
        <w:spacing w:before="120"/>
        <w:jc w:val="both"/>
        <w:rPr>
          <w:rFonts w:cs="Arial"/>
          <w:szCs w:val="22"/>
          <w:lang w:eastAsia="cs-CZ" w:bidi="ar-SA"/>
        </w:rPr>
      </w:pPr>
      <w:r>
        <w:rPr>
          <w:rFonts w:cs="Arial"/>
          <w:szCs w:val="22"/>
          <w:lang w:eastAsia="cs-CZ" w:bidi="ar-SA"/>
        </w:rPr>
        <w:t xml:space="preserve">se sídlem: </w:t>
      </w:r>
      <w:r>
        <w:rPr>
          <w:rFonts w:cs="Arial"/>
          <w:szCs w:val="22"/>
          <w:lang w:eastAsia="cs-CZ" w:bidi="ar-SA"/>
        </w:rPr>
        <w:tab/>
      </w:r>
      <w:r>
        <w:rPr>
          <w:rFonts w:cs="Arial"/>
          <w:szCs w:val="22"/>
          <w:lang w:eastAsia="cs-CZ" w:bidi="ar-SA"/>
        </w:rPr>
        <w:tab/>
        <w:t>Floriánova 2461, PSČ 253 01 Hostivice</w:t>
      </w:r>
    </w:p>
    <w:p>
      <w:pPr>
        <w:jc w:val="both"/>
        <w:rPr>
          <w:rFonts w:cs="Arial"/>
          <w:szCs w:val="22"/>
          <w:lang w:eastAsia="cs-CZ" w:bidi="ar-SA"/>
        </w:rPr>
      </w:pPr>
      <w:r>
        <w:rPr>
          <w:rFonts w:cs="Arial"/>
          <w:szCs w:val="22"/>
          <w:lang w:eastAsia="cs-CZ" w:bidi="ar-SA"/>
        </w:rPr>
        <w:t>zastoupená:</w:t>
      </w:r>
      <w:r>
        <w:rPr>
          <w:rFonts w:cs="Arial"/>
          <w:szCs w:val="22"/>
          <w:lang w:eastAsia="cs-CZ" w:bidi="ar-SA"/>
        </w:rPr>
        <w:tab/>
      </w:r>
      <w:r>
        <w:rPr>
          <w:rFonts w:cs="Arial"/>
          <w:szCs w:val="22"/>
          <w:lang w:eastAsia="cs-CZ" w:bidi="ar-SA"/>
        </w:rPr>
        <w:tab/>
        <w:t>Ing. Milan Baran, MBA, jednatel</w:t>
      </w:r>
    </w:p>
    <w:p>
      <w:pPr>
        <w:jc w:val="both"/>
        <w:rPr>
          <w:rFonts w:cs="Arial"/>
          <w:szCs w:val="22"/>
          <w:lang w:eastAsia="cs-CZ" w:bidi="ar-SA"/>
        </w:rPr>
      </w:pPr>
      <w:r>
        <w:rPr>
          <w:rFonts w:cs="Arial"/>
          <w:szCs w:val="22"/>
          <w:lang w:eastAsia="cs-CZ" w:bidi="ar-SA"/>
        </w:rPr>
        <w:t xml:space="preserve">IČO: </w:t>
      </w:r>
      <w:r>
        <w:rPr>
          <w:rFonts w:cs="Arial"/>
          <w:szCs w:val="22"/>
          <w:lang w:eastAsia="cs-CZ" w:bidi="ar-SA"/>
        </w:rPr>
        <w:tab/>
      </w:r>
      <w:r>
        <w:rPr>
          <w:rFonts w:cs="Arial"/>
          <w:szCs w:val="22"/>
          <w:lang w:eastAsia="cs-CZ" w:bidi="ar-SA"/>
        </w:rPr>
        <w:tab/>
      </w:r>
      <w:r>
        <w:rPr>
          <w:rFonts w:cs="Arial"/>
          <w:szCs w:val="22"/>
          <w:lang w:eastAsia="cs-CZ" w:bidi="ar-SA"/>
        </w:rPr>
        <w:tab/>
      </w:r>
      <w:r>
        <w:rPr>
          <w:rFonts w:cs="Arial"/>
          <w:szCs w:val="22"/>
        </w:rPr>
        <w:t>64942503</w:t>
      </w:r>
    </w:p>
    <w:p>
      <w:pPr>
        <w:jc w:val="both"/>
        <w:rPr>
          <w:rFonts w:cs="Arial"/>
          <w:szCs w:val="22"/>
          <w:lang w:eastAsia="cs-CZ" w:bidi="ar-SA"/>
        </w:rPr>
      </w:pPr>
      <w:r>
        <w:rPr>
          <w:rFonts w:cs="Arial"/>
          <w:szCs w:val="22"/>
          <w:lang w:eastAsia="cs-CZ" w:bidi="ar-SA"/>
        </w:rPr>
        <w:t xml:space="preserve">DIČ: </w:t>
      </w:r>
      <w:r>
        <w:rPr>
          <w:rFonts w:cs="Arial"/>
          <w:szCs w:val="22"/>
          <w:lang w:eastAsia="cs-CZ" w:bidi="ar-SA"/>
        </w:rPr>
        <w:tab/>
      </w:r>
      <w:r>
        <w:rPr>
          <w:rFonts w:cs="Arial"/>
          <w:szCs w:val="22"/>
          <w:lang w:eastAsia="cs-CZ" w:bidi="ar-SA"/>
        </w:rPr>
        <w:tab/>
      </w:r>
      <w:r>
        <w:rPr>
          <w:rFonts w:cs="Arial"/>
          <w:szCs w:val="22"/>
          <w:lang w:eastAsia="cs-CZ" w:bidi="ar-SA"/>
        </w:rPr>
        <w:tab/>
        <w:t>CZ</w:t>
      </w:r>
      <w:r>
        <w:rPr>
          <w:rFonts w:cs="Arial"/>
          <w:szCs w:val="22"/>
        </w:rPr>
        <w:t>64942503</w:t>
      </w:r>
    </w:p>
    <w:p>
      <w:r>
        <w:rPr>
          <w:rFonts w:cs="Arial"/>
          <w:szCs w:val="22"/>
          <w:lang w:eastAsia="cs-CZ" w:bidi="ar-SA"/>
        </w:rPr>
        <w:t xml:space="preserve">bankovní spojení: </w:t>
      </w:r>
      <w:r>
        <w:rPr>
          <w:rFonts w:cs="Arial"/>
          <w:szCs w:val="22"/>
          <w:lang w:eastAsia="cs-CZ" w:bidi="ar-SA"/>
        </w:rPr>
        <w:tab/>
      </w:r>
      <w:proofErr w:type="spellStart"/>
      <w:r>
        <w:t>xxx</w:t>
      </w:r>
      <w:proofErr w:type="spellEnd"/>
    </w:p>
    <w:p>
      <w:pPr>
        <w:jc w:val="both"/>
        <w:rPr>
          <w:rFonts w:cs="Arial"/>
          <w:szCs w:val="22"/>
          <w:lang w:eastAsia="cs-CZ" w:bidi="ar-SA"/>
        </w:rPr>
      </w:pPr>
      <w:r>
        <w:rPr>
          <w:rFonts w:cs="Arial"/>
          <w:szCs w:val="22"/>
          <w:lang w:eastAsia="cs-CZ" w:bidi="ar-SA"/>
        </w:rPr>
        <w:t xml:space="preserve">číslo účtu: </w:t>
      </w:r>
      <w:r>
        <w:rPr>
          <w:rFonts w:cs="Arial"/>
          <w:szCs w:val="22"/>
          <w:lang w:eastAsia="cs-CZ" w:bidi="ar-SA"/>
        </w:rPr>
        <w:tab/>
      </w:r>
      <w:r>
        <w:rPr>
          <w:rFonts w:cs="Arial"/>
          <w:szCs w:val="22"/>
          <w:lang w:eastAsia="cs-CZ" w:bidi="ar-SA"/>
        </w:rPr>
        <w:tab/>
      </w:r>
      <w:proofErr w:type="spellStart"/>
      <w:r>
        <w:t>xxx</w:t>
      </w:r>
      <w:proofErr w:type="spellEnd"/>
      <w:r>
        <w:t xml:space="preserve"> </w:t>
      </w:r>
    </w:p>
    <w:p>
      <w:pPr>
        <w:jc w:val="both"/>
        <w:rPr>
          <w:rFonts w:cs="Arial"/>
          <w:szCs w:val="22"/>
          <w:lang w:eastAsia="cs-CZ" w:bidi="ar-SA"/>
        </w:rPr>
      </w:pPr>
      <w:r>
        <w:rPr>
          <w:rFonts w:cs="Arial"/>
          <w:szCs w:val="22"/>
          <w:lang w:eastAsia="cs-CZ" w:bidi="ar-SA"/>
        </w:rPr>
        <w:t>kontaktní osoba:</w:t>
      </w:r>
      <w:r>
        <w:rPr>
          <w:rFonts w:cs="Arial"/>
          <w:szCs w:val="22"/>
          <w:lang w:eastAsia="cs-CZ" w:bidi="ar-SA"/>
        </w:rPr>
        <w:tab/>
      </w:r>
      <w:proofErr w:type="spellStart"/>
      <w:r>
        <w:rPr>
          <w:rFonts w:cs="Arial"/>
          <w:szCs w:val="22"/>
          <w:lang w:eastAsia="cs-CZ" w:bidi="ar-SA"/>
        </w:rPr>
        <w:t>xxx</w:t>
      </w:r>
      <w:proofErr w:type="spellEnd"/>
    </w:p>
    <w:p>
      <w:pPr>
        <w:jc w:val="both"/>
        <w:rPr>
          <w:rFonts w:cs="Arial"/>
          <w:szCs w:val="22"/>
          <w:lang w:eastAsia="cs-CZ" w:bidi="ar-SA"/>
        </w:rPr>
      </w:pPr>
      <w:r>
        <w:rPr>
          <w:rFonts w:cs="Arial"/>
          <w:szCs w:val="22"/>
          <w:lang w:eastAsia="cs-CZ" w:bidi="ar-SA"/>
        </w:rPr>
        <w:t>e-mail:</w:t>
      </w:r>
      <w:r>
        <w:rPr>
          <w:rFonts w:cs="Arial"/>
          <w:szCs w:val="22"/>
          <w:lang w:eastAsia="cs-CZ" w:bidi="ar-SA"/>
        </w:rPr>
        <w:tab/>
      </w:r>
      <w:r>
        <w:rPr>
          <w:rFonts w:cs="Arial"/>
          <w:szCs w:val="22"/>
          <w:lang w:eastAsia="cs-CZ" w:bidi="ar-SA"/>
        </w:rPr>
        <w:tab/>
      </w:r>
      <w:r>
        <w:rPr>
          <w:rFonts w:cs="Arial"/>
          <w:szCs w:val="22"/>
          <w:lang w:eastAsia="cs-CZ" w:bidi="ar-SA"/>
        </w:rPr>
        <w:tab/>
      </w:r>
      <w:proofErr w:type="spellStart"/>
      <w:r>
        <w:rPr>
          <w:rFonts w:cs="Arial"/>
          <w:szCs w:val="22"/>
          <w:lang w:eastAsia="cs-CZ" w:bidi="ar-SA"/>
        </w:rPr>
        <w:t>xxx</w:t>
      </w:r>
      <w:proofErr w:type="spellEnd"/>
    </w:p>
    <w:p>
      <w:pPr>
        <w:jc w:val="both"/>
        <w:rPr>
          <w:rFonts w:cs="Arial"/>
          <w:szCs w:val="22"/>
          <w:lang w:eastAsia="cs-CZ" w:bidi="ar-SA"/>
        </w:rPr>
      </w:pPr>
      <w:r>
        <w:rPr>
          <w:rFonts w:cs="Arial"/>
          <w:szCs w:val="22"/>
          <w:lang w:eastAsia="cs-CZ" w:bidi="ar-SA"/>
        </w:rPr>
        <w:t xml:space="preserve">zapsána: </w:t>
      </w:r>
      <w:r>
        <w:rPr>
          <w:rFonts w:cs="Arial"/>
          <w:szCs w:val="22"/>
          <w:lang w:eastAsia="cs-CZ" w:bidi="ar-SA"/>
        </w:rPr>
        <w:tab/>
      </w:r>
      <w:r>
        <w:rPr>
          <w:rFonts w:cs="Arial"/>
          <w:szCs w:val="22"/>
          <w:lang w:eastAsia="cs-CZ" w:bidi="ar-SA"/>
        </w:rPr>
        <w:tab/>
        <w:t>v OR vedeném Městským soudem v Praze, oddíl C, vložka 42398</w:t>
      </w:r>
    </w:p>
    <w:p>
      <w:pPr>
        <w:spacing w:before="120"/>
        <w:jc w:val="both"/>
        <w:rPr>
          <w:rFonts w:cs="Arial"/>
          <w:szCs w:val="22"/>
          <w:lang w:eastAsia="cs-CZ" w:bidi="ar-SA"/>
        </w:rPr>
      </w:pPr>
      <w:r>
        <w:rPr>
          <w:rFonts w:cs="Arial"/>
          <w:szCs w:val="22"/>
          <w:lang w:eastAsia="cs-CZ" w:bidi="ar-SA"/>
        </w:rPr>
        <w:t xml:space="preserve"> </w:t>
      </w:r>
    </w:p>
    <w:p>
      <w:r>
        <w:t>na straně druhé</w:t>
      </w:r>
    </w:p>
    <w:p>
      <w:pPr>
        <w:suppressAutoHyphens/>
        <w:spacing w:after="120"/>
        <w:jc w:val="both"/>
      </w:pPr>
      <w:r>
        <w:rPr>
          <w:rFonts w:cs="Arial"/>
          <w:szCs w:val="22"/>
          <w:lang w:eastAsia="cs-CZ" w:bidi="ar-SA"/>
        </w:rPr>
        <w:t xml:space="preserve">(dále jen </w:t>
      </w:r>
      <w:r>
        <w:rPr>
          <w:rFonts w:cs="Arial"/>
          <w:caps/>
          <w:szCs w:val="22"/>
          <w:lang w:eastAsia="cs-CZ" w:bidi="ar-SA"/>
        </w:rPr>
        <w:t>„</w:t>
      </w:r>
      <w:r>
        <w:rPr>
          <w:rFonts w:cs="Arial"/>
          <w:i/>
          <w:szCs w:val="22"/>
          <w:lang w:eastAsia="cs-CZ" w:bidi="ar-SA"/>
        </w:rPr>
        <w:t>Prodávající</w:t>
      </w:r>
      <w:r>
        <w:rPr>
          <w:rFonts w:cs="Arial"/>
          <w:caps/>
          <w:szCs w:val="22"/>
          <w:lang w:eastAsia="cs-CZ" w:bidi="ar-SA"/>
        </w:rPr>
        <w:t>“</w:t>
      </w:r>
      <w:r>
        <w:rPr>
          <w:rFonts w:cs="Arial"/>
          <w:szCs w:val="22"/>
          <w:lang w:eastAsia="cs-CZ" w:bidi="ar-SA"/>
        </w:rPr>
        <w:t>)</w:t>
      </w:r>
    </w:p>
    <w:p>
      <w:pPr>
        <w:suppressAutoHyphens/>
        <w:spacing w:before="240" w:after="60"/>
        <w:jc w:val="center"/>
        <w:outlineLvl w:val="0"/>
        <w:rPr>
          <w:rFonts w:cs="Arial"/>
          <w:b/>
          <w:bCs/>
          <w:kern w:val="28"/>
          <w:szCs w:val="32"/>
          <w:lang w:eastAsia="ar-SA" w:bidi="ar-SA"/>
        </w:rPr>
      </w:pPr>
      <w:r>
        <w:rPr>
          <w:rFonts w:cs="Arial"/>
          <w:b/>
          <w:bCs/>
          <w:kern w:val="28"/>
          <w:szCs w:val="32"/>
          <w:lang w:eastAsia="ar-SA" w:bidi="ar-SA"/>
        </w:rPr>
        <w:t>Článek I.</w:t>
      </w:r>
    </w:p>
    <w:p>
      <w:pPr>
        <w:jc w:val="center"/>
        <w:rPr>
          <w:rFonts w:cs="Arial"/>
          <w:b/>
          <w:szCs w:val="22"/>
          <w:lang w:eastAsia="cs-CZ" w:bidi="ar-SA"/>
        </w:rPr>
      </w:pPr>
      <w:r>
        <w:rPr>
          <w:rFonts w:cs="Arial"/>
          <w:b/>
          <w:szCs w:val="22"/>
          <w:lang w:eastAsia="cs-CZ" w:bidi="ar-SA"/>
        </w:rPr>
        <w:t>Účel dohody</w:t>
      </w:r>
    </w:p>
    <w:p>
      <w:pPr>
        <w:numPr>
          <w:ilvl w:val="1"/>
          <w:numId w:val="4"/>
        </w:numPr>
        <w:spacing w:before="120"/>
        <w:ind w:left="357" w:hanging="357"/>
        <w:jc w:val="both"/>
        <w:rPr>
          <w:rFonts w:cs="Arial"/>
          <w:szCs w:val="22"/>
          <w:lang w:bidi="ar-SA"/>
        </w:rPr>
      </w:pPr>
      <w:r>
        <w:rPr>
          <w:rFonts w:cs="Arial"/>
          <w:szCs w:val="22"/>
          <w:lang w:bidi="ar-SA"/>
        </w:rPr>
        <w:t>Účelem této Rámcové dohody (dále také jen „Smlouva“) je stanovení práv a povinností při zajištění dodávek xerografického papíru dle Smlouvy. Smlouva vymezuje veškeré podmínky plnění ve smyslu § 131 odst. 1 ZZVZ. Na základě Smlouvy bude Kupující zadávat veřejné zakázky postupem dle § 134 odst. 1 ZZVZ.</w:t>
      </w:r>
    </w:p>
    <w:p>
      <w:pPr>
        <w:numPr>
          <w:ilvl w:val="1"/>
          <w:numId w:val="4"/>
        </w:numPr>
        <w:spacing w:before="120"/>
        <w:jc w:val="both"/>
        <w:rPr>
          <w:rFonts w:cs="Arial"/>
          <w:szCs w:val="22"/>
          <w:lang w:bidi="ar-SA"/>
        </w:rPr>
      </w:pPr>
      <w:r>
        <w:rPr>
          <w:rFonts w:cs="Arial"/>
          <w:szCs w:val="22"/>
          <w:lang w:bidi="ar-SA"/>
        </w:rPr>
        <w:t xml:space="preserve">Smlouva je uzavírána mezi Prodávajícím a Kupujícím na základě výsledku zadávacího řízení za účelem realizace veřejné zakázky s názvem „Dodávky xerografického papíru pro resort dopravy 2019 - 2021“, uveřejněného ve Věstníku veřejných zakázek dne </w:t>
      </w:r>
      <w:r>
        <w:t>31. 05. 2019</w:t>
      </w:r>
      <w:r>
        <w:rPr>
          <w:rFonts w:cs="Arial"/>
          <w:szCs w:val="22"/>
          <w:lang w:bidi="ar-SA"/>
        </w:rPr>
        <w:t xml:space="preserve"> pod evidenčním číslem </w:t>
      </w:r>
      <w:hyperlink r:id="rId11" w:history="1">
        <w:r>
          <w:rPr>
            <w:rStyle w:val="Hypertextovodkaz"/>
          </w:rPr>
          <w:t>Z2019-017869</w:t>
        </w:r>
      </w:hyperlink>
      <w:r>
        <w:rPr>
          <w:rFonts w:cs="Arial"/>
          <w:szCs w:val="22"/>
          <w:lang w:bidi="ar-SA"/>
        </w:rPr>
        <w:t xml:space="preserve"> (dále jen „Veřejná zakázka“), neboť nabídka Prodávajícího byla vyhodnocena jako ekonomicky nejvhodnější.</w:t>
      </w:r>
    </w:p>
    <w:p>
      <w:pPr>
        <w:numPr>
          <w:ilvl w:val="1"/>
          <w:numId w:val="4"/>
        </w:numPr>
        <w:spacing w:before="120"/>
        <w:jc w:val="both"/>
        <w:rPr>
          <w:rFonts w:cs="Arial"/>
          <w:szCs w:val="22"/>
          <w:lang w:bidi="ar-SA"/>
        </w:rPr>
      </w:pPr>
      <w:r>
        <w:rPr>
          <w:rFonts w:cs="Arial"/>
          <w:szCs w:val="22"/>
          <w:lang w:bidi="ar-SA"/>
        </w:rPr>
        <w:t xml:space="preserve">Prodávající vyjadřuje podpisem Smlouvy svůj souhlas s tím, že jednotliví Kupující mohou a budou na základě Smlouvy svým jménem a na svůj účet vyzývat k poskytnutí plnění Prodávajícího a </w:t>
      </w:r>
      <w:r>
        <w:t>uzavírat s ním dílčí kupní smlouvy</w:t>
      </w:r>
      <w:r>
        <w:rPr>
          <w:rFonts w:cs="Arial"/>
          <w:szCs w:val="22"/>
          <w:lang w:bidi="ar-SA"/>
        </w:rPr>
        <w:t>.</w:t>
      </w:r>
    </w:p>
    <w:p>
      <w:pPr>
        <w:suppressAutoHyphens/>
        <w:spacing w:before="240" w:after="60"/>
        <w:jc w:val="center"/>
        <w:outlineLvl w:val="0"/>
        <w:rPr>
          <w:rFonts w:cs="Arial"/>
          <w:b/>
          <w:bCs/>
          <w:kern w:val="28"/>
          <w:szCs w:val="32"/>
          <w:lang w:eastAsia="ar-SA" w:bidi="ar-SA"/>
        </w:rPr>
      </w:pPr>
      <w:r>
        <w:rPr>
          <w:rFonts w:cs="Arial"/>
          <w:b/>
          <w:bCs/>
          <w:kern w:val="28"/>
          <w:szCs w:val="32"/>
          <w:lang w:eastAsia="ar-SA" w:bidi="ar-SA"/>
        </w:rPr>
        <w:t>Článek II.</w:t>
      </w:r>
    </w:p>
    <w:p>
      <w:pPr>
        <w:jc w:val="center"/>
        <w:rPr>
          <w:rFonts w:cs="Arial"/>
          <w:b/>
          <w:szCs w:val="22"/>
          <w:lang w:eastAsia="cs-CZ" w:bidi="ar-SA"/>
        </w:rPr>
      </w:pPr>
      <w:r>
        <w:rPr>
          <w:rFonts w:cs="Arial"/>
          <w:b/>
          <w:szCs w:val="22"/>
          <w:lang w:eastAsia="cs-CZ" w:bidi="ar-SA"/>
        </w:rPr>
        <w:t>Předmět Smlouvy</w:t>
      </w:r>
    </w:p>
    <w:p>
      <w:pPr>
        <w:numPr>
          <w:ilvl w:val="1"/>
          <w:numId w:val="10"/>
        </w:numPr>
        <w:spacing w:before="120"/>
        <w:jc w:val="both"/>
        <w:rPr>
          <w:rFonts w:cs="Arial"/>
          <w:szCs w:val="22"/>
        </w:rPr>
      </w:pPr>
      <w:bookmarkStart w:id="0" w:name="_Ref374724298"/>
      <w:r>
        <w:rPr>
          <w:rFonts w:cs="Arial"/>
          <w:szCs w:val="22"/>
        </w:rPr>
        <w:t>Předmětem Smlouvy je povinnost Prodávajícího dodávat Kupujícímu xerografický papír dle technické specifikace uvedené v Příloze č. 1 Smlouvy (dále také „Zboží“) za podmínek upravených v zadávacích podmínkách Veřejné zakázky, v nabídce podané Účastníkem v rámci zadávacího řízení na Veřejnou zakázku, za podmínek uvedených dále ve Smlouvě a jejích přílohách a dle požadavku Kupujícího uvedeného ve výzvě k poskytnutí plnění podle čl. IV. Smlouvy.</w:t>
      </w:r>
      <w:bookmarkEnd w:id="0"/>
      <w:r>
        <w:rPr>
          <w:rFonts w:cs="Arial"/>
          <w:szCs w:val="22"/>
        </w:rPr>
        <w:t xml:space="preserve"> V případě rozporných ustanovení v uvedených dokumentech má přednost znění Smlouvy.</w:t>
      </w:r>
    </w:p>
    <w:p>
      <w:pPr>
        <w:numPr>
          <w:ilvl w:val="1"/>
          <w:numId w:val="10"/>
        </w:numPr>
        <w:spacing w:before="120"/>
        <w:jc w:val="both"/>
        <w:rPr>
          <w:rFonts w:cs="Arial"/>
          <w:szCs w:val="22"/>
        </w:rPr>
      </w:pPr>
      <w:r>
        <w:rPr>
          <w:rFonts w:cs="Arial"/>
          <w:szCs w:val="22"/>
        </w:rPr>
        <w:t>Prodávající se zavazuje, že Zboží bude mít vlastnosti dle specifikace uvedené v Příloze č. 1  Smlouvy a bude odpovídat požadovaným technických normám uvedeným tamtéž.</w:t>
      </w:r>
    </w:p>
    <w:p>
      <w:pPr>
        <w:numPr>
          <w:ilvl w:val="1"/>
          <w:numId w:val="10"/>
        </w:numPr>
        <w:spacing w:before="120"/>
        <w:jc w:val="both"/>
        <w:rPr>
          <w:rFonts w:cs="Arial"/>
          <w:b/>
          <w:szCs w:val="22"/>
        </w:rPr>
      </w:pPr>
      <w:r>
        <w:rPr>
          <w:rFonts w:cs="Arial"/>
          <w:szCs w:val="22"/>
        </w:rPr>
        <w:t xml:space="preserve">Minimální hodnota jednotlivého </w:t>
      </w:r>
      <w:r>
        <w:rPr>
          <w:rFonts w:cs="Arial"/>
        </w:rPr>
        <w:t xml:space="preserve">nákupu Zboží uskutečněná Kupujícím na základě jedné </w:t>
      </w:r>
      <w:r>
        <w:t>objednávky</w:t>
      </w:r>
      <w:r>
        <w:rPr>
          <w:rFonts w:cs="Arial"/>
        </w:rPr>
        <w:t xml:space="preserve"> se závozem na určité odběrné místo je stanovena na 2 000 Kč bez DPH.</w:t>
      </w:r>
      <w:r>
        <w:rPr>
          <w:rFonts w:cs="Arial"/>
          <w:szCs w:val="22"/>
        </w:rPr>
        <w:t xml:space="preserve"> </w:t>
      </w:r>
    </w:p>
    <w:p>
      <w:pPr>
        <w:suppressAutoHyphens/>
        <w:spacing w:before="240" w:after="60"/>
        <w:jc w:val="center"/>
        <w:outlineLvl w:val="0"/>
        <w:rPr>
          <w:rFonts w:cs="Arial"/>
          <w:b/>
          <w:bCs/>
          <w:kern w:val="28"/>
          <w:szCs w:val="32"/>
          <w:lang w:eastAsia="ar-SA" w:bidi="ar-SA"/>
        </w:rPr>
      </w:pPr>
      <w:r>
        <w:rPr>
          <w:rFonts w:cs="Arial"/>
          <w:b/>
          <w:bCs/>
          <w:kern w:val="28"/>
          <w:szCs w:val="32"/>
          <w:lang w:eastAsia="ar-SA" w:bidi="ar-SA"/>
        </w:rPr>
        <w:t>Článek III.</w:t>
      </w:r>
    </w:p>
    <w:p>
      <w:pPr>
        <w:jc w:val="center"/>
        <w:rPr>
          <w:rFonts w:cs="Arial"/>
          <w:b/>
          <w:szCs w:val="22"/>
          <w:lang w:eastAsia="cs-CZ" w:bidi="ar-SA"/>
        </w:rPr>
      </w:pPr>
      <w:r>
        <w:rPr>
          <w:rFonts w:cs="Arial"/>
          <w:b/>
          <w:szCs w:val="22"/>
          <w:lang w:eastAsia="cs-CZ" w:bidi="ar-SA"/>
        </w:rPr>
        <w:t>Cena a platební podmínky</w:t>
      </w:r>
    </w:p>
    <w:p>
      <w:pPr>
        <w:numPr>
          <w:ilvl w:val="1"/>
          <w:numId w:val="6"/>
        </w:numPr>
        <w:spacing w:before="120"/>
        <w:jc w:val="both"/>
        <w:rPr>
          <w:rFonts w:cs="Arial"/>
          <w:szCs w:val="22"/>
        </w:rPr>
      </w:pPr>
      <w:bookmarkStart w:id="1" w:name="_Ref259113941"/>
      <w:r>
        <w:rPr>
          <w:rFonts w:cs="Arial"/>
          <w:szCs w:val="22"/>
        </w:rPr>
        <w:t xml:space="preserve">Prodávající se zavazuje dodávat Zboží dle Smlouvy Kupujícímu nejvýše za ceny uvedené níže. </w:t>
      </w:r>
      <w:bookmarkEnd w:id="1"/>
    </w:p>
    <w:p>
      <w:pPr>
        <w:spacing w:before="120"/>
        <w:jc w:val="both"/>
        <w:rPr>
          <w:rFonts w:cs="Arial"/>
          <w:b/>
          <w:szCs w:val="22"/>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42"/>
        <w:gridCol w:w="992"/>
        <w:gridCol w:w="567"/>
        <w:gridCol w:w="1795"/>
        <w:gridCol w:w="1795"/>
        <w:gridCol w:w="1796"/>
      </w:tblGrid>
      <w:tr>
        <w:trPr>
          <w:trHeight w:val="912"/>
        </w:trPr>
        <w:tc>
          <w:tcPr>
            <w:tcW w:w="2142" w:type="dxa"/>
            <w:shd w:val="clear" w:color="auto" w:fill="auto"/>
            <w:vAlign w:val="center"/>
            <w:hideMark/>
          </w:tcPr>
          <w:p>
            <w:pPr>
              <w:jc w:val="center"/>
              <w:rPr>
                <w:rFonts w:cs="Arial"/>
                <w:b/>
                <w:bCs/>
                <w:color w:val="000000"/>
                <w:lang w:eastAsia="cs-CZ" w:bidi="ar-SA"/>
              </w:rPr>
            </w:pPr>
            <w:r>
              <w:rPr>
                <w:rFonts w:cs="Arial"/>
                <w:b/>
                <w:bCs/>
                <w:color w:val="000000"/>
                <w:szCs w:val="22"/>
                <w:lang w:eastAsia="cs-CZ" w:bidi="ar-SA"/>
              </w:rPr>
              <w:t>Název zboží</w:t>
            </w:r>
          </w:p>
        </w:tc>
        <w:tc>
          <w:tcPr>
            <w:tcW w:w="992" w:type="dxa"/>
            <w:vAlign w:val="center"/>
          </w:tcPr>
          <w:p>
            <w:pPr>
              <w:jc w:val="center"/>
              <w:rPr>
                <w:rFonts w:cs="Arial"/>
                <w:b/>
                <w:bCs/>
                <w:lang w:eastAsia="cs-CZ" w:bidi="ar-SA"/>
              </w:rPr>
            </w:pPr>
            <w:r>
              <w:rPr>
                <w:rFonts w:cs="Arial"/>
                <w:b/>
                <w:bCs/>
                <w:szCs w:val="22"/>
                <w:lang w:eastAsia="cs-CZ" w:bidi="ar-SA"/>
              </w:rPr>
              <w:t>Kvalita zboží</w:t>
            </w:r>
          </w:p>
        </w:tc>
        <w:tc>
          <w:tcPr>
            <w:tcW w:w="567" w:type="dxa"/>
            <w:shd w:val="clear" w:color="auto" w:fill="auto"/>
            <w:vAlign w:val="center"/>
            <w:hideMark/>
          </w:tcPr>
          <w:p>
            <w:pPr>
              <w:jc w:val="center"/>
              <w:rPr>
                <w:rFonts w:cs="Arial"/>
                <w:b/>
                <w:bCs/>
                <w:lang w:eastAsia="cs-CZ" w:bidi="ar-SA"/>
              </w:rPr>
            </w:pPr>
            <w:r>
              <w:rPr>
                <w:rFonts w:cs="Arial"/>
                <w:b/>
                <w:bCs/>
                <w:szCs w:val="22"/>
                <w:lang w:eastAsia="cs-CZ" w:bidi="ar-SA"/>
              </w:rPr>
              <w:t>MJ</w:t>
            </w:r>
          </w:p>
        </w:tc>
        <w:tc>
          <w:tcPr>
            <w:tcW w:w="1795" w:type="dxa"/>
            <w:shd w:val="clear" w:color="auto" w:fill="auto"/>
            <w:vAlign w:val="center"/>
            <w:hideMark/>
          </w:tcPr>
          <w:p>
            <w:pPr>
              <w:jc w:val="center"/>
              <w:rPr>
                <w:rFonts w:cs="Arial"/>
                <w:b/>
                <w:bCs/>
                <w:lang w:eastAsia="cs-CZ" w:bidi="ar-SA"/>
              </w:rPr>
            </w:pPr>
            <w:r>
              <w:rPr>
                <w:rFonts w:cs="Arial"/>
                <w:b/>
                <w:bCs/>
                <w:szCs w:val="22"/>
                <w:lang w:eastAsia="cs-CZ" w:bidi="ar-SA"/>
              </w:rPr>
              <w:t>Jednotková cena</w:t>
            </w:r>
            <w:r>
              <w:rPr>
                <w:rFonts w:cs="Arial"/>
                <w:b/>
                <w:bCs/>
                <w:szCs w:val="22"/>
                <w:lang w:eastAsia="cs-CZ" w:bidi="ar-SA"/>
              </w:rPr>
              <w:br/>
              <w:t>v Kč bez DPH</w:t>
            </w:r>
          </w:p>
        </w:tc>
        <w:tc>
          <w:tcPr>
            <w:tcW w:w="1795" w:type="dxa"/>
            <w:shd w:val="clear" w:color="auto" w:fill="auto"/>
            <w:vAlign w:val="center"/>
            <w:hideMark/>
          </w:tcPr>
          <w:p>
            <w:pPr>
              <w:jc w:val="center"/>
              <w:rPr>
                <w:rFonts w:cs="Arial"/>
                <w:b/>
                <w:bCs/>
                <w:lang w:eastAsia="cs-CZ" w:bidi="ar-SA"/>
              </w:rPr>
            </w:pPr>
            <w:r>
              <w:rPr>
                <w:rFonts w:cs="Arial"/>
                <w:b/>
                <w:bCs/>
                <w:szCs w:val="22"/>
                <w:lang w:eastAsia="cs-CZ" w:bidi="ar-SA"/>
              </w:rPr>
              <w:t>DPH</w:t>
            </w:r>
          </w:p>
        </w:tc>
        <w:tc>
          <w:tcPr>
            <w:tcW w:w="1796" w:type="dxa"/>
            <w:shd w:val="clear" w:color="auto" w:fill="auto"/>
            <w:vAlign w:val="center"/>
            <w:hideMark/>
          </w:tcPr>
          <w:p>
            <w:pPr>
              <w:jc w:val="center"/>
              <w:rPr>
                <w:rFonts w:cs="Arial"/>
                <w:b/>
                <w:bCs/>
                <w:lang w:eastAsia="cs-CZ" w:bidi="ar-SA"/>
              </w:rPr>
            </w:pPr>
            <w:r>
              <w:rPr>
                <w:rFonts w:cs="Arial"/>
                <w:b/>
                <w:bCs/>
                <w:szCs w:val="22"/>
                <w:lang w:eastAsia="cs-CZ" w:bidi="ar-SA"/>
              </w:rPr>
              <w:t>Jednotková cena</w:t>
            </w:r>
            <w:r>
              <w:rPr>
                <w:rFonts w:cs="Arial"/>
                <w:b/>
                <w:bCs/>
                <w:szCs w:val="22"/>
                <w:lang w:eastAsia="cs-CZ" w:bidi="ar-SA"/>
              </w:rPr>
              <w:br/>
              <w:t>v Kč s DPH</w:t>
            </w:r>
          </w:p>
        </w:tc>
      </w:tr>
      <w:tr>
        <w:trPr>
          <w:trHeight w:val="375"/>
        </w:trPr>
        <w:tc>
          <w:tcPr>
            <w:tcW w:w="2142" w:type="dxa"/>
            <w:vMerge w:val="restart"/>
            <w:shd w:val="clear" w:color="auto" w:fill="auto"/>
            <w:vAlign w:val="center"/>
            <w:hideMark/>
          </w:tcPr>
          <w:p>
            <w:pPr>
              <w:rPr>
                <w:rFonts w:cs="Arial"/>
                <w:b/>
                <w:bCs/>
                <w:lang w:eastAsia="cs-CZ" w:bidi="ar-SA"/>
              </w:rPr>
            </w:pPr>
            <w:r>
              <w:rPr>
                <w:rFonts w:cs="Arial"/>
                <w:b/>
                <w:bCs/>
                <w:szCs w:val="22"/>
                <w:lang w:eastAsia="cs-CZ" w:bidi="ar-SA"/>
              </w:rPr>
              <w:t>Papír formátu A4</w:t>
            </w:r>
          </w:p>
        </w:tc>
        <w:tc>
          <w:tcPr>
            <w:tcW w:w="992" w:type="dxa"/>
            <w:vAlign w:val="center"/>
          </w:tcPr>
          <w:p>
            <w:pPr>
              <w:jc w:val="center"/>
              <w:rPr>
                <w:rFonts w:cs="Arial"/>
                <w:lang w:eastAsia="cs-CZ" w:bidi="ar-SA"/>
              </w:rPr>
            </w:pPr>
            <w:r>
              <w:rPr>
                <w:rFonts w:cs="Arial"/>
                <w:szCs w:val="22"/>
                <w:lang w:eastAsia="cs-CZ" w:bidi="ar-SA"/>
              </w:rPr>
              <w:t>A</w:t>
            </w:r>
          </w:p>
        </w:tc>
        <w:tc>
          <w:tcPr>
            <w:tcW w:w="567" w:type="dxa"/>
            <w:shd w:val="clear" w:color="auto" w:fill="auto"/>
            <w:vAlign w:val="center"/>
            <w:hideMark/>
          </w:tcPr>
          <w:p>
            <w:pPr>
              <w:jc w:val="center"/>
              <w:rPr>
                <w:rFonts w:cs="Arial"/>
                <w:lang w:eastAsia="cs-CZ" w:bidi="ar-SA"/>
              </w:rPr>
            </w:pPr>
            <w:r>
              <w:rPr>
                <w:rFonts w:cs="Arial"/>
                <w:szCs w:val="22"/>
                <w:lang w:eastAsia="cs-CZ" w:bidi="ar-SA"/>
              </w:rPr>
              <w:t>ks</w:t>
            </w:r>
          </w:p>
        </w:tc>
        <w:tc>
          <w:tcPr>
            <w:tcW w:w="1795" w:type="dxa"/>
            <w:shd w:val="clear" w:color="auto" w:fill="auto"/>
            <w:vAlign w:val="center"/>
          </w:tcPr>
          <w:p>
            <w:pPr>
              <w:jc w:val="right"/>
              <w:rPr>
                <w:rFonts w:cs="Arial"/>
                <w:lang w:eastAsia="cs-CZ" w:bidi="ar-SA"/>
              </w:rPr>
            </w:pPr>
            <w:r>
              <w:rPr>
                <w:rFonts w:cs="Arial"/>
                <w:szCs w:val="22"/>
                <w:lang w:eastAsia="cs-CZ" w:bidi="ar-SA"/>
              </w:rPr>
              <w:t>65,30</w:t>
            </w:r>
          </w:p>
        </w:tc>
        <w:tc>
          <w:tcPr>
            <w:tcW w:w="1795" w:type="dxa"/>
            <w:shd w:val="clear" w:color="auto" w:fill="auto"/>
            <w:vAlign w:val="center"/>
          </w:tcPr>
          <w:p>
            <w:pPr>
              <w:jc w:val="right"/>
              <w:rPr>
                <w:rFonts w:cs="Arial"/>
                <w:lang w:eastAsia="cs-CZ" w:bidi="ar-SA"/>
              </w:rPr>
            </w:pPr>
            <w:r>
              <w:rPr>
                <w:rFonts w:cs="Arial"/>
                <w:szCs w:val="22"/>
                <w:lang w:eastAsia="cs-CZ" w:bidi="ar-SA"/>
              </w:rPr>
              <w:t>13,71</w:t>
            </w:r>
          </w:p>
        </w:tc>
        <w:tc>
          <w:tcPr>
            <w:tcW w:w="1796" w:type="dxa"/>
            <w:shd w:val="clear" w:color="auto" w:fill="auto"/>
            <w:vAlign w:val="center"/>
          </w:tcPr>
          <w:p>
            <w:pPr>
              <w:jc w:val="right"/>
              <w:rPr>
                <w:rFonts w:cs="Arial"/>
                <w:lang w:eastAsia="cs-CZ" w:bidi="ar-SA"/>
              </w:rPr>
            </w:pPr>
            <w:r>
              <w:rPr>
                <w:rFonts w:cs="Arial"/>
                <w:szCs w:val="22"/>
                <w:lang w:eastAsia="cs-CZ" w:bidi="ar-SA"/>
              </w:rPr>
              <w:t>79,01</w:t>
            </w:r>
          </w:p>
        </w:tc>
      </w:tr>
      <w:tr>
        <w:trPr>
          <w:trHeight w:val="375"/>
        </w:trPr>
        <w:tc>
          <w:tcPr>
            <w:tcW w:w="2142" w:type="dxa"/>
            <w:vMerge/>
            <w:shd w:val="clear" w:color="auto" w:fill="auto"/>
            <w:vAlign w:val="center"/>
            <w:hideMark/>
          </w:tcPr>
          <w:p>
            <w:pPr>
              <w:rPr>
                <w:rFonts w:cs="Arial"/>
                <w:b/>
                <w:bCs/>
                <w:lang w:eastAsia="cs-CZ" w:bidi="ar-SA"/>
              </w:rPr>
            </w:pPr>
          </w:p>
        </w:tc>
        <w:tc>
          <w:tcPr>
            <w:tcW w:w="992" w:type="dxa"/>
            <w:vAlign w:val="center"/>
          </w:tcPr>
          <w:p>
            <w:pPr>
              <w:jc w:val="center"/>
              <w:rPr>
                <w:rFonts w:cs="Arial"/>
                <w:lang w:eastAsia="cs-CZ" w:bidi="ar-SA"/>
              </w:rPr>
            </w:pPr>
            <w:r>
              <w:rPr>
                <w:rFonts w:cs="Arial"/>
                <w:szCs w:val="22"/>
                <w:lang w:eastAsia="cs-CZ" w:bidi="ar-SA"/>
              </w:rPr>
              <w:t>B</w:t>
            </w:r>
          </w:p>
        </w:tc>
        <w:tc>
          <w:tcPr>
            <w:tcW w:w="567" w:type="dxa"/>
            <w:shd w:val="clear" w:color="auto" w:fill="auto"/>
            <w:vAlign w:val="center"/>
            <w:hideMark/>
          </w:tcPr>
          <w:p>
            <w:pPr>
              <w:jc w:val="center"/>
              <w:rPr>
                <w:rFonts w:cs="Arial"/>
                <w:lang w:eastAsia="cs-CZ" w:bidi="ar-SA"/>
              </w:rPr>
            </w:pPr>
            <w:r>
              <w:rPr>
                <w:rFonts w:cs="Arial"/>
                <w:szCs w:val="22"/>
                <w:lang w:eastAsia="cs-CZ" w:bidi="ar-SA"/>
              </w:rPr>
              <w:t>ks</w:t>
            </w:r>
          </w:p>
        </w:tc>
        <w:tc>
          <w:tcPr>
            <w:tcW w:w="1795" w:type="dxa"/>
            <w:shd w:val="clear" w:color="auto" w:fill="auto"/>
            <w:vAlign w:val="center"/>
          </w:tcPr>
          <w:p>
            <w:pPr>
              <w:jc w:val="right"/>
              <w:rPr>
                <w:rFonts w:cs="Arial"/>
                <w:lang w:eastAsia="cs-CZ" w:bidi="ar-SA"/>
              </w:rPr>
            </w:pPr>
            <w:r>
              <w:rPr>
                <w:rFonts w:cs="Arial"/>
                <w:szCs w:val="22"/>
                <w:lang w:eastAsia="cs-CZ" w:bidi="ar-SA"/>
              </w:rPr>
              <w:t>59,60</w:t>
            </w:r>
          </w:p>
        </w:tc>
        <w:tc>
          <w:tcPr>
            <w:tcW w:w="1795" w:type="dxa"/>
            <w:shd w:val="clear" w:color="auto" w:fill="auto"/>
            <w:vAlign w:val="center"/>
          </w:tcPr>
          <w:p>
            <w:pPr>
              <w:jc w:val="right"/>
              <w:rPr>
                <w:rFonts w:cs="Arial"/>
                <w:lang w:eastAsia="cs-CZ" w:bidi="ar-SA"/>
              </w:rPr>
            </w:pPr>
            <w:r>
              <w:rPr>
                <w:rFonts w:cs="Arial"/>
                <w:szCs w:val="22"/>
                <w:lang w:eastAsia="cs-CZ" w:bidi="ar-SA"/>
              </w:rPr>
              <w:t>12,52</w:t>
            </w:r>
          </w:p>
        </w:tc>
        <w:tc>
          <w:tcPr>
            <w:tcW w:w="1796" w:type="dxa"/>
            <w:shd w:val="clear" w:color="auto" w:fill="auto"/>
            <w:vAlign w:val="center"/>
          </w:tcPr>
          <w:p>
            <w:pPr>
              <w:jc w:val="right"/>
              <w:rPr>
                <w:rFonts w:cs="Arial"/>
                <w:lang w:eastAsia="cs-CZ" w:bidi="ar-SA"/>
              </w:rPr>
            </w:pPr>
            <w:r>
              <w:rPr>
                <w:rFonts w:cs="Arial"/>
                <w:szCs w:val="22"/>
                <w:lang w:eastAsia="cs-CZ" w:bidi="ar-SA"/>
              </w:rPr>
              <w:t>72,12</w:t>
            </w:r>
          </w:p>
        </w:tc>
      </w:tr>
      <w:tr>
        <w:trPr>
          <w:trHeight w:val="375"/>
        </w:trPr>
        <w:tc>
          <w:tcPr>
            <w:tcW w:w="2142" w:type="dxa"/>
            <w:vMerge w:val="restart"/>
            <w:shd w:val="clear" w:color="auto" w:fill="auto"/>
            <w:vAlign w:val="center"/>
            <w:hideMark/>
          </w:tcPr>
          <w:p>
            <w:pPr>
              <w:rPr>
                <w:rFonts w:cs="Arial"/>
                <w:b/>
                <w:bCs/>
                <w:lang w:eastAsia="cs-CZ" w:bidi="ar-SA"/>
              </w:rPr>
            </w:pPr>
            <w:r>
              <w:rPr>
                <w:rFonts w:cs="Arial"/>
                <w:b/>
                <w:bCs/>
                <w:szCs w:val="22"/>
                <w:lang w:eastAsia="cs-CZ" w:bidi="ar-SA"/>
              </w:rPr>
              <w:t>Papír formátu A3</w:t>
            </w:r>
          </w:p>
        </w:tc>
        <w:tc>
          <w:tcPr>
            <w:tcW w:w="992" w:type="dxa"/>
            <w:vAlign w:val="center"/>
          </w:tcPr>
          <w:p>
            <w:pPr>
              <w:jc w:val="center"/>
              <w:rPr>
                <w:rFonts w:cs="Arial"/>
                <w:lang w:eastAsia="cs-CZ" w:bidi="ar-SA"/>
              </w:rPr>
            </w:pPr>
            <w:r>
              <w:rPr>
                <w:rFonts w:cs="Arial"/>
                <w:szCs w:val="22"/>
                <w:lang w:eastAsia="cs-CZ" w:bidi="ar-SA"/>
              </w:rPr>
              <w:t>A</w:t>
            </w:r>
          </w:p>
        </w:tc>
        <w:tc>
          <w:tcPr>
            <w:tcW w:w="567" w:type="dxa"/>
            <w:shd w:val="clear" w:color="auto" w:fill="auto"/>
            <w:vAlign w:val="center"/>
            <w:hideMark/>
          </w:tcPr>
          <w:p>
            <w:pPr>
              <w:jc w:val="center"/>
              <w:rPr>
                <w:rFonts w:cs="Arial"/>
                <w:lang w:eastAsia="cs-CZ" w:bidi="ar-SA"/>
              </w:rPr>
            </w:pPr>
            <w:r>
              <w:rPr>
                <w:rFonts w:cs="Arial"/>
                <w:szCs w:val="22"/>
                <w:lang w:eastAsia="cs-CZ" w:bidi="ar-SA"/>
              </w:rPr>
              <w:t>ks</w:t>
            </w:r>
          </w:p>
        </w:tc>
        <w:tc>
          <w:tcPr>
            <w:tcW w:w="1795" w:type="dxa"/>
            <w:shd w:val="clear" w:color="auto" w:fill="auto"/>
            <w:vAlign w:val="center"/>
          </w:tcPr>
          <w:p>
            <w:pPr>
              <w:jc w:val="right"/>
              <w:rPr>
                <w:rFonts w:cs="Arial"/>
                <w:lang w:eastAsia="cs-CZ" w:bidi="ar-SA"/>
              </w:rPr>
            </w:pPr>
            <w:r>
              <w:rPr>
                <w:rFonts w:cs="Arial"/>
                <w:szCs w:val="22"/>
                <w:lang w:eastAsia="cs-CZ" w:bidi="ar-SA"/>
              </w:rPr>
              <w:t>130,60</w:t>
            </w:r>
          </w:p>
        </w:tc>
        <w:tc>
          <w:tcPr>
            <w:tcW w:w="1795" w:type="dxa"/>
            <w:shd w:val="clear" w:color="auto" w:fill="auto"/>
            <w:vAlign w:val="center"/>
          </w:tcPr>
          <w:p>
            <w:pPr>
              <w:jc w:val="right"/>
              <w:rPr>
                <w:rFonts w:cs="Arial"/>
                <w:lang w:eastAsia="cs-CZ" w:bidi="ar-SA"/>
              </w:rPr>
            </w:pPr>
            <w:r>
              <w:rPr>
                <w:rFonts w:cs="Arial"/>
                <w:lang w:eastAsia="cs-CZ" w:bidi="ar-SA"/>
              </w:rPr>
              <w:t>27,43</w:t>
            </w:r>
          </w:p>
        </w:tc>
        <w:tc>
          <w:tcPr>
            <w:tcW w:w="1796" w:type="dxa"/>
            <w:shd w:val="clear" w:color="auto" w:fill="auto"/>
            <w:vAlign w:val="center"/>
          </w:tcPr>
          <w:p>
            <w:pPr>
              <w:jc w:val="right"/>
              <w:rPr>
                <w:rFonts w:cs="Arial"/>
                <w:lang w:eastAsia="cs-CZ" w:bidi="ar-SA"/>
              </w:rPr>
            </w:pPr>
            <w:r>
              <w:rPr>
                <w:rFonts w:cs="Arial"/>
                <w:lang w:eastAsia="cs-CZ" w:bidi="ar-SA"/>
              </w:rPr>
              <w:t>158,03</w:t>
            </w:r>
          </w:p>
        </w:tc>
      </w:tr>
      <w:tr>
        <w:trPr>
          <w:trHeight w:val="375"/>
        </w:trPr>
        <w:tc>
          <w:tcPr>
            <w:tcW w:w="2142" w:type="dxa"/>
            <w:vMerge/>
            <w:shd w:val="clear" w:color="auto" w:fill="auto"/>
            <w:vAlign w:val="center"/>
            <w:hideMark/>
          </w:tcPr>
          <w:p>
            <w:pPr>
              <w:rPr>
                <w:rFonts w:cs="Arial"/>
                <w:b/>
                <w:bCs/>
                <w:lang w:eastAsia="cs-CZ" w:bidi="ar-SA"/>
              </w:rPr>
            </w:pPr>
          </w:p>
        </w:tc>
        <w:tc>
          <w:tcPr>
            <w:tcW w:w="992" w:type="dxa"/>
            <w:vAlign w:val="center"/>
          </w:tcPr>
          <w:p>
            <w:pPr>
              <w:jc w:val="center"/>
              <w:rPr>
                <w:rFonts w:cs="Arial"/>
                <w:lang w:eastAsia="cs-CZ" w:bidi="ar-SA"/>
              </w:rPr>
            </w:pPr>
            <w:r>
              <w:rPr>
                <w:rFonts w:cs="Arial"/>
                <w:szCs w:val="22"/>
                <w:lang w:eastAsia="cs-CZ" w:bidi="ar-SA"/>
              </w:rPr>
              <w:t>B</w:t>
            </w:r>
          </w:p>
        </w:tc>
        <w:tc>
          <w:tcPr>
            <w:tcW w:w="567" w:type="dxa"/>
            <w:shd w:val="clear" w:color="auto" w:fill="auto"/>
            <w:vAlign w:val="center"/>
            <w:hideMark/>
          </w:tcPr>
          <w:p>
            <w:pPr>
              <w:jc w:val="center"/>
              <w:rPr>
                <w:rFonts w:cs="Arial"/>
                <w:lang w:eastAsia="cs-CZ" w:bidi="ar-SA"/>
              </w:rPr>
            </w:pPr>
            <w:r>
              <w:rPr>
                <w:rFonts w:cs="Arial"/>
                <w:szCs w:val="22"/>
                <w:lang w:eastAsia="cs-CZ" w:bidi="ar-SA"/>
              </w:rPr>
              <w:t>ks</w:t>
            </w:r>
          </w:p>
        </w:tc>
        <w:tc>
          <w:tcPr>
            <w:tcW w:w="1795" w:type="dxa"/>
            <w:shd w:val="clear" w:color="auto" w:fill="auto"/>
            <w:vAlign w:val="center"/>
          </w:tcPr>
          <w:p>
            <w:pPr>
              <w:jc w:val="right"/>
              <w:rPr>
                <w:rFonts w:cs="Arial"/>
                <w:lang w:eastAsia="cs-CZ" w:bidi="ar-SA"/>
              </w:rPr>
            </w:pPr>
            <w:r>
              <w:rPr>
                <w:rFonts w:cs="Arial"/>
                <w:szCs w:val="22"/>
                <w:lang w:eastAsia="cs-CZ" w:bidi="ar-SA"/>
              </w:rPr>
              <w:t>119,40</w:t>
            </w:r>
          </w:p>
        </w:tc>
        <w:tc>
          <w:tcPr>
            <w:tcW w:w="1795" w:type="dxa"/>
            <w:shd w:val="clear" w:color="auto" w:fill="auto"/>
            <w:vAlign w:val="center"/>
          </w:tcPr>
          <w:p>
            <w:pPr>
              <w:jc w:val="right"/>
              <w:rPr>
                <w:rFonts w:cs="Arial"/>
                <w:lang w:eastAsia="cs-CZ" w:bidi="ar-SA"/>
              </w:rPr>
            </w:pPr>
            <w:r>
              <w:rPr>
                <w:rFonts w:cs="Arial"/>
                <w:lang w:eastAsia="cs-CZ" w:bidi="ar-SA"/>
              </w:rPr>
              <w:t>25,07</w:t>
            </w:r>
          </w:p>
        </w:tc>
        <w:tc>
          <w:tcPr>
            <w:tcW w:w="1796" w:type="dxa"/>
            <w:shd w:val="clear" w:color="auto" w:fill="auto"/>
            <w:vAlign w:val="center"/>
          </w:tcPr>
          <w:p>
            <w:pPr>
              <w:jc w:val="right"/>
              <w:rPr>
                <w:rFonts w:cs="Arial"/>
                <w:lang w:eastAsia="cs-CZ" w:bidi="ar-SA"/>
              </w:rPr>
            </w:pPr>
            <w:r>
              <w:rPr>
                <w:rFonts w:cs="Arial"/>
                <w:lang w:eastAsia="cs-CZ" w:bidi="ar-SA"/>
              </w:rPr>
              <w:t>144,47</w:t>
            </w:r>
          </w:p>
        </w:tc>
      </w:tr>
      <w:tr>
        <w:trPr>
          <w:trHeight w:val="375"/>
        </w:trPr>
        <w:tc>
          <w:tcPr>
            <w:tcW w:w="2142" w:type="dxa"/>
            <w:shd w:val="clear" w:color="auto" w:fill="auto"/>
            <w:vAlign w:val="center"/>
            <w:hideMark/>
          </w:tcPr>
          <w:p>
            <w:pPr>
              <w:rPr>
                <w:rFonts w:cs="Arial"/>
                <w:b/>
                <w:bCs/>
                <w:lang w:eastAsia="cs-CZ" w:bidi="ar-SA"/>
              </w:rPr>
            </w:pPr>
            <w:r>
              <w:rPr>
                <w:rFonts w:cs="Arial"/>
                <w:b/>
                <w:bCs/>
                <w:szCs w:val="22"/>
                <w:lang w:eastAsia="cs-CZ" w:bidi="ar-SA"/>
              </w:rPr>
              <w:t xml:space="preserve">Papír formátu A5 </w:t>
            </w:r>
          </w:p>
        </w:tc>
        <w:tc>
          <w:tcPr>
            <w:tcW w:w="992" w:type="dxa"/>
            <w:vAlign w:val="center"/>
          </w:tcPr>
          <w:p>
            <w:pPr>
              <w:jc w:val="center"/>
              <w:rPr>
                <w:rFonts w:cs="Arial"/>
                <w:lang w:eastAsia="cs-CZ" w:bidi="ar-SA"/>
              </w:rPr>
            </w:pPr>
            <w:r>
              <w:rPr>
                <w:rFonts w:cs="Arial"/>
                <w:szCs w:val="22"/>
                <w:lang w:eastAsia="cs-CZ" w:bidi="ar-SA"/>
              </w:rPr>
              <w:t>B</w:t>
            </w:r>
          </w:p>
        </w:tc>
        <w:tc>
          <w:tcPr>
            <w:tcW w:w="567" w:type="dxa"/>
            <w:shd w:val="clear" w:color="auto" w:fill="auto"/>
            <w:vAlign w:val="center"/>
            <w:hideMark/>
          </w:tcPr>
          <w:p>
            <w:pPr>
              <w:jc w:val="center"/>
              <w:rPr>
                <w:rFonts w:cs="Arial"/>
                <w:lang w:eastAsia="cs-CZ" w:bidi="ar-SA"/>
              </w:rPr>
            </w:pPr>
            <w:r>
              <w:rPr>
                <w:rFonts w:cs="Arial"/>
                <w:szCs w:val="22"/>
                <w:lang w:eastAsia="cs-CZ" w:bidi="ar-SA"/>
              </w:rPr>
              <w:t>ks</w:t>
            </w:r>
          </w:p>
        </w:tc>
        <w:tc>
          <w:tcPr>
            <w:tcW w:w="1795" w:type="dxa"/>
            <w:shd w:val="clear" w:color="auto" w:fill="auto"/>
            <w:vAlign w:val="center"/>
          </w:tcPr>
          <w:p>
            <w:pPr>
              <w:jc w:val="right"/>
              <w:rPr>
                <w:rFonts w:cs="Arial"/>
                <w:lang w:eastAsia="cs-CZ" w:bidi="ar-SA"/>
              </w:rPr>
            </w:pPr>
            <w:r>
              <w:rPr>
                <w:rFonts w:cs="Arial"/>
                <w:szCs w:val="22"/>
                <w:lang w:eastAsia="cs-CZ" w:bidi="ar-SA"/>
              </w:rPr>
              <w:t>38,45</w:t>
            </w:r>
          </w:p>
        </w:tc>
        <w:tc>
          <w:tcPr>
            <w:tcW w:w="1795" w:type="dxa"/>
            <w:shd w:val="clear" w:color="auto" w:fill="auto"/>
            <w:vAlign w:val="center"/>
          </w:tcPr>
          <w:p>
            <w:pPr>
              <w:jc w:val="right"/>
              <w:rPr>
                <w:rFonts w:cs="Arial"/>
                <w:lang w:eastAsia="cs-CZ" w:bidi="ar-SA"/>
              </w:rPr>
            </w:pPr>
            <w:r>
              <w:rPr>
                <w:rFonts w:cs="Arial"/>
                <w:lang w:eastAsia="cs-CZ" w:bidi="ar-SA"/>
              </w:rPr>
              <w:t>8,07</w:t>
            </w:r>
          </w:p>
        </w:tc>
        <w:tc>
          <w:tcPr>
            <w:tcW w:w="1796" w:type="dxa"/>
            <w:shd w:val="clear" w:color="auto" w:fill="auto"/>
            <w:vAlign w:val="center"/>
          </w:tcPr>
          <w:p>
            <w:pPr>
              <w:jc w:val="right"/>
              <w:rPr>
                <w:rFonts w:cs="Arial"/>
                <w:lang w:eastAsia="cs-CZ" w:bidi="ar-SA"/>
              </w:rPr>
            </w:pPr>
            <w:r>
              <w:rPr>
                <w:rFonts w:cs="Arial"/>
                <w:lang w:eastAsia="cs-CZ" w:bidi="ar-SA"/>
              </w:rPr>
              <w:t>46,52</w:t>
            </w:r>
          </w:p>
        </w:tc>
      </w:tr>
    </w:tbl>
    <w:p>
      <w:pPr>
        <w:spacing w:before="120"/>
        <w:ind w:left="360"/>
        <w:jc w:val="both"/>
        <w:rPr>
          <w:rFonts w:cs="Arial"/>
          <w:szCs w:val="22"/>
        </w:rPr>
      </w:pPr>
    </w:p>
    <w:p>
      <w:pPr>
        <w:numPr>
          <w:ilvl w:val="1"/>
          <w:numId w:val="6"/>
        </w:numPr>
        <w:spacing w:before="120"/>
        <w:jc w:val="both"/>
        <w:rPr>
          <w:rFonts w:cs="Arial"/>
          <w:szCs w:val="22"/>
        </w:rPr>
      </w:pPr>
      <w:r>
        <w:rPr>
          <w:rFonts w:cs="Arial"/>
          <w:szCs w:val="22"/>
        </w:rPr>
        <w:t xml:space="preserve">Jednotkovou cenou Zboží se rozumí cena </w:t>
      </w:r>
      <w:r>
        <w:rPr>
          <w:bCs/>
        </w:rPr>
        <w:t xml:space="preserve">za jeden balík xerografického papíru po 500 listech </w:t>
      </w:r>
      <w:r>
        <w:t xml:space="preserve">bez DPH (Kč), tato částka se zvýší o částku odpovídající dani z přidané hodnoty dle sazby platné ke dni uskutečnění zdanitelného plnění.  </w:t>
      </w:r>
      <w:r>
        <w:rPr>
          <w:rFonts w:cs="Arial"/>
          <w:szCs w:val="22"/>
        </w:rPr>
        <w:t xml:space="preserve"> </w:t>
      </w:r>
    </w:p>
    <w:p>
      <w:pPr>
        <w:numPr>
          <w:ilvl w:val="1"/>
          <w:numId w:val="6"/>
        </w:numPr>
        <w:spacing w:before="120"/>
        <w:jc w:val="both"/>
        <w:rPr>
          <w:rFonts w:cs="Arial"/>
          <w:szCs w:val="22"/>
        </w:rPr>
      </w:pPr>
      <w:r>
        <w:rPr>
          <w:rFonts w:cs="Arial"/>
          <w:szCs w:val="22"/>
        </w:rPr>
        <w:t xml:space="preserve">Jednotkové ceny za Zboží jsou konečné, závazné a jsou </w:t>
      </w:r>
      <w:r>
        <w:t xml:space="preserve">považovány za ceny nejvýše přípustné a nepřekročitelné po celou dobu platnosti Smlouvy, zahrnují i všechny další náklady ve Smlouvě výslovně neuvedené, které souvisejí s dodávkou Zboží včetně ceny za dopravu do požadovaného místa plnění dle odst. 5.4 Smlouvy. </w:t>
      </w:r>
    </w:p>
    <w:p>
      <w:pPr>
        <w:numPr>
          <w:ilvl w:val="1"/>
          <w:numId w:val="6"/>
        </w:numPr>
        <w:spacing w:before="120"/>
        <w:jc w:val="both"/>
        <w:rPr>
          <w:rFonts w:cs="Arial"/>
          <w:szCs w:val="22"/>
        </w:rPr>
      </w:pPr>
      <w:r>
        <w:rPr>
          <w:rFonts w:cs="Arial"/>
          <w:szCs w:val="22"/>
        </w:rPr>
        <w:t>Cenu za dodané Zboží zaplatí Kupující Prodávajícímu bezhotovostním převodem na bankovní účet Prodávajícího uvedený na faktuře, který musí odpovídat číslu účtu uvedenému v záhlaví Smlouvy nebo číslu účtu uvedenému v registru plátců DPH. Případnou změnu čísla účtu je Prodávající povinen Kupujícímu písemně oznámit a na zpětný dotaz Kupujícího opětovně písemně potvrdit, jinak je Kupující oprávněn vrátit fakturu Prodávajícímu podle odst. 3.7 tohoto článku.</w:t>
      </w:r>
    </w:p>
    <w:p>
      <w:pPr>
        <w:numPr>
          <w:ilvl w:val="1"/>
          <w:numId w:val="6"/>
        </w:numPr>
        <w:spacing w:before="120"/>
        <w:jc w:val="both"/>
        <w:rPr>
          <w:rFonts w:cs="Arial"/>
          <w:szCs w:val="22"/>
        </w:rPr>
      </w:pPr>
      <w:r>
        <w:rPr>
          <w:rFonts w:cs="Arial"/>
          <w:szCs w:val="22"/>
        </w:rPr>
        <w:t>Splatnost faktury je 30 kalendářních dní ode dne jejího doručení Kupujícímu. Povinnost Kupujícího zaplatit kupní cenu ve lhůtě její splatnosti je splněna pokud nejpozději v poslední den splatnosti bude příslušná částka z účtu Kupujícího odeslána ve prospěch účtu Prodávajícího. Kupující nebude Prodávajícímu poskytovat na plnění předmětu Smlouvy žádné zálohy v jakékoliv formě. Platby budou probíhat výhradně v Kč (CZK), rovněž veškeré cenové údaje na faktuře budou uvedeny v této měně.</w:t>
      </w:r>
    </w:p>
    <w:p>
      <w:pPr>
        <w:numPr>
          <w:ilvl w:val="1"/>
          <w:numId w:val="6"/>
        </w:numPr>
        <w:spacing w:before="120"/>
        <w:jc w:val="both"/>
        <w:rPr>
          <w:rFonts w:cs="Arial"/>
          <w:szCs w:val="22"/>
        </w:rPr>
      </w:pPr>
      <w:r>
        <w:rPr>
          <w:rFonts w:cs="Arial"/>
          <w:szCs w:val="22"/>
        </w:rPr>
        <w:t>Faktura musí obsahovat náležitosti daňového a účetního dokladu podle zákona č. 563/1991 Sb., o účetnictví, ve znění pozdějších předpisů, a zákona č. 235/2004 Sb., o dani z přidané hodnoty, ve znění pozdějších předpisů (jedná se především o označení faktury a její číslo, obchodní firmu/název, sídlo a IČO Prodávajícího, název a předmět Smlouvy, bankovní spojení, fakturovanou částku bez/včetně DPH), a náležitosti obchodní listiny dle § 435 OZ. Faktura musí být označena číslem Smlouvy z evidence smluv Kupujícího (viz záhlaví Smlouvy) a rovněž musí obsahovat číslo objednávky (viz 4.3).</w:t>
      </w:r>
    </w:p>
    <w:p>
      <w:pPr>
        <w:numPr>
          <w:ilvl w:val="1"/>
          <w:numId w:val="6"/>
        </w:numPr>
        <w:spacing w:before="120"/>
        <w:jc w:val="both"/>
        <w:rPr>
          <w:rFonts w:cs="Arial"/>
          <w:szCs w:val="22"/>
        </w:rPr>
      </w:pPr>
      <w:r>
        <w:rPr>
          <w:rFonts w:cs="Arial"/>
          <w:szCs w:val="22"/>
        </w:rPr>
        <w:t>Kupující je oprávněn vrátit fakturu ve lhůtě splatnosti, pokud bude obsahovat nesprávné náležitosti či údaje nebo pokud požadované náležitosti a údaje nebude obsahovat vůbec. V takovém případě se doba splatnosti přerušuje a nová doba splatnosti počíná běžet ode dne doručení opravené nebo doplněné faktury Kupujícímu. Kupující není v takovém případě v prodlení se zaplacením faktury.</w:t>
      </w:r>
    </w:p>
    <w:p/>
    <w:p>
      <w:pPr>
        <w:keepNext/>
        <w:suppressAutoHyphens/>
        <w:spacing w:before="240" w:after="60"/>
        <w:jc w:val="center"/>
        <w:outlineLvl w:val="0"/>
        <w:rPr>
          <w:rFonts w:cs="Arial"/>
          <w:b/>
          <w:bCs/>
          <w:kern w:val="28"/>
          <w:szCs w:val="32"/>
          <w:lang w:eastAsia="ar-SA" w:bidi="ar-SA"/>
        </w:rPr>
      </w:pPr>
      <w:r>
        <w:rPr>
          <w:rFonts w:cs="Arial"/>
          <w:b/>
          <w:bCs/>
          <w:kern w:val="28"/>
          <w:szCs w:val="32"/>
          <w:lang w:eastAsia="ar-SA" w:bidi="ar-SA"/>
        </w:rPr>
        <w:t>Článek IV.</w:t>
      </w:r>
    </w:p>
    <w:p>
      <w:pPr>
        <w:keepNext/>
        <w:jc w:val="center"/>
        <w:rPr>
          <w:rFonts w:cs="Arial"/>
          <w:b/>
          <w:szCs w:val="22"/>
          <w:lang w:eastAsia="cs-CZ" w:bidi="ar-SA"/>
        </w:rPr>
      </w:pPr>
      <w:r>
        <w:rPr>
          <w:rFonts w:cs="Arial"/>
          <w:b/>
          <w:szCs w:val="22"/>
          <w:lang w:eastAsia="cs-CZ" w:bidi="ar-SA"/>
        </w:rPr>
        <w:t>Způsob zadání veřejné zakázky na základě Smlouvy</w:t>
      </w:r>
    </w:p>
    <w:p>
      <w:pPr>
        <w:numPr>
          <w:ilvl w:val="1"/>
          <w:numId w:val="5"/>
        </w:numPr>
        <w:spacing w:before="120"/>
        <w:ind w:left="357" w:hanging="357"/>
        <w:jc w:val="both"/>
        <w:rPr>
          <w:rFonts w:cs="Arial"/>
          <w:szCs w:val="22"/>
        </w:rPr>
      </w:pPr>
      <w:r>
        <w:rPr>
          <w:rFonts w:cs="Arial"/>
          <w:szCs w:val="22"/>
        </w:rPr>
        <w:t xml:space="preserve">Kupující zadá dílčí veřejnou zakázku podle Smlouvy na základě písemné výzvy Prodávajícímu k poskytnutí plnění (dále také „objednávka“), jejíž vzor tvoří Přílohu č. 3 Smlouvy, v souladu s ustanovením § 134 odst. 1 ZZVZ. </w:t>
      </w:r>
    </w:p>
    <w:p>
      <w:pPr>
        <w:pStyle w:val="Odstavecseseznamem"/>
        <w:numPr>
          <w:ilvl w:val="1"/>
          <w:numId w:val="5"/>
        </w:numPr>
        <w:rPr>
          <w:rFonts w:cs="Arial"/>
          <w:szCs w:val="22"/>
        </w:rPr>
      </w:pPr>
      <w:r>
        <w:rPr>
          <w:rFonts w:ascii="Arial" w:hAnsi="Arial" w:cs="Arial"/>
          <w:sz w:val="22"/>
          <w:szCs w:val="22"/>
          <w:lang w:eastAsia="en-US"/>
        </w:rPr>
        <w:t>Kupující může k zadání dílčí veřejné zakázky podle Smlouvy použít i e-</w:t>
      </w:r>
      <w:proofErr w:type="spellStart"/>
      <w:r>
        <w:rPr>
          <w:rFonts w:ascii="Arial" w:hAnsi="Arial" w:cs="Arial"/>
          <w:sz w:val="22"/>
          <w:szCs w:val="22"/>
          <w:lang w:eastAsia="en-US"/>
        </w:rPr>
        <w:t>shop</w:t>
      </w:r>
      <w:proofErr w:type="spellEnd"/>
      <w:r>
        <w:rPr>
          <w:rFonts w:ascii="Arial" w:hAnsi="Arial" w:cs="Arial"/>
          <w:sz w:val="22"/>
          <w:szCs w:val="22"/>
          <w:lang w:eastAsia="en-US"/>
        </w:rPr>
        <w:t xml:space="preserve"> vytvořený Prodávajícím, a to v případě, že tento e-</w:t>
      </w:r>
      <w:proofErr w:type="spellStart"/>
      <w:r>
        <w:rPr>
          <w:rFonts w:ascii="Arial" w:hAnsi="Arial" w:cs="Arial"/>
          <w:sz w:val="22"/>
          <w:szCs w:val="22"/>
          <w:lang w:eastAsia="en-US"/>
        </w:rPr>
        <w:t>shop</w:t>
      </w:r>
      <w:proofErr w:type="spellEnd"/>
      <w:r>
        <w:rPr>
          <w:rFonts w:ascii="Arial" w:hAnsi="Arial" w:cs="Arial"/>
          <w:sz w:val="22"/>
          <w:szCs w:val="22"/>
          <w:lang w:eastAsia="en-US"/>
        </w:rPr>
        <w:t xml:space="preserve"> umožní po ukončení objednávky její vytištění se všemi náležitostmi uvedenými v odst. 4.3 tohoto článku.</w:t>
      </w:r>
    </w:p>
    <w:p>
      <w:pPr>
        <w:numPr>
          <w:ilvl w:val="1"/>
          <w:numId w:val="5"/>
        </w:numPr>
        <w:spacing w:before="120"/>
        <w:ind w:left="357" w:hanging="357"/>
        <w:jc w:val="both"/>
        <w:rPr>
          <w:rFonts w:cs="Arial"/>
          <w:szCs w:val="22"/>
        </w:rPr>
      </w:pPr>
      <w:r>
        <w:rPr>
          <w:rFonts w:cs="Arial"/>
          <w:szCs w:val="22"/>
        </w:rPr>
        <w:t>Objednávka musí obsahovat minimálně tyto náležitosti:</w:t>
      </w:r>
    </w:p>
    <w:p>
      <w:pPr>
        <w:numPr>
          <w:ilvl w:val="0"/>
          <w:numId w:val="11"/>
        </w:numPr>
        <w:spacing w:before="120"/>
        <w:contextualSpacing/>
        <w:jc w:val="both"/>
        <w:rPr>
          <w:rFonts w:cs="Arial"/>
          <w:szCs w:val="22"/>
        </w:rPr>
      </w:pPr>
      <w:r>
        <w:rPr>
          <w:rFonts w:cs="Arial"/>
          <w:szCs w:val="22"/>
        </w:rPr>
        <w:t>identifikační údaje Kupujícího (název, sídlo, IČO</w:t>
      </w:r>
      <w:r>
        <w:rPr>
          <w:rFonts w:cs="Arial"/>
          <w:szCs w:val="22"/>
          <w:lang w:eastAsia="cs-CZ" w:bidi="ar-SA"/>
        </w:rPr>
        <w:t>), jméno, telefonní číslo a e</w:t>
      </w:r>
      <w:r>
        <w:rPr>
          <w:rFonts w:ascii="Cambria Math" w:hAnsi="Cambria Math" w:cs="Arial"/>
          <w:szCs w:val="22"/>
          <w:lang w:eastAsia="cs-CZ" w:bidi="ar-SA"/>
        </w:rPr>
        <w:t>‐</w:t>
      </w:r>
      <w:r>
        <w:rPr>
          <w:rFonts w:cs="Arial"/>
          <w:szCs w:val="22"/>
          <w:lang w:eastAsia="cs-CZ" w:bidi="ar-SA"/>
        </w:rPr>
        <w:t>mail kontaktní osoby;</w:t>
      </w:r>
    </w:p>
    <w:p>
      <w:pPr>
        <w:numPr>
          <w:ilvl w:val="0"/>
          <w:numId w:val="11"/>
        </w:numPr>
        <w:spacing w:before="120"/>
        <w:contextualSpacing/>
        <w:jc w:val="both"/>
        <w:rPr>
          <w:rFonts w:cs="Arial"/>
          <w:szCs w:val="22"/>
        </w:rPr>
      </w:pPr>
      <w:r>
        <w:rPr>
          <w:rFonts w:cs="Arial"/>
          <w:szCs w:val="22"/>
        </w:rPr>
        <w:t xml:space="preserve">identifikační údaje Prodávajícího </w:t>
      </w:r>
      <w:r>
        <w:rPr>
          <w:rFonts w:cs="Arial"/>
          <w:szCs w:val="22"/>
          <w:lang w:eastAsia="cs-CZ" w:bidi="ar-SA"/>
        </w:rPr>
        <w:t>(název, sídlo, IČO);</w:t>
      </w:r>
    </w:p>
    <w:p>
      <w:pPr>
        <w:numPr>
          <w:ilvl w:val="0"/>
          <w:numId w:val="11"/>
        </w:numPr>
        <w:spacing w:before="120"/>
        <w:contextualSpacing/>
        <w:jc w:val="both"/>
        <w:rPr>
          <w:rFonts w:cs="Arial"/>
          <w:szCs w:val="22"/>
        </w:rPr>
      </w:pPr>
      <w:r>
        <w:rPr>
          <w:rFonts w:cs="Arial"/>
          <w:szCs w:val="22"/>
        </w:rPr>
        <w:t>druh zboží, tj. formát a kvalitu požadovaného papíru, jeho jednotkovou cenu a množství požadovaných jednotek;</w:t>
      </w:r>
    </w:p>
    <w:p>
      <w:pPr>
        <w:numPr>
          <w:ilvl w:val="0"/>
          <w:numId w:val="11"/>
        </w:numPr>
        <w:spacing w:before="120"/>
        <w:contextualSpacing/>
        <w:jc w:val="both"/>
        <w:rPr>
          <w:rFonts w:cs="Arial"/>
          <w:szCs w:val="22"/>
        </w:rPr>
      </w:pPr>
      <w:r>
        <w:rPr>
          <w:rFonts w:cs="Arial"/>
          <w:szCs w:val="22"/>
        </w:rPr>
        <w:t>celkovou cenu za Zboží v Kč bez DPH;</w:t>
      </w:r>
    </w:p>
    <w:p>
      <w:pPr>
        <w:numPr>
          <w:ilvl w:val="0"/>
          <w:numId w:val="11"/>
        </w:numPr>
        <w:spacing w:before="120"/>
        <w:contextualSpacing/>
        <w:jc w:val="both"/>
        <w:rPr>
          <w:rFonts w:cs="Arial"/>
          <w:szCs w:val="22"/>
        </w:rPr>
      </w:pPr>
      <w:r>
        <w:rPr>
          <w:rFonts w:cs="Arial"/>
          <w:szCs w:val="22"/>
        </w:rPr>
        <w:t>místo dodání, tj. dodací místo pro dodání Zboží.</w:t>
      </w:r>
    </w:p>
    <w:p>
      <w:pPr>
        <w:numPr>
          <w:ilvl w:val="1"/>
          <w:numId w:val="5"/>
        </w:numPr>
        <w:spacing w:before="120"/>
        <w:ind w:left="357" w:hanging="357"/>
        <w:jc w:val="both"/>
        <w:rPr>
          <w:rFonts w:cs="Arial"/>
          <w:szCs w:val="22"/>
        </w:rPr>
      </w:pPr>
      <w:r>
        <w:rPr>
          <w:rFonts w:cs="Arial"/>
          <w:szCs w:val="22"/>
        </w:rPr>
        <w:t xml:space="preserve">Kupující zašle  písemnou objednávku Prodávajícímu. </w:t>
      </w:r>
      <w:r>
        <w:rPr>
          <w:szCs w:val="22"/>
        </w:rPr>
        <w:t xml:space="preserve">Prodávající doručí Kupujícímu do 3 (tří) pracovních dnů od obdržení objednávky dle předchozí věty písemnou akceptaci objednávky. </w:t>
      </w:r>
    </w:p>
    <w:p>
      <w:pPr>
        <w:numPr>
          <w:ilvl w:val="1"/>
          <w:numId w:val="5"/>
        </w:numPr>
        <w:spacing w:before="120"/>
        <w:ind w:left="357" w:hanging="357"/>
        <w:jc w:val="both"/>
        <w:rPr>
          <w:rFonts w:cs="Arial"/>
          <w:szCs w:val="22"/>
        </w:rPr>
      </w:pPr>
      <w:r>
        <w:rPr>
          <w:rFonts w:cs="Arial"/>
          <w:szCs w:val="22"/>
        </w:rPr>
        <w:t xml:space="preserve"> Pokud Prodávající nedoručí Kupujícímu v uvedeném termínu písemnou akceptaci objednávky, je povinen zaslat v termínu dle odst. 4.4 Smlouvy příslušnému Kupujícímu písemné odůvodnění neakceptace. Bez uvedení řádného důvodu pro neakceptaci objednávky má Jednající kupující možnost odstoupit od Smlouvy dle odst. 7.5 Smlouvy.</w:t>
      </w:r>
    </w:p>
    <w:p>
      <w:pPr>
        <w:numPr>
          <w:ilvl w:val="1"/>
          <w:numId w:val="5"/>
        </w:numPr>
        <w:spacing w:before="120"/>
        <w:jc w:val="both"/>
        <w:rPr>
          <w:rFonts w:cs="Arial"/>
          <w:szCs w:val="22"/>
        </w:rPr>
      </w:pPr>
      <w:r>
        <w:rPr>
          <w:rFonts w:cs="Arial"/>
          <w:szCs w:val="22"/>
        </w:rPr>
        <w:t>Předpokladem zadání dílčí veřejné zakázky Prodávajícímu je doručení písemné akceptace objednávky ze strany Prodávajícího Kupujícímu, čímž je uzavřena dílčí kupní smlouva (dále jen „dílčí smlouva“). Za písemnou formu se pro účely Smlouvy považuje i forma elektronická. V případě objednávky vytvořené a zadané prostřednictvím e-</w:t>
      </w:r>
      <w:proofErr w:type="spellStart"/>
      <w:r>
        <w:rPr>
          <w:rFonts w:cs="Arial"/>
          <w:szCs w:val="22"/>
        </w:rPr>
        <w:t>shopu</w:t>
      </w:r>
      <w:proofErr w:type="spellEnd"/>
      <w:r>
        <w:rPr>
          <w:rFonts w:cs="Arial"/>
          <w:szCs w:val="22"/>
        </w:rPr>
        <w:t xml:space="preserve"> bude za akceptaci objednávky považováno i doručení automatické odpovědi z e-</w:t>
      </w:r>
      <w:proofErr w:type="spellStart"/>
      <w:r>
        <w:rPr>
          <w:rFonts w:cs="Arial"/>
          <w:szCs w:val="22"/>
        </w:rPr>
        <w:t>shopu</w:t>
      </w:r>
      <w:proofErr w:type="spellEnd"/>
      <w:r>
        <w:rPr>
          <w:rFonts w:cs="Arial"/>
          <w:szCs w:val="22"/>
        </w:rPr>
        <w:t xml:space="preserve"> Prodávajícího. V případě povinnosti Kupujícího k uveřejnění dílčí smlouvy dle zákona č. 340/2015 Sb., o zvláštních podmínkách účinnosti některých smluv, uveřejňování těchto smluv a o registru smluv (zákon o registru smluv), ve znění pozdějších předpisů (dále jen „zákon o registru smluv“), je účinnost dílčí smlouvy dána uveřejněním v registru smluv, jinak je účinnost dílčí smlouvy dána dnem doručení písemné akceptace objednávky Kupujícímu, pokud v  objednávce není stanoveno jinak. </w:t>
      </w:r>
    </w:p>
    <w:p/>
    <w:p>
      <w:pPr>
        <w:suppressAutoHyphens/>
        <w:spacing w:before="240" w:after="60"/>
        <w:jc w:val="center"/>
        <w:outlineLvl w:val="0"/>
        <w:rPr>
          <w:rFonts w:cs="Arial"/>
          <w:b/>
          <w:bCs/>
          <w:kern w:val="28"/>
          <w:szCs w:val="32"/>
          <w:lang w:eastAsia="ar-SA" w:bidi="ar-SA"/>
        </w:rPr>
      </w:pPr>
      <w:r>
        <w:rPr>
          <w:rFonts w:cs="Arial"/>
          <w:b/>
          <w:bCs/>
          <w:kern w:val="28"/>
          <w:szCs w:val="32"/>
          <w:lang w:eastAsia="ar-SA" w:bidi="ar-SA"/>
        </w:rPr>
        <w:t>Článek V.</w:t>
      </w:r>
    </w:p>
    <w:p>
      <w:pPr>
        <w:jc w:val="center"/>
        <w:rPr>
          <w:rFonts w:cs="Arial"/>
          <w:b/>
          <w:szCs w:val="22"/>
        </w:rPr>
      </w:pPr>
      <w:r>
        <w:rPr>
          <w:rFonts w:cs="Arial"/>
          <w:b/>
          <w:szCs w:val="22"/>
        </w:rPr>
        <w:t>Předání a převzetí zboží, dodací podmínky</w:t>
      </w:r>
    </w:p>
    <w:p>
      <w:pPr>
        <w:numPr>
          <w:ilvl w:val="1"/>
          <w:numId w:val="7"/>
        </w:numPr>
        <w:spacing w:before="120"/>
        <w:jc w:val="both"/>
      </w:pPr>
      <w:r>
        <w:rPr>
          <w:rFonts w:cs="Arial"/>
          <w:szCs w:val="22"/>
        </w:rPr>
        <w:t>Prodávající je povinen řádně dodat Zboží, a to včetně splnění „Specifických požadavků na dodání“ uvedených v Příloze č. 4 Smlouvy, nejpozději do 5 kalendářních dnů ode dne účinnosti dílčí smlouvy dle odst. 4.6 Smlouvy. Lhůta se pokládá za splněnou, pokud bude Zboží doručeno do posledního dne lhůty do konce pracovní doby Kupujícího, tj. do 16:00 hod. V případě, že takový den připadne na den pracovního klidu, považuje se za poslední den lhůty nejbližší následující pracovní den.</w:t>
      </w:r>
    </w:p>
    <w:p>
      <w:pPr>
        <w:numPr>
          <w:ilvl w:val="1"/>
          <w:numId w:val="7"/>
        </w:numPr>
        <w:spacing w:before="120"/>
        <w:jc w:val="both"/>
        <w:rPr>
          <w:rFonts w:cs="Arial"/>
          <w:szCs w:val="22"/>
        </w:rPr>
      </w:pPr>
      <w:r>
        <w:rPr>
          <w:rFonts w:cs="Arial"/>
          <w:szCs w:val="22"/>
        </w:rPr>
        <w:t xml:space="preserve">Zboží </w:t>
      </w:r>
      <w:r>
        <w:t xml:space="preserve">bude považováno za dodané jeho převzetím Kupujícím v místě dodání a podpisem dodacího listu vyhotoveného Prodávajícím. Předání a převzetí Zboží jsou za Prodávajícího a Kupujícího oprávněny na dodacím listu stvrdit podpisem kontaktní osoby </w:t>
      </w:r>
      <w:r>
        <w:rPr>
          <w:rFonts w:cs="Arial"/>
        </w:rPr>
        <w:t>uvedené v objednávce Zboží.</w:t>
      </w:r>
      <w:r>
        <w:t xml:space="preserve"> Převezme-li Kupující Zboží bez výhrad, má se za to, že Zboží nemá žádné zjevné vady. Převezme-li Kupující Zboží nebo jeho část s výhradami, je povinen tyto výhrady uvést do dodacího listu. Dodací list bude vyhotoven ve dvou stejnopisech, přičemž jedno vyhotovení obdrží Kupující a jedno vyhotovení obdrží Prodávající.</w:t>
      </w:r>
    </w:p>
    <w:p>
      <w:pPr>
        <w:numPr>
          <w:ilvl w:val="1"/>
          <w:numId w:val="7"/>
        </w:numPr>
        <w:spacing w:before="120"/>
        <w:jc w:val="both"/>
        <w:rPr>
          <w:rFonts w:cs="Arial"/>
          <w:szCs w:val="22"/>
        </w:rPr>
      </w:pPr>
      <w:r>
        <w:t xml:space="preserve">Zjistí-li Kupující vady týkající se množství, druhu a jakosti Zboží již při dodání, je oprávněn odmítnout jeho převzetí. O takovém odmítnutí bude proveden zápis do dodacího listu podepsaný Kupujícím i </w:t>
      </w:r>
      <w:r>
        <w:rPr>
          <w:rFonts w:cs="Arial"/>
          <w:szCs w:val="22"/>
        </w:rPr>
        <w:t>Prodávající</w:t>
      </w:r>
      <w:r>
        <w:t xml:space="preserve"> s uvedením důvodu odmítnutí převzetí Zboží. </w:t>
      </w:r>
      <w:r>
        <w:rPr>
          <w:rFonts w:cs="Arial"/>
          <w:szCs w:val="22"/>
        </w:rPr>
        <w:t>Prodávající je povinen</w:t>
      </w:r>
      <w:r>
        <w:t xml:space="preserve"> odstranit vady bezúplatně dodáním náhradního plnění v množství, druhu a jakosti dle dílčí smlouvy do 2 pracovních dnů od provedení zápisu o odmítnutí převzetí Zboží v dodacím listu.</w:t>
      </w:r>
    </w:p>
    <w:p>
      <w:pPr>
        <w:numPr>
          <w:ilvl w:val="1"/>
          <w:numId w:val="7"/>
        </w:numPr>
        <w:spacing w:before="120"/>
        <w:jc w:val="both"/>
        <w:rPr>
          <w:rFonts w:cs="Arial"/>
          <w:szCs w:val="22"/>
        </w:rPr>
      </w:pPr>
      <w:r>
        <w:t xml:space="preserve">Místem </w:t>
      </w:r>
      <w:r>
        <w:rPr>
          <w:rFonts w:cs="Arial"/>
          <w:szCs w:val="22"/>
        </w:rPr>
        <w:t xml:space="preserve">plnění </w:t>
      </w:r>
      <w:r>
        <w:t xml:space="preserve">jsou příslušná dodací místa </w:t>
      </w:r>
      <w:r>
        <w:rPr>
          <w:rFonts w:cs="Arial"/>
          <w:szCs w:val="22"/>
        </w:rPr>
        <w:t>pro dodání Zboží</w:t>
      </w:r>
      <w:r>
        <w:t xml:space="preserve"> jednotlivých Kupujících (viz Příloha č. 4 Smlouvy). Konkrétní místa plnění včetně adres budou uvedena v jednotlivých objednávkách. </w:t>
      </w:r>
      <w:r>
        <w:rPr>
          <w:rFonts w:cs="Arial"/>
          <w:szCs w:val="22"/>
        </w:rPr>
        <w:t>Prodávající je povinen při dodání do místa plnění konkrétního Kupujícího zohlednit „Specifické požadavky na dodání“, které jsou uvedeny v Příloze č. 4 Smlouvy.</w:t>
      </w:r>
    </w:p>
    <w:p>
      <w:pPr>
        <w:numPr>
          <w:ilvl w:val="1"/>
          <w:numId w:val="7"/>
        </w:numPr>
        <w:spacing w:before="120"/>
        <w:jc w:val="both"/>
        <w:rPr>
          <w:rFonts w:cs="Arial"/>
          <w:szCs w:val="22"/>
        </w:rPr>
      </w:pPr>
      <w:r>
        <w:t xml:space="preserve">Prodávající se zavazuje, že bude Zboží dodávat v balení po 500 listech, případně po kartonech 5 x 500 listů.  </w:t>
      </w:r>
    </w:p>
    <w:p>
      <w:pPr>
        <w:numPr>
          <w:ilvl w:val="1"/>
          <w:numId w:val="7"/>
        </w:numPr>
        <w:spacing w:before="120"/>
        <w:jc w:val="both"/>
        <w:rPr>
          <w:rFonts w:cs="Arial"/>
          <w:szCs w:val="22"/>
        </w:rPr>
      </w:pPr>
      <w:r>
        <w:rPr>
          <w:rFonts w:cs="Arial"/>
          <w:szCs w:val="22"/>
        </w:rPr>
        <w:t xml:space="preserve">Prodávající </w:t>
      </w:r>
      <w:r>
        <w:t>se zavazuje, že veškeré Zboží opatří pro přepravu způsobem, který je pro takové Zboží v obchodním styku obvyklý.</w:t>
      </w:r>
    </w:p>
    <w:p>
      <w:pPr>
        <w:spacing w:before="120"/>
        <w:jc w:val="both"/>
        <w:rPr>
          <w:rFonts w:cs="Arial"/>
          <w:b/>
          <w:bCs/>
          <w:kern w:val="28"/>
          <w:szCs w:val="32"/>
          <w:lang w:eastAsia="ar-SA" w:bidi="ar-SA"/>
        </w:rPr>
      </w:pPr>
    </w:p>
    <w:p>
      <w:pPr>
        <w:suppressAutoHyphens/>
        <w:spacing w:before="240" w:after="60"/>
        <w:jc w:val="center"/>
        <w:outlineLvl w:val="0"/>
        <w:rPr>
          <w:rFonts w:cs="Arial"/>
          <w:b/>
          <w:bCs/>
          <w:kern w:val="28"/>
          <w:szCs w:val="32"/>
          <w:lang w:eastAsia="ar-SA" w:bidi="ar-SA"/>
        </w:rPr>
      </w:pPr>
      <w:r>
        <w:rPr>
          <w:rFonts w:cs="Arial"/>
          <w:b/>
          <w:bCs/>
          <w:kern w:val="28"/>
          <w:szCs w:val="32"/>
          <w:lang w:eastAsia="ar-SA" w:bidi="ar-SA"/>
        </w:rPr>
        <w:t>Článek VI.</w:t>
      </w:r>
    </w:p>
    <w:p>
      <w:pPr>
        <w:jc w:val="center"/>
        <w:rPr>
          <w:rFonts w:cs="Arial"/>
          <w:b/>
          <w:szCs w:val="22"/>
        </w:rPr>
      </w:pPr>
      <w:r>
        <w:rPr>
          <w:rFonts w:cs="Arial"/>
          <w:b/>
          <w:szCs w:val="22"/>
        </w:rPr>
        <w:t xml:space="preserve">Záruka za jakost, smluvní pokuta, úrok z prodlení </w:t>
      </w:r>
    </w:p>
    <w:p>
      <w:pPr>
        <w:numPr>
          <w:ilvl w:val="1"/>
          <w:numId w:val="8"/>
        </w:numPr>
        <w:spacing w:before="120"/>
        <w:ind w:left="357" w:hanging="357"/>
        <w:jc w:val="both"/>
        <w:rPr>
          <w:rFonts w:cs="Arial"/>
          <w:szCs w:val="22"/>
        </w:rPr>
      </w:pPr>
      <w:r>
        <w:rPr>
          <w:rFonts w:cs="Arial"/>
          <w:szCs w:val="22"/>
        </w:rPr>
        <w:t xml:space="preserve">Na </w:t>
      </w:r>
      <w:r>
        <w:t xml:space="preserve">Zboží bude poskytnuta Prodávajícím záruka na jakost, která zaručuje, že Zboží bude odpovídat technické specifikaci stanovené v Příloze č. 1 Smlouvy po celou dobu záruční doby a bude prosto právních vad. Prodávajícím bude poskytnuta záruční doba v délce 18 měsíců, která začíná běžet okamžikem převzetí Zboží. </w:t>
      </w:r>
    </w:p>
    <w:p>
      <w:pPr>
        <w:numPr>
          <w:ilvl w:val="1"/>
          <w:numId w:val="8"/>
        </w:numPr>
        <w:spacing w:before="120"/>
        <w:ind w:left="357" w:hanging="357"/>
        <w:jc w:val="both"/>
        <w:rPr>
          <w:rFonts w:cs="Arial"/>
          <w:szCs w:val="22"/>
        </w:rPr>
      </w:pPr>
      <w:r>
        <w:rPr>
          <w:rFonts w:cs="Arial"/>
          <w:szCs w:val="22"/>
        </w:rPr>
        <w:t>Vady na Zboží zjištěné v záruční době musí Kupující uplatnit u Prodávajícího na základě písemného reklamačního protokolu bez zbytečného odkladu poté, co se o nich dozví. Prodávající je povinen takové vady odstranit bez nároku na finanční plnění ze strany Kupujícího nebo navýšení ceny Zboží.</w:t>
      </w:r>
    </w:p>
    <w:p>
      <w:pPr>
        <w:numPr>
          <w:ilvl w:val="1"/>
          <w:numId w:val="8"/>
        </w:numPr>
        <w:spacing w:before="120"/>
        <w:ind w:left="357" w:hanging="357"/>
        <w:jc w:val="both"/>
        <w:rPr>
          <w:rFonts w:cs="Arial"/>
          <w:szCs w:val="22"/>
        </w:rPr>
      </w:pPr>
      <w:r>
        <w:rPr>
          <w:rFonts w:cs="Arial"/>
          <w:szCs w:val="22"/>
        </w:rPr>
        <w:t>Běh záruční doby začíná ode dne převzetí Zboží Kupujícím. Záruční doba neběží po dobu, po kterou Kupující nemůže užívat Zboží pro jeho vady, za které odpovídá Prodávající.</w:t>
      </w:r>
    </w:p>
    <w:p>
      <w:pPr>
        <w:numPr>
          <w:ilvl w:val="1"/>
          <w:numId w:val="8"/>
        </w:numPr>
        <w:spacing w:before="120"/>
        <w:ind w:left="357" w:hanging="357"/>
        <w:jc w:val="both"/>
        <w:rPr>
          <w:rFonts w:cs="Arial"/>
          <w:szCs w:val="22"/>
        </w:rPr>
      </w:pPr>
      <w:r>
        <w:rPr>
          <w:rFonts w:cs="Arial"/>
          <w:szCs w:val="22"/>
        </w:rPr>
        <w:t>Lhůta pro vyřízení reklamace včetně odstranění vady činí 30 kalendářních dnů ode dne doručení písemného reklamačního protokolu Prodávajícímu, který lze zaslat i na e-mail Prodávajícího uvedený v záhlaví Smlouvy. V pochybnostech se má za to, že dnem doručení se rozumí třetí den ode dne odeslání reklamačního protokolu Kupujícím na e</w:t>
      </w:r>
      <w:r>
        <w:rPr>
          <w:rFonts w:cs="Arial"/>
          <w:szCs w:val="22"/>
        </w:rPr>
        <w:noBreakHyphen/>
        <w:t>mail Prodávajícího uvedený ve Smlouvě. V případě, že nebude vada odstraněna do 30 kalendářních dnů ode dne doručení reklamačního protokolu Prodávajícímu, je Prodávající povinen uhradit smluvní pokutu ve výši 500 Kč za každý kalendářní den prodlení.</w:t>
      </w:r>
    </w:p>
    <w:p>
      <w:pPr>
        <w:numPr>
          <w:ilvl w:val="1"/>
          <w:numId w:val="8"/>
        </w:numPr>
        <w:spacing w:before="120"/>
        <w:jc w:val="both"/>
        <w:rPr>
          <w:rFonts w:cs="Arial"/>
          <w:szCs w:val="22"/>
        </w:rPr>
      </w:pPr>
      <w:r>
        <w:rPr>
          <w:rFonts w:cs="Arial"/>
          <w:szCs w:val="22"/>
        </w:rPr>
        <w:t>V případě porušení povinnosti Prodávajícího stanovené v odst. 4.4 Smlouvy doručit Kupujícímu zpět potvrzenou Objednávku nebo řádné odůvodnění nepřijetí Objednávky dle odst. 4.5 Smlouvy, a to nejpozději do 3 pracovních dnů následujících ode dne doručení Objednávky Prodávajícímu, je Prodávající povinen zaplatit smluvní pokutu ve výši 300 Kč za každý kalendářní den prodlení.</w:t>
      </w:r>
    </w:p>
    <w:p>
      <w:pPr>
        <w:numPr>
          <w:ilvl w:val="1"/>
          <w:numId w:val="8"/>
        </w:numPr>
        <w:spacing w:before="120"/>
        <w:ind w:left="357" w:hanging="357"/>
        <w:jc w:val="both"/>
        <w:rPr>
          <w:rFonts w:cs="Arial"/>
          <w:szCs w:val="22"/>
        </w:rPr>
      </w:pPr>
      <w:r>
        <w:rPr>
          <w:rFonts w:cs="Arial"/>
          <w:szCs w:val="22"/>
        </w:rPr>
        <w:t>Kupující má právo na úhradu nutných nákladů, které mu vznikly v souvislosti s uplatněním práv z vad Zboží.</w:t>
      </w:r>
    </w:p>
    <w:p>
      <w:pPr>
        <w:numPr>
          <w:ilvl w:val="1"/>
          <w:numId w:val="8"/>
        </w:numPr>
        <w:spacing w:before="120"/>
        <w:ind w:left="357" w:hanging="357"/>
        <w:jc w:val="both"/>
        <w:rPr>
          <w:rFonts w:cs="Arial"/>
          <w:szCs w:val="22"/>
        </w:rPr>
      </w:pPr>
      <w:r>
        <w:rPr>
          <w:rFonts w:cs="Arial"/>
          <w:szCs w:val="22"/>
        </w:rPr>
        <w:t xml:space="preserve">V případě vadného plnění má Kupující právo na odstranění vady dodáním nového Zboží bez vady nebo dodáním chybějícího Zboží. </w:t>
      </w:r>
    </w:p>
    <w:p>
      <w:pPr>
        <w:numPr>
          <w:ilvl w:val="1"/>
          <w:numId w:val="8"/>
        </w:numPr>
        <w:spacing w:before="120"/>
        <w:ind w:left="357" w:hanging="357"/>
        <w:jc w:val="both"/>
        <w:rPr>
          <w:rFonts w:cs="Arial"/>
          <w:szCs w:val="22"/>
        </w:rPr>
      </w:pPr>
      <w:r>
        <w:rPr>
          <w:rFonts w:cs="Arial"/>
          <w:szCs w:val="22"/>
        </w:rPr>
        <w:t xml:space="preserve">Kupující si </w:t>
      </w:r>
      <w:r>
        <w:t>vyhrazuje právo kdykoliv po dobu trvání Smlouvy provést kontrolu jakosti (technických parametrů) dodaného Zboží a předat jej ke kontrole plnění technických parametrů akreditovanému pracovišti. Nebude-li vzorek Zboží splňovat požadované technické parametry stanovené Smlouvou, jedná se ze strany Prodávajícího o podstatné porušení Smlouvy a Prodávající je povinen na základě výzvy uhradit veškeré náklady spojené s provedením této akreditované zkoušky, dále vzniklou škodu Kupujícímu (např. škodu na strojích a zařízeních, která vznikne Kupujícímu v přímé souvislosti s odchylkou od požadovaných technických parametrů) a také smluvní pokutu ve výši 50 000,- Kč za každý jednotlivý případ zjištění nedodržení požadovaných technických parametrů.</w:t>
      </w:r>
    </w:p>
    <w:p>
      <w:pPr>
        <w:numPr>
          <w:ilvl w:val="1"/>
          <w:numId w:val="8"/>
        </w:numPr>
        <w:spacing w:before="120"/>
        <w:ind w:left="357" w:hanging="357"/>
        <w:jc w:val="both"/>
        <w:rPr>
          <w:rFonts w:cs="Arial"/>
          <w:szCs w:val="22"/>
        </w:rPr>
      </w:pPr>
      <w:r>
        <w:rPr>
          <w:rFonts w:cs="Arial"/>
          <w:szCs w:val="22"/>
        </w:rPr>
        <w:t>Při nedodržení lhůty stanovené pro dodání Zboží dle odst. 5.1 Smlouvy, a to i v případě nepřevzetí Zboží Kupujícím dle odst. 5.3 Smlouvy, je Prodávající povinen uhradit Kupujícímu smluvní pokutu ve výši 1,5 % z ceny za Zboží, s jehož dodáním je Prodávající v prodlení, za každý i započatý kalendářní den prodlení, bez ohledu na skutečnost, kolik kusů Zboží bylo již dodáno.</w:t>
      </w:r>
    </w:p>
    <w:p>
      <w:pPr>
        <w:numPr>
          <w:ilvl w:val="1"/>
          <w:numId w:val="8"/>
        </w:numPr>
        <w:spacing w:before="120"/>
        <w:jc w:val="both"/>
        <w:rPr>
          <w:rFonts w:cs="Arial"/>
          <w:szCs w:val="22"/>
        </w:rPr>
      </w:pPr>
      <w:r>
        <w:rPr>
          <w:rFonts w:cs="Arial"/>
          <w:szCs w:val="22"/>
        </w:rPr>
        <w:t>V případě prodlení Kupujícího se zaplacením řádně vystavené faktury, je Kupující povinen zaplatit Prodávajícímu úrok z prodlení v zákonné výši z dlužné částky za každý započatý kalendářní den prodlení.</w:t>
      </w:r>
    </w:p>
    <w:p>
      <w:pPr>
        <w:numPr>
          <w:ilvl w:val="1"/>
          <w:numId w:val="8"/>
        </w:numPr>
        <w:spacing w:before="120"/>
        <w:jc w:val="both"/>
        <w:rPr>
          <w:rFonts w:cs="Arial"/>
          <w:szCs w:val="22"/>
        </w:rPr>
      </w:pPr>
      <w:r>
        <w:rPr>
          <w:rFonts w:cs="Arial"/>
          <w:szCs w:val="22"/>
        </w:rPr>
        <w:t>V případě prodlení Prodávajícího se zasláním informací dle odst. 8.1 a 8.2 Smlouvy je Prodávající povinen uhradit Kupujícímu smluvní pokutu ve výši 500 Kč za každý kalendářní den prodlení.</w:t>
      </w:r>
    </w:p>
    <w:p>
      <w:pPr>
        <w:numPr>
          <w:ilvl w:val="1"/>
          <w:numId w:val="8"/>
        </w:numPr>
        <w:spacing w:before="120"/>
        <w:jc w:val="both"/>
        <w:rPr>
          <w:rFonts w:cs="Arial"/>
          <w:szCs w:val="22"/>
        </w:rPr>
      </w:pPr>
      <w:r>
        <w:rPr>
          <w:rFonts w:cs="Arial"/>
          <w:szCs w:val="22"/>
        </w:rPr>
        <w:t>V případě porušení povinnosti stanovené v odst. 8.5 nebo 8.6 Smlouvy je Prodávající povinen zaplatit Kupujícímu smluvní pokutu ve výši 50 000,- Kč za každý jednotlivý případ.</w:t>
      </w:r>
    </w:p>
    <w:p>
      <w:pPr>
        <w:numPr>
          <w:ilvl w:val="1"/>
          <w:numId w:val="8"/>
        </w:numPr>
        <w:spacing w:before="120"/>
        <w:ind w:left="357" w:hanging="357"/>
        <w:jc w:val="both"/>
        <w:rPr>
          <w:rFonts w:cs="Arial"/>
          <w:szCs w:val="22"/>
        </w:rPr>
      </w:pPr>
      <w:r>
        <w:rPr>
          <w:rFonts w:cs="Arial"/>
          <w:szCs w:val="22"/>
        </w:rPr>
        <w:t>Smluvní pokuta a úrok z prodlení jsou splatné do 30 kalendářních dnů ode dne doručení výzvy k jejich zaplacení. Dnem splatnosti se rozumí den odeslání příslušné částky na účet druhé smluvní strany.</w:t>
      </w:r>
    </w:p>
    <w:p>
      <w:pPr>
        <w:numPr>
          <w:ilvl w:val="1"/>
          <w:numId w:val="8"/>
        </w:numPr>
        <w:spacing w:before="120"/>
        <w:ind w:left="357" w:hanging="357"/>
        <w:jc w:val="both"/>
        <w:rPr>
          <w:rFonts w:cs="Arial"/>
          <w:szCs w:val="22"/>
        </w:rPr>
      </w:pPr>
      <w:r>
        <w:rPr>
          <w:rFonts w:cs="Arial"/>
          <w:szCs w:val="22"/>
        </w:rPr>
        <w:t>Uplatněním práv z vad či uplatněním smluvních pokut není dotčeno právo na náhradu tím způsobené škody v plné výši.</w:t>
      </w:r>
    </w:p>
    <w:p>
      <w:pPr>
        <w:numPr>
          <w:ilvl w:val="1"/>
          <w:numId w:val="8"/>
        </w:numPr>
        <w:spacing w:before="120"/>
        <w:ind w:left="357" w:hanging="357"/>
        <w:jc w:val="both"/>
        <w:rPr>
          <w:rFonts w:cs="Arial"/>
          <w:szCs w:val="22"/>
        </w:rPr>
      </w:pPr>
      <w:r>
        <w:rPr>
          <w:rFonts w:cs="Arial"/>
          <w:szCs w:val="22"/>
        </w:rPr>
        <w:t xml:space="preserve">Nestanoví-li Smlouva </w:t>
      </w:r>
      <w:r>
        <w:t xml:space="preserve">nebo dílčí smlouva jinak, řídí se odpovědnost za vady ustanoveními § 2099 a násl. OZ o právech z vadného plnění a záruce </w:t>
      </w:r>
      <w:r>
        <w:rPr>
          <w:rFonts w:cs="Arial"/>
          <w:szCs w:val="22"/>
        </w:rPr>
        <w:t>za jakost.</w:t>
      </w:r>
    </w:p>
    <w:p>
      <w:pPr>
        <w:jc w:val="both"/>
        <w:rPr>
          <w:rFonts w:cs="Arial"/>
          <w:szCs w:val="22"/>
        </w:rPr>
      </w:pPr>
    </w:p>
    <w:p>
      <w:pPr>
        <w:suppressAutoHyphens/>
        <w:spacing w:before="240" w:after="60"/>
        <w:jc w:val="center"/>
        <w:outlineLvl w:val="0"/>
        <w:rPr>
          <w:rFonts w:cs="Arial"/>
          <w:b/>
          <w:bCs/>
          <w:kern w:val="28"/>
          <w:szCs w:val="32"/>
          <w:lang w:eastAsia="ar-SA" w:bidi="ar-SA"/>
        </w:rPr>
      </w:pPr>
      <w:r>
        <w:rPr>
          <w:rFonts w:cs="Arial"/>
          <w:b/>
          <w:bCs/>
          <w:kern w:val="28"/>
          <w:szCs w:val="32"/>
          <w:lang w:eastAsia="ar-SA" w:bidi="ar-SA"/>
        </w:rPr>
        <w:t>Článek VII.</w:t>
      </w:r>
    </w:p>
    <w:p>
      <w:pPr>
        <w:jc w:val="center"/>
        <w:rPr>
          <w:rFonts w:cs="Arial"/>
          <w:b/>
          <w:szCs w:val="22"/>
          <w:lang w:bidi="ar-SA"/>
        </w:rPr>
      </w:pPr>
      <w:r>
        <w:rPr>
          <w:rFonts w:cs="Arial"/>
          <w:b/>
          <w:szCs w:val="22"/>
          <w:lang w:bidi="ar-SA"/>
        </w:rPr>
        <w:t>Doba trvání Smlouvy, ukončení Smlouvy a dílčí smlouvy</w:t>
      </w:r>
    </w:p>
    <w:p>
      <w:pPr>
        <w:numPr>
          <w:ilvl w:val="1"/>
          <w:numId w:val="15"/>
        </w:numPr>
        <w:spacing w:before="120"/>
        <w:jc w:val="both"/>
      </w:pPr>
      <w:r>
        <w:rPr>
          <w:rFonts w:cs="Arial"/>
          <w:szCs w:val="22"/>
        </w:rPr>
        <w:t xml:space="preserve">Smlouva se uzavírá na dobu určitou, a to na 2 roky ode dne nabytí účinnosti Smlouvy. Dílčí smlouvy, které mohou být uzavřené na základě Smlouvy, se po celou dobu své platnosti a účinnosti řídí též ustanoveními Smlouvy, a to i tehdy, když Smlouva zanikne dříve než příslušná dílčí smlouva. </w:t>
      </w:r>
    </w:p>
    <w:p>
      <w:pPr>
        <w:numPr>
          <w:ilvl w:val="1"/>
          <w:numId w:val="15"/>
        </w:numPr>
        <w:spacing w:before="120"/>
        <w:ind w:left="357" w:hanging="357"/>
        <w:jc w:val="both"/>
        <w:rPr>
          <w:rFonts w:cs="Arial"/>
          <w:szCs w:val="22"/>
        </w:rPr>
      </w:pPr>
      <w:r>
        <w:rPr>
          <w:rFonts w:cs="Arial"/>
          <w:szCs w:val="22"/>
        </w:rPr>
        <w:t>Smlouva zanikne v těchto případech:</w:t>
      </w:r>
    </w:p>
    <w:p>
      <w:pPr>
        <w:numPr>
          <w:ilvl w:val="0"/>
          <w:numId w:val="13"/>
        </w:numPr>
        <w:spacing w:before="120"/>
        <w:jc w:val="both"/>
        <w:rPr>
          <w:rFonts w:cs="Arial"/>
          <w:szCs w:val="22"/>
        </w:rPr>
      </w:pPr>
      <w:r>
        <w:rPr>
          <w:rFonts w:cs="Arial"/>
          <w:szCs w:val="22"/>
        </w:rPr>
        <w:t>uplynutím sjednané doby trvání Smlouvy,</w:t>
      </w:r>
    </w:p>
    <w:p>
      <w:pPr>
        <w:numPr>
          <w:ilvl w:val="0"/>
          <w:numId w:val="13"/>
        </w:numPr>
        <w:spacing w:before="120"/>
        <w:jc w:val="both"/>
        <w:rPr>
          <w:rFonts w:cs="Arial"/>
          <w:szCs w:val="22"/>
        </w:rPr>
      </w:pPr>
      <w:r>
        <w:rPr>
          <w:rFonts w:cs="Arial"/>
          <w:szCs w:val="22"/>
        </w:rPr>
        <w:t>dohodou smluvních stran</w:t>
      </w:r>
      <w:r>
        <w:t xml:space="preserve"> </w:t>
      </w:r>
      <w:r>
        <w:rPr>
          <w:rFonts w:cs="Arial"/>
          <w:szCs w:val="22"/>
        </w:rPr>
        <w:t>podle ustanovení § 1981 OZ v písemné formě, přičemž účinky ukončení Smlouvy nastanou k okamžiku stanovenému v takovéto dohodě. Nebude-li takovýto okamžik dohodou stanoven, pak tyto účinky nastanou ke dni podpisu takovéto dohody oběma smluvními stranami,</w:t>
      </w:r>
    </w:p>
    <w:p>
      <w:pPr>
        <w:numPr>
          <w:ilvl w:val="0"/>
          <w:numId w:val="13"/>
        </w:numPr>
        <w:spacing w:before="120"/>
        <w:jc w:val="both"/>
        <w:rPr>
          <w:rFonts w:cs="Arial"/>
          <w:szCs w:val="22"/>
        </w:rPr>
      </w:pPr>
      <w:r>
        <w:rPr>
          <w:rFonts w:cs="Arial"/>
          <w:szCs w:val="22"/>
        </w:rPr>
        <w:t>odstoupením některé ze smluvních stran</w:t>
      </w:r>
      <w:r>
        <w:t xml:space="preserve"> </w:t>
      </w:r>
      <w:r>
        <w:rPr>
          <w:rFonts w:cs="Arial"/>
          <w:szCs w:val="22"/>
        </w:rPr>
        <w:t>v případě jejího podstatného porušení druhou smluvní stranou za podmínek uvedených v ustanovení § 2002 OZ,</w:t>
      </w:r>
    </w:p>
    <w:p>
      <w:pPr>
        <w:numPr>
          <w:ilvl w:val="0"/>
          <w:numId w:val="13"/>
        </w:numPr>
        <w:spacing w:before="120"/>
        <w:jc w:val="both"/>
        <w:rPr>
          <w:rFonts w:cs="Arial"/>
          <w:szCs w:val="22"/>
        </w:rPr>
      </w:pPr>
      <w:r>
        <w:rPr>
          <w:rFonts w:cs="Arial"/>
          <w:szCs w:val="22"/>
        </w:rPr>
        <w:t>písemnou výpovědí některé ze smluvních stran, přičemž výpovědní lhůta činí v období prvního roku po uzavření Smlouvy 180 kalendářních dní a v období druhého roku trvání Smlouvy 90 kalendářních dní vždy ode dne jejího prokazatelného doručení druhé smluvní straně.</w:t>
      </w:r>
    </w:p>
    <w:p>
      <w:pPr>
        <w:numPr>
          <w:ilvl w:val="1"/>
          <w:numId w:val="15"/>
        </w:numPr>
        <w:spacing w:before="120"/>
        <w:ind w:left="357" w:hanging="357"/>
        <w:jc w:val="both"/>
        <w:rPr>
          <w:rFonts w:cs="Arial"/>
          <w:szCs w:val="22"/>
        </w:rPr>
      </w:pPr>
      <w:r>
        <w:rPr>
          <w:rFonts w:cs="Arial"/>
          <w:szCs w:val="22"/>
        </w:rPr>
        <w:t>Jednající Kupující je oprávněn odstoupit od Smlouvy, jestliže zjistí, že Prodávající:</w:t>
      </w:r>
    </w:p>
    <w:p>
      <w:pPr>
        <w:numPr>
          <w:ilvl w:val="0"/>
          <w:numId w:val="14"/>
        </w:numPr>
        <w:spacing w:before="120"/>
        <w:ind w:left="924" w:hanging="357"/>
        <w:jc w:val="both"/>
        <w:rPr>
          <w:rFonts w:cs="Arial"/>
          <w:szCs w:val="22"/>
        </w:rPr>
      </w:pPr>
      <w:r>
        <w:rPr>
          <w:rFonts w:cs="Arial"/>
          <w:szCs w:val="22"/>
        </w:rPr>
        <w:t>nabízel, dával, přijímal nebo zprostředkovával určité hodnoty s cílem ovlivnit chování nebo jednání kohokoliv, ať již státního zaměstnance nebo někoho jiného, přímo nebo nepřímo, v zadávacím řízení nebo při provádění Smlouvy,</w:t>
      </w:r>
    </w:p>
    <w:p>
      <w:pPr>
        <w:numPr>
          <w:ilvl w:val="0"/>
          <w:numId w:val="14"/>
        </w:numPr>
        <w:spacing w:before="120"/>
        <w:jc w:val="both"/>
        <w:rPr>
          <w:rFonts w:cs="Arial"/>
          <w:szCs w:val="22"/>
        </w:rPr>
      </w:pPr>
      <w:r>
        <w:rPr>
          <w:rFonts w:cs="Arial"/>
          <w:szCs w:val="22"/>
        </w:rPr>
        <w:t xml:space="preserve">zkresloval jakékoliv skutečnosti za účelem ovlivnění zadávacího řízení nebo provádění Smlouvy ke škodě Kupujícího, včetně užití podvodných praktik k potlačení a snížení výhod volné a otevřené soutěže, </w:t>
      </w:r>
    </w:p>
    <w:p>
      <w:pPr>
        <w:pStyle w:val="Odstavecseseznamem"/>
        <w:numPr>
          <w:ilvl w:val="0"/>
          <w:numId w:val="14"/>
        </w:numPr>
        <w:rPr>
          <w:rFonts w:ascii="Arial" w:hAnsi="Arial" w:cs="Arial"/>
          <w:sz w:val="22"/>
          <w:szCs w:val="22"/>
          <w:lang w:eastAsia="en-US"/>
        </w:rPr>
      </w:pPr>
      <w:r>
        <w:rPr>
          <w:rFonts w:ascii="Arial" w:hAnsi="Arial" w:cs="Arial"/>
          <w:sz w:val="22"/>
          <w:szCs w:val="22"/>
          <w:lang w:eastAsia="en-US"/>
        </w:rPr>
        <w:t>dodal Zboží, které nesplňuje požadované technické parametry stanovené Smlouvou,</w:t>
      </w:r>
    </w:p>
    <w:p>
      <w:pPr>
        <w:pStyle w:val="Odstavecseseznamem"/>
        <w:numPr>
          <w:ilvl w:val="0"/>
          <w:numId w:val="14"/>
        </w:numPr>
        <w:rPr>
          <w:rFonts w:ascii="Arial" w:hAnsi="Arial" w:cs="Arial"/>
          <w:sz w:val="22"/>
          <w:szCs w:val="22"/>
          <w:lang w:eastAsia="en-US"/>
        </w:rPr>
      </w:pPr>
      <w:r>
        <w:rPr>
          <w:rFonts w:ascii="Arial" w:hAnsi="Arial" w:cs="Arial"/>
          <w:sz w:val="22"/>
          <w:szCs w:val="22"/>
          <w:lang w:eastAsia="en-US"/>
        </w:rPr>
        <w:t>je v prodlení o více než 10 kalendářních dní s dodáním Zboží opakovaně, minimálně ve třech případech nezávisle na konkrétním Kupujícím,</w:t>
      </w:r>
    </w:p>
    <w:p>
      <w:pPr>
        <w:pStyle w:val="Odstavecseseznamem"/>
        <w:numPr>
          <w:ilvl w:val="0"/>
          <w:numId w:val="14"/>
        </w:numPr>
        <w:rPr>
          <w:rFonts w:ascii="Arial" w:hAnsi="Arial" w:cs="Arial"/>
          <w:sz w:val="22"/>
          <w:szCs w:val="22"/>
          <w:lang w:eastAsia="en-US"/>
        </w:rPr>
      </w:pPr>
      <w:r>
        <w:rPr>
          <w:rFonts w:ascii="Arial" w:hAnsi="Arial" w:cs="Arial"/>
          <w:sz w:val="22"/>
          <w:szCs w:val="22"/>
          <w:lang w:eastAsia="en-US"/>
        </w:rPr>
        <w:t>porušil povinnost stanovenou v odst. 8.5 nebo 8.6 Smlouvy.</w:t>
      </w:r>
    </w:p>
    <w:p>
      <w:pPr>
        <w:numPr>
          <w:ilvl w:val="1"/>
          <w:numId w:val="15"/>
        </w:numPr>
        <w:spacing w:before="120"/>
        <w:ind w:left="357" w:hanging="357"/>
        <w:jc w:val="both"/>
        <w:rPr>
          <w:rFonts w:cs="Arial"/>
          <w:szCs w:val="22"/>
        </w:rPr>
      </w:pPr>
      <w:r>
        <w:rPr>
          <w:rFonts w:cs="Arial"/>
          <w:szCs w:val="22"/>
        </w:rPr>
        <w:t>Kupující je oprávněn odstoupit od dílčí smlouvy, jestliže Prodávající:</w:t>
      </w:r>
    </w:p>
    <w:p>
      <w:pPr>
        <w:pStyle w:val="Odstavecseseznamem"/>
        <w:numPr>
          <w:ilvl w:val="0"/>
          <w:numId w:val="17"/>
        </w:numPr>
        <w:jc w:val="left"/>
        <w:rPr>
          <w:rFonts w:ascii="Arial" w:hAnsi="Arial" w:cs="Arial"/>
          <w:sz w:val="22"/>
          <w:szCs w:val="22"/>
          <w:lang w:eastAsia="en-US"/>
        </w:rPr>
      </w:pPr>
      <w:r>
        <w:rPr>
          <w:rFonts w:ascii="Arial" w:hAnsi="Arial" w:cs="Arial"/>
          <w:sz w:val="22"/>
          <w:szCs w:val="22"/>
          <w:lang w:eastAsia="en-US"/>
        </w:rPr>
        <w:t xml:space="preserve">neodstraní vadu dodaného Zboží ve lhůtě dle odst. 5.3 Smlouvy nebo dle odst. 6.4 Smlouvy,  </w:t>
      </w:r>
    </w:p>
    <w:p>
      <w:pPr>
        <w:pStyle w:val="Odstavecseseznamem"/>
        <w:numPr>
          <w:ilvl w:val="0"/>
          <w:numId w:val="17"/>
        </w:numPr>
        <w:jc w:val="left"/>
        <w:rPr>
          <w:rFonts w:ascii="Arial" w:hAnsi="Arial" w:cs="Arial"/>
          <w:sz w:val="22"/>
          <w:szCs w:val="22"/>
          <w:lang w:eastAsia="en-US"/>
        </w:rPr>
      </w:pPr>
      <w:r>
        <w:rPr>
          <w:rFonts w:ascii="Arial" w:hAnsi="Arial" w:cs="Arial"/>
          <w:sz w:val="22"/>
          <w:szCs w:val="22"/>
          <w:lang w:eastAsia="en-US"/>
        </w:rPr>
        <w:t>je v prodlení s dodáním Zboží o více než 10 kalendářních dní,</w:t>
      </w:r>
    </w:p>
    <w:p>
      <w:pPr>
        <w:pStyle w:val="Odstavecseseznamem"/>
        <w:numPr>
          <w:ilvl w:val="0"/>
          <w:numId w:val="17"/>
        </w:numPr>
        <w:jc w:val="left"/>
        <w:rPr>
          <w:rFonts w:ascii="Arial" w:hAnsi="Arial" w:cs="Arial"/>
          <w:sz w:val="22"/>
          <w:szCs w:val="22"/>
          <w:lang w:eastAsia="en-US"/>
        </w:rPr>
      </w:pPr>
      <w:r>
        <w:rPr>
          <w:rFonts w:ascii="Arial" w:hAnsi="Arial" w:cs="Arial"/>
          <w:sz w:val="22"/>
          <w:szCs w:val="22"/>
          <w:lang w:eastAsia="en-US"/>
        </w:rPr>
        <w:t>porušil povinnosti stanovené v odst. 8.5 nebo 8.6 Smlouvy.</w:t>
      </w:r>
    </w:p>
    <w:p>
      <w:pPr>
        <w:numPr>
          <w:ilvl w:val="1"/>
          <w:numId w:val="15"/>
        </w:numPr>
        <w:spacing w:before="120"/>
        <w:ind w:left="357" w:hanging="357"/>
        <w:jc w:val="both"/>
        <w:rPr>
          <w:rFonts w:cs="Arial"/>
          <w:szCs w:val="22"/>
        </w:rPr>
      </w:pPr>
      <w:r>
        <w:rPr>
          <w:rFonts w:cs="Arial"/>
          <w:szCs w:val="22"/>
        </w:rPr>
        <w:t>Jednající Kupující je oprávněn odstoupit od Smlouvy, jestliže Prodávající bez řádného důvodu dle odst. 4.5 Smlouvy neakceptuje objednávku Kupujícího.</w:t>
      </w:r>
    </w:p>
    <w:p>
      <w:pPr>
        <w:numPr>
          <w:ilvl w:val="1"/>
          <w:numId w:val="15"/>
        </w:numPr>
        <w:spacing w:before="120"/>
        <w:ind w:left="357" w:hanging="357"/>
        <w:jc w:val="both"/>
        <w:rPr>
          <w:rFonts w:cs="Arial"/>
          <w:szCs w:val="22"/>
        </w:rPr>
      </w:pPr>
      <w:r>
        <w:rPr>
          <w:rFonts w:cs="Arial"/>
          <w:szCs w:val="22"/>
        </w:rPr>
        <w:t xml:space="preserve">Odstoupení od Smlouvy musí být provedeno v písemné formě. Účinky odstoupení nastávají okamžikem prokazatelného doručení odstoupení od Smlouvy druhé smluvní straně. </w:t>
      </w:r>
    </w:p>
    <w:p>
      <w:pPr>
        <w:numPr>
          <w:ilvl w:val="1"/>
          <w:numId w:val="15"/>
        </w:numPr>
        <w:spacing w:before="120"/>
        <w:ind w:left="357" w:hanging="357"/>
        <w:jc w:val="both"/>
        <w:rPr>
          <w:rFonts w:cs="Arial"/>
          <w:szCs w:val="22"/>
        </w:rPr>
      </w:pPr>
      <w:r>
        <w:rPr>
          <w:rFonts w:cs="Arial"/>
          <w:szCs w:val="22"/>
        </w:rPr>
        <w:t>Odstoupení od Smlouvy se nedotýká práva na náhradu škody vzniklého z porušení smluvní povinnosti, práva na zaplacení smluvní pokuty a úroku z prodlení, pokud již dospěl ani ujednání o způsobu řešení sporů a volbě práva.</w:t>
      </w:r>
    </w:p>
    <w:p>
      <w:pPr>
        <w:suppressAutoHyphens/>
        <w:spacing w:before="240" w:after="60"/>
        <w:outlineLvl w:val="0"/>
        <w:rPr>
          <w:rFonts w:cs="Arial"/>
          <w:b/>
          <w:bCs/>
          <w:kern w:val="28"/>
          <w:szCs w:val="32"/>
          <w:lang w:eastAsia="ar-SA" w:bidi="ar-SA"/>
        </w:rPr>
      </w:pPr>
      <w:r>
        <w:rPr>
          <w:rFonts w:cs="Arial"/>
          <w:b/>
          <w:bCs/>
          <w:kern w:val="28"/>
          <w:szCs w:val="32"/>
          <w:lang w:eastAsia="ar-SA" w:bidi="ar-SA"/>
        </w:rPr>
        <w:t xml:space="preserve"> </w:t>
      </w:r>
    </w:p>
    <w:p>
      <w:pPr>
        <w:suppressAutoHyphens/>
        <w:spacing w:before="240" w:after="60"/>
        <w:jc w:val="center"/>
        <w:outlineLvl w:val="0"/>
        <w:rPr>
          <w:rFonts w:cs="Arial"/>
          <w:b/>
          <w:bCs/>
          <w:kern w:val="28"/>
          <w:szCs w:val="32"/>
          <w:lang w:eastAsia="ar-SA" w:bidi="ar-SA"/>
        </w:rPr>
      </w:pPr>
      <w:r>
        <w:rPr>
          <w:rFonts w:cs="Arial"/>
          <w:b/>
          <w:bCs/>
          <w:kern w:val="28"/>
          <w:szCs w:val="32"/>
          <w:lang w:eastAsia="ar-SA" w:bidi="ar-SA"/>
        </w:rPr>
        <w:t>Článek VIII.</w:t>
      </w:r>
    </w:p>
    <w:p>
      <w:pPr>
        <w:spacing w:after="120"/>
        <w:jc w:val="center"/>
        <w:rPr>
          <w:rFonts w:cs="Arial"/>
          <w:b/>
          <w:szCs w:val="22"/>
          <w:lang w:bidi="ar-SA"/>
        </w:rPr>
      </w:pPr>
      <w:r>
        <w:rPr>
          <w:rFonts w:cs="Arial"/>
          <w:b/>
          <w:szCs w:val="22"/>
          <w:lang w:bidi="ar-SA"/>
        </w:rPr>
        <w:t>Závěrečná ustanovení</w:t>
      </w:r>
    </w:p>
    <w:p>
      <w:pPr>
        <w:numPr>
          <w:ilvl w:val="1"/>
          <w:numId w:val="12"/>
        </w:numPr>
        <w:suppressAutoHyphens/>
        <w:spacing w:after="120"/>
        <w:jc w:val="both"/>
      </w:pPr>
      <w:r>
        <w:t xml:space="preserve">Prodávající se zavazuje poskytovat Jednajícímu Kupujícímu čtvrtletně údaje o druhu, množství, jednotkové a celkové ceně objednaného Zboží (v Kč bez DPH) a to v členění dle jednotlivých Kupujících. Podrobná struktura požadovaných údajů bude Kupujícím blíže specifikována dle aktuálních požadavků vyplývajících např. z metodiky pro výpočet úspor v rámci resortních systémů centralizovaného zadávání, a to po podpisu Smlouvy. </w:t>
      </w:r>
    </w:p>
    <w:p>
      <w:pPr>
        <w:numPr>
          <w:ilvl w:val="1"/>
          <w:numId w:val="12"/>
        </w:numPr>
        <w:suppressAutoHyphens/>
        <w:spacing w:after="120"/>
        <w:jc w:val="both"/>
      </w:pPr>
      <w:r>
        <w:t xml:space="preserve">Údaje podle předchozího odstavce je Prodávající povinen zaslat vždy nejpozději do 15 kalendářních dnů po konci příslušného kalendářního čtvrtletí (tj. po </w:t>
      </w:r>
      <w:proofErr w:type="gramStart"/>
      <w:r>
        <w:t>31.3</w:t>
      </w:r>
      <w:proofErr w:type="gramEnd"/>
      <w:r>
        <w:t>., 30.6., 30.9., 31.12. daného roku) elektronicky v editovatelném formátu (např. .</w:t>
      </w:r>
      <w:proofErr w:type="spellStart"/>
      <w:r>
        <w:t>xls</w:t>
      </w:r>
      <w:proofErr w:type="spellEnd"/>
      <w:r>
        <w:t>, .doc) na e</w:t>
      </w:r>
      <w:r>
        <w:noBreakHyphen/>
        <w:t xml:space="preserve">mailovou adresu </w:t>
      </w:r>
      <w:hyperlink r:id="rId12" w:history="1">
        <w:r>
          <w:rPr>
            <w:color w:val="0000FF"/>
            <w:u w:val="single"/>
          </w:rPr>
          <w:t>rsczvz@sfdi.cz</w:t>
        </w:r>
      </w:hyperlink>
      <w:r>
        <w:t>.</w:t>
      </w:r>
    </w:p>
    <w:p>
      <w:pPr>
        <w:numPr>
          <w:ilvl w:val="1"/>
          <w:numId w:val="12"/>
        </w:numPr>
        <w:suppressAutoHyphens/>
        <w:spacing w:after="120"/>
        <w:jc w:val="both"/>
      </w:pPr>
      <w:r>
        <w:t>Prodávající se zavazuje poskytovat Jednajícímu Kupujícímu vždy po skončení kalendářního roku nejpozději do 15. února následujícího roku výši skutečně uhrazené ceny za plnění Smlouvy v předchozím kalendářním roce v Kč bez DPH celkem za všechny Kupující.</w:t>
      </w:r>
    </w:p>
    <w:p>
      <w:pPr>
        <w:pStyle w:val="Odstavecseseznamem"/>
        <w:numPr>
          <w:ilvl w:val="1"/>
          <w:numId w:val="12"/>
        </w:numPr>
      </w:pPr>
      <w:r>
        <w:rPr>
          <w:rFonts w:ascii="Arial" w:hAnsi="Arial"/>
          <w:sz w:val="22"/>
          <w:lang w:eastAsia="en-US"/>
        </w:rPr>
        <w:t>Prodávající je povinen bez zbytečného odkladu informovat Kupujícího o změně kontaktních údajů uvedených ve Smlouvě nebo sdělených pro účely plnění této Smlouvy.</w:t>
      </w:r>
    </w:p>
    <w:p>
      <w:pPr>
        <w:numPr>
          <w:ilvl w:val="1"/>
          <w:numId w:val="12"/>
        </w:numPr>
        <w:suppressAutoHyphens/>
        <w:spacing w:before="120" w:after="120"/>
        <w:jc w:val="both"/>
        <w:rPr>
          <w:rFonts w:cs="Arial"/>
          <w:szCs w:val="22"/>
        </w:rPr>
      </w:pPr>
      <w:r>
        <w:t xml:space="preserve">Žádná ze smluvních stran není oprávněna poskytnout třetím osobám jakékoliv informace o druhé smluvní straně, o podmínkách Smlouvy nebo dílčí smlouvy a souvisejících se Smlouvou nebo dílčí smlouvou a </w:t>
      </w:r>
      <w:r>
        <w:rPr>
          <w:rFonts w:cs="Arial"/>
          <w:szCs w:val="22"/>
        </w:rPr>
        <w:t>které získají v průběhu činnosti podle této Smlouvy, jakož i po jejím ukončení</w:t>
      </w:r>
      <w:r>
        <w:t xml:space="preserve">, jejichž obsahem mohou být důvěrné informace, osobní a citlivé údaje, informace týkající se obchodního tajemství, technologie nebo know-how, s výjimkou povinnosti poskytovat informace podle zvláštních předpisů. Ustanovení odst. 8.12 a 8.13 tohoto článku tím není dotčeno. S osobními a citlivými údaji může být nakládáno pouze </w:t>
      </w:r>
      <w:r>
        <w:rPr>
          <w:rFonts w:cs="Arial"/>
          <w:szCs w:val="22"/>
        </w:rPr>
        <w:t>v souladu se zákonem č. 110/2019 Sb., o zpracování osobních údajů, v platném znění a Nařízením Evropského parlamentu a Rady (EU) č. 2016/679 ze dne 27. dubna 2016 o ochraně fyzických osob v souvislosti se zpracováním osobních údajů a o volném pohybu těchto údajů a o zrušení směrnice 95/46/ES (obecné nařízení o ochraně osobních údajů). Smluvní strany přebírají odpovědnost za případnou újmu, která by porušením těchto povinností druhé smluvní straně nebo jejímu zaměstnanci vznikla.</w:t>
      </w:r>
    </w:p>
    <w:p>
      <w:pPr>
        <w:numPr>
          <w:ilvl w:val="1"/>
          <w:numId w:val="12"/>
        </w:numPr>
        <w:suppressAutoHyphens/>
        <w:spacing w:after="120"/>
        <w:jc w:val="both"/>
      </w:pPr>
      <w:r>
        <w:t>Žádná ze smluvních stran nemá právo postoupit či jinak převést svá práva či povinnosti vyplývající ze Smlouvy nebo z dílčí smlouvy bez předchozího písemného souhlasu druhé smluvní strany.</w:t>
      </w:r>
    </w:p>
    <w:p>
      <w:pPr>
        <w:numPr>
          <w:ilvl w:val="1"/>
          <w:numId w:val="12"/>
        </w:numPr>
        <w:suppressAutoHyphens/>
        <w:spacing w:after="120"/>
        <w:jc w:val="both"/>
      </w:pPr>
      <w:r>
        <w:t>Závazky dle předchozích odstavců tohoto článku zůstávají v platnosti i po ukončení účinnosti Smlouvy.</w:t>
      </w:r>
    </w:p>
    <w:p>
      <w:pPr>
        <w:numPr>
          <w:ilvl w:val="1"/>
          <w:numId w:val="12"/>
        </w:numPr>
        <w:suppressAutoHyphens/>
        <w:spacing w:after="120"/>
        <w:jc w:val="both"/>
      </w:pPr>
      <w:r>
        <w:t xml:space="preserve">Smlouva a práva a povinnosti z ní vyplývající se řídí českým právním řádem. Práva a povinnosti smluvních stran, pokud nejsou upraveny Smlouvou, se řídí OZ a předpisy souvisejícími. </w:t>
      </w:r>
    </w:p>
    <w:p>
      <w:pPr>
        <w:numPr>
          <w:ilvl w:val="1"/>
          <w:numId w:val="12"/>
        </w:numPr>
        <w:suppressAutoHyphens/>
        <w:spacing w:after="120"/>
        <w:jc w:val="both"/>
      </w:pPr>
      <w:r>
        <w:t>Veškeré případné spory vzniklé mezi smluvními stranami na základě nebo v souvislosti se Smlouvou budou primárně řešeny jednáním smluvních stran. V případě, že tyto spory nebudou v přiměřené době vyřešeny, budou k jejich projednání a rozhodnutí příslušné soudy České republiky.</w:t>
      </w:r>
    </w:p>
    <w:p>
      <w:pPr>
        <w:numPr>
          <w:ilvl w:val="1"/>
          <w:numId w:val="12"/>
        </w:numPr>
        <w:suppressAutoHyphens/>
        <w:spacing w:after="120"/>
        <w:jc w:val="both"/>
      </w:pPr>
      <w:r>
        <w:t>Prodávající se zavazuje k součinnosti při výkonu finanční kontroly dle § 2 písm. e) zákona č. 320/2001 Sb., o finanční kontrole ve veřejné správě a o změně některých zákonů (zákon o finanční kontrole), ve znění pozdějších předpisů. Prodávající se dále zavazuje umožnit všem oprávněným subjektům provést kontrolu dokladů souvisejících s plněním Veřejné zakázky, a to po dobu určenou k jejich archivaci v souladu s příslušnými právními předpisy.</w:t>
      </w:r>
    </w:p>
    <w:p>
      <w:pPr>
        <w:numPr>
          <w:ilvl w:val="1"/>
          <w:numId w:val="12"/>
        </w:numPr>
        <w:suppressAutoHyphens/>
        <w:spacing w:after="120"/>
        <w:jc w:val="both"/>
      </w:pPr>
      <w:r>
        <w:t>Prodávající bere dále na vědomí, že část Zboží může být Kupujícími hrazena z prostředků fondů Evropské unie a že poskytovatel dotace, kontrolní či auditní orgány Evropské unie a České republiky jsou oprávněni kontrolovat čerpání dotace vč. veškeré související dokumentace dle podmínek konkrétního dotačního titulu. Prodávající se zavazuje, že s auditními a kontrolními orgány bude na výzvu spolupracovat a poskytne jim odpovídající součinnost. Povinné náležitosti publicity v případě spolufinancování z prostředků fondů EU uvede Kupující v příslušné objednávce.</w:t>
      </w:r>
    </w:p>
    <w:p>
      <w:pPr>
        <w:numPr>
          <w:ilvl w:val="1"/>
          <w:numId w:val="12"/>
        </w:numPr>
        <w:suppressAutoHyphens/>
        <w:spacing w:after="120"/>
        <w:jc w:val="both"/>
      </w:pPr>
      <w:r>
        <w:t>Prodávající bezvýhradně souhlasí se zveřejněním své identifikace a dalších parametrů Smlouvy, včetně cen v souladu s příslušnými právními předpisy.</w:t>
      </w:r>
    </w:p>
    <w:p>
      <w:pPr>
        <w:pStyle w:val="Odstavecseseznamem"/>
        <w:numPr>
          <w:ilvl w:val="1"/>
          <w:numId w:val="12"/>
        </w:numPr>
      </w:pPr>
      <w:r>
        <w:rPr>
          <w:rFonts w:ascii="Arial" w:hAnsi="Arial"/>
          <w:sz w:val="22"/>
          <w:lang w:eastAsia="en-US"/>
        </w:rPr>
        <w:t>Prodávající prohlašuje, že Smlouva, jakož i její text, včetně všech příloh, neobsahuje obchodní tajemství a souhlasí, aby ji Jednající kupující v plném rozsahu (s vyloučením jinak chráněných informací) v elektronické podobě uveřejnil na profilu zadavatele ve smyslu ZZVZ a v registru smluv ve smyslu zákona o registru smluv, případně na jiném místě, bude-li k tomu Jednající kupující povinován, a to bez časového omezení.</w:t>
      </w:r>
    </w:p>
    <w:p>
      <w:pPr>
        <w:numPr>
          <w:ilvl w:val="1"/>
          <w:numId w:val="12"/>
        </w:numPr>
        <w:suppressAutoHyphens/>
        <w:spacing w:before="120" w:after="120"/>
        <w:jc w:val="both"/>
      </w:pPr>
      <w:r>
        <w:rPr>
          <w:rFonts w:cs="Arial"/>
          <w:szCs w:val="22"/>
        </w:rPr>
        <w:t xml:space="preserve">Prodávající bere na vědomí a souhlasí s tím, že všechny dílčí smlouvy uzavřené na základě Smlouvy a případné dodatky, které podléhají uveřejnění dle zákona o registru smluv, budou v plném rozsahu uveřejněny Kupujícím v registru smluv v souladu se zákonem o registru smluv. </w:t>
      </w:r>
      <w:r>
        <w:t>Smluvní strany jsou povinny se při uzavírání dílčích smluv na základě Smlouvy řídit, mimo jiné, zákonem o registru smluv</w:t>
      </w:r>
      <w:r>
        <w:rPr>
          <w:rFonts w:cs="Arial"/>
          <w:szCs w:val="22"/>
        </w:rPr>
        <w:t>.</w:t>
      </w:r>
    </w:p>
    <w:p>
      <w:pPr>
        <w:numPr>
          <w:ilvl w:val="1"/>
          <w:numId w:val="12"/>
        </w:numPr>
        <w:suppressAutoHyphens/>
        <w:spacing w:after="120"/>
        <w:jc w:val="both"/>
      </w:pPr>
      <w:r>
        <w:t>Smlouva může být měněna nebo doplňována pouze formou písemných vzestupně číslovaných dodatků podepsaných oběma smluvními stranami. Tyto dodatky se stávají nedílnou součástí Smlouvy. Ke změnám či doplnění neprovedeným písemnou formou se nepřihlíží.</w:t>
      </w:r>
    </w:p>
    <w:p>
      <w:pPr>
        <w:numPr>
          <w:ilvl w:val="1"/>
          <w:numId w:val="12"/>
        </w:numPr>
        <w:suppressAutoHyphens/>
        <w:spacing w:after="120"/>
        <w:jc w:val="both"/>
      </w:pPr>
      <w:r>
        <w:t>V případě, že některé ustanovení Smlouvy je nebo se stane v budoucnu neplatným, neúčinným či nevymahatelným nebo bude-li takovým shledáno příslušným orgánem, zůstávají ostatní ustanovení Smlouvy v platnosti a účinnosti, pokud z povahy takového ustanovení nebo z jeho obsahu anebo z okolností, za nichž bylo uzavřeno, nevyplývá, že jej nelze oddělit od ostatního obsahu Smlouvy. Smluvní strany se zavazují bezodkladně nahradit neplatné, neúčinné nebo nevymahatelné ustanovení Smlouvy ustanovením jiným, které svým obsahem a smyslem odpovídá nejlépe ustanovení původnímu a Smlouvě jako celku.</w:t>
      </w:r>
    </w:p>
    <w:p>
      <w:pPr>
        <w:numPr>
          <w:ilvl w:val="1"/>
          <w:numId w:val="12"/>
        </w:numPr>
        <w:suppressAutoHyphens/>
        <w:spacing w:after="120"/>
        <w:jc w:val="both"/>
      </w:pPr>
      <w:r>
        <w:t>Smlouva nabývá platnosti dnem jejího podpisu oběma smluvními stranami a účinnosti dnem uveřejnění v registru smluv.</w:t>
      </w:r>
    </w:p>
    <w:p>
      <w:pPr>
        <w:numPr>
          <w:ilvl w:val="1"/>
          <w:numId w:val="12"/>
        </w:numPr>
        <w:suppressAutoHyphens/>
        <w:spacing w:after="120"/>
        <w:jc w:val="both"/>
      </w:pPr>
      <w:r>
        <w:t>Předpokládaný termín zahájení plnění je 16. 8. 2019. Termín ukončení plnění je 24 měsíců ode dne účinnosti Smlouvy.</w:t>
      </w:r>
    </w:p>
    <w:p>
      <w:pPr>
        <w:pStyle w:val="Odstavecseseznamem"/>
        <w:numPr>
          <w:ilvl w:val="1"/>
          <w:numId w:val="12"/>
        </w:numPr>
        <w:spacing w:line="360" w:lineRule="auto"/>
        <w:rPr>
          <w:rFonts w:ascii="Arial" w:hAnsi="Arial"/>
          <w:sz w:val="22"/>
          <w:lang w:eastAsia="en-US"/>
        </w:rPr>
      </w:pPr>
      <w:r>
        <w:rPr>
          <w:rFonts w:ascii="Arial" w:hAnsi="Arial"/>
          <w:sz w:val="22"/>
          <w:lang w:eastAsia="en-US"/>
        </w:rPr>
        <w:t>Tato Smlouva je uzavřena v souladu s § 211 ZZVZ elektronicky.</w:t>
      </w:r>
    </w:p>
    <w:p>
      <w:pPr>
        <w:numPr>
          <w:ilvl w:val="1"/>
          <w:numId w:val="12"/>
        </w:numPr>
        <w:suppressAutoHyphens/>
        <w:spacing w:after="120"/>
        <w:jc w:val="both"/>
      </w:pPr>
      <w:r>
        <w:t xml:space="preserve">Uzavřením této Smlouvy každá smluvní strana předává druhé smluvní straně za účelem zajištění řádného plnění Smlouvy seznam kontaktních osob, které se budou podílet na plnění Smlouvy, s uvedením jejich osobních údajů: jméno, příjmení, titul, funkce, telefonický a e-mailový kontakt, u kterých právním důvodem pro jejich zpracování smluvními stranami, jako správci těchto osobních údajů, je jejich oprávněný zájem na splnění Smlouvy, na kterém se v mezích své kompetence podílejí subjekty údajů. Spolu s tím se každá smluvní strana zavazuje zajistit informování subjektů těchto údajů a dalších subjektů údajů, jejichž osobní údaje se vyskytují ve Smlouvě, že byly při poskytnutí těchto osobních údajů informovány dle článku 13 nařízení Evropského parlamentu a Rady (EU) č. 2016/679 ze dne 27. dubna 2016 o ochraně fyzických osob v souvislosti se zpracováním osobních údajů a o volném pohybu těchto údajů a o zrušení směrnice 95/46/ES (obecné nařízení o ochraně osobních údajů) o zpracování poskytnutých osobních údajů pro účel plnění této Smlouvy, a že toto zpracování je v souladu s úpravou dle článku 6 odst. 1 písm. f) uvedeného nařízení a se zákonem č. 110/2019 Sb., o zpracování osobních údajů, a dále, aby subjekty údajů byly informovány o svých právech v rozsahu, jak pro ně vyplývají z uvedeného nařízení a z citovaného zákona. Vzor prohlášení o informování je ke stažení na webových stránkách: </w:t>
      </w:r>
      <w:hyperlink r:id="rId13" w:history="1">
        <w:r>
          <w:rPr>
            <w:rStyle w:val="Hypertextovodkaz"/>
          </w:rPr>
          <w:t>www.sfdi.cz/gdpr</w:t>
        </w:r>
      </w:hyperlink>
      <w:r>
        <w:t xml:space="preserve">. </w:t>
      </w:r>
    </w:p>
    <w:p>
      <w:pPr>
        <w:numPr>
          <w:ilvl w:val="1"/>
          <w:numId w:val="12"/>
        </w:numPr>
        <w:suppressAutoHyphens/>
        <w:spacing w:after="120"/>
        <w:jc w:val="both"/>
      </w:pPr>
      <w:r>
        <w:t>Nedílnou součástí Smlouvy jsou následující přílohy:</w:t>
      </w:r>
    </w:p>
    <w:p>
      <w:pPr>
        <w:suppressAutoHyphens/>
        <w:spacing w:after="120"/>
        <w:ind w:left="360"/>
        <w:jc w:val="both"/>
      </w:pPr>
      <w:r>
        <w:t>Příloha č. 1 – Technická specifikace Zboží</w:t>
      </w:r>
    </w:p>
    <w:p>
      <w:pPr>
        <w:suppressAutoHyphens/>
        <w:spacing w:after="120"/>
        <w:ind w:left="360"/>
        <w:jc w:val="both"/>
      </w:pPr>
      <w:r>
        <w:t xml:space="preserve">Příloha č. 2 – Vyplněný Formulář cenové nabídky </w:t>
      </w:r>
    </w:p>
    <w:p>
      <w:pPr>
        <w:suppressAutoHyphens/>
        <w:spacing w:after="120"/>
        <w:ind w:left="360"/>
        <w:jc w:val="both"/>
      </w:pPr>
      <w:r>
        <w:t>Příloha č. 3 – Vzor objednávky</w:t>
      </w:r>
    </w:p>
    <w:p>
      <w:pPr>
        <w:suppressAutoHyphens/>
        <w:spacing w:after="120"/>
        <w:ind w:left="360"/>
        <w:jc w:val="both"/>
      </w:pPr>
      <w:r>
        <w:t xml:space="preserve">Příloha č. 4 – Seznam dodacích míst pro dodání Zboží </w:t>
      </w:r>
    </w:p>
    <w:p>
      <w:pPr>
        <w:numPr>
          <w:ilvl w:val="1"/>
          <w:numId w:val="12"/>
        </w:numPr>
        <w:suppressAutoHyphens/>
        <w:spacing w:after="120"/>
        <w:jc w:val="both"/>
      </w:pPr>
      <w:r>
        <w:t>Smluvní strany prohlašují, že Smlouva vyjadřuje jejich svobodnou, vážnou, určitou a srozumitelnou vůli prostou omylu a tísně. Smluvní strany si Smlouvu přečetly, s jejím obsahem souhlasí, což stvrzují podpisy.</w:t>
      </w:r>
    </w:p>
    <w:p>
      <w:pPr>
        <w:spacing w:before="120"/>
        <w:ind w:left="360"/>
        <w:jc w:val="both"/>
        <w:rPr>
          <w:rFonts w:cs="Arial"/>
          <w:b/>
          <w:szCs w:val="22"/>
          <w:lang w:bidi="ar-SA"/>
        </w:rPr>
      </w:pPr>
    </w:p>
    <w:p>
      <w:pPr>
        <w:suppressAutoHyphens/>
        <w:jc w:val="both"/>
        <w:rPr>
          <w:rFonts w:cs="Arial"/>
          <w:szCs w:val="22"/>
          <w:lang w:eastAsia="cs-CZ" w:bidi="ar-SA"/>
        </w:rPr>
      </w:pPr>
    </w:p>
    <w:p>
      <w:pPr>
        <w:suppressAutoHyphens/>
        <w:jc w:val="both"/>
        <w:rPr>
          <w:rFonts w:cs="Arial"/>
          <w:szCs w:val="22"/>
          <w:lang w:eastAsia="cs-CZ" w:bidi="ar-SA"/>
        </w:rPr>
      </w:pPr>
    </w:p>
    <w:tbl>
      <w:tblPr>
        <w:tblW w:w="8908" w:type="dxa"/>
        <w:jc w:val="center"/>
        <w:tblLook w:val="01E0" w:firstRow="1" w:lastRow="1" w:firstColumn="1" w:lastColumn="1" w:noHBand="0" w:noVBand="0"/>
      </w:tblPr>
      <w:tblGrid>
        <w:gridCol w:w="4732"/>
        <w:gridCol w:w="4176"/>
      </w:tblGrid>
      <w:tr>
        <w:trPr>
          <w:trHeight w:val="290"/>
          <w:jc w:val="center"/>
        </w:trPr>
        <w:tc>
          <w:tcPr>
            <w:tcW w:w="4732" w:type="dxa"/>
            <w:vAlign w:val="bottom"/>
            <w:hideMark/>
          </w:tcPr>
          <w:p>
            <w:pPr>
              <w:rPr>
                <w:rFonts w:cs="Arial"/>
                <w:b/>
                <w:bCs/>
              </w:rPr>
            </w:pPr>
            <w:r>
              <w:rPr>
                <w:rFonts w:cs="Arial"/>
                <w:b/>
                <w:bCs/>
                <w:szCs w:val="22"/>
              </w:rPr>
              <w:t>Za Kupujícího:</w:t>
            </w:r>
          </w:p>
        </w:tc>
        <w:tc>
          <w:tcPr>
            <w:tcW w:w="4176" w:type="dxa"/>
            <w:vAlign w:val="bottom"/>
            <w:hideMark/>
          </w:tcPr>
          <w:p>
            <w:pPr>
              <w:rPr>
                <w:rFonts w:cs="Arial"/>
                <w:b/>
                <w:bCs/>
              </w:rPr>
            </w:pPr>
            <w:r>
              <w:rPr>
                <w:rFonts w:cs="Arial"/>
                <w:b/>
                <w:bCs/>
                <w:szCs w:val="22"/>
              </w:rPr>
              <w:t>Za Prodávajícího:</w:t>
            </w:r>
          </w:p>
        </w:tc>
      </w:tr>
      <w:tr>
        <w:trPr>
          <w:trHeight w:val="388"/>
          <w:jc w:val="center"/>
        </w:trPr>
        <w:tc>
          <w:tcPr>
            <w:tcW w:w="4732" w:type="dxa"/>
            <w:vAlign w:val="bottom"/>
            <w:hideMark/>
          </w:tcPr>
          <w:p>
            <w:pPr>
              <w:rPr>
                <w:rFonts w:cs="Arial"/>
              </w:rPr>
            </w:pPr>
            <w:r>
              <w:rPr>
                <w:rFonts w:cs="Arial"/>
                <w:szCs w:val="22"/>
              </w:rPr>
              <w:t>V Praze dne …………………………</w:t>
            </w:r>
          </w:p>
        </w:tc>
        <w:tc>
          <w:tcPr>
            <w:tcW w:w="4176" w:type="dxa"/>
            <w:vAlign w:val="bottom"/>
            <w:hideMark/>
          </w:tcPr>
          <w:p>
            <w:pPr>
              <w:rPr>
                <w:rFonts w:cs="Arial"/>
              </w:rPr>
            </w:pPr>
            <w:r>
              <w:rPr>
                <w:rFonts w:cs="Arial"/>
                <w:szCs w:val="22"/>
              </w:rPr>
              <w:t>V ……………</w:t>
            </w:r>
            <w:proofErr w:type="gramStart"/>
            <w:r>
              <w:rPr>
                <w:rFonts w:cs="Arial"/>
                <w:szCs w:val="22"/>
              </w:rPr>
              <w:t>….. dne</w:t>
            </w:r>
            <w:proofErr w:type="gramEnd"/>
            <w:r>
              <w:rPr>
                <w:rFonts w:cs="Arial"/>
                <w:szCs w:val="22"/>
              </w:rPr>
              <w:t>…………………</w:t>
            </w:r>
          </w:p>
        </w:tc>
      </w:tr>
      <w:tr>
        <w:trPr>
          <w:trHeight w:val="1481"/>
          <w:jc w:val="center"/>
        </w:trPr>
        <w:tc>
          <w:tcPr>
            <w:tcW w:w="4732" w:type="dxa"/>
            <w:vAlign w:val="bottom"/>
            <w:hideMark/>
          </w:tcPr>
          <w:p>
            <w:pPr>
              <w:rPr>
                <w:rFonts w:cs="Arial"/>
              </w:rPr>
            </w:pPr>
            <w:r>
              <w:rPr>
                <w:rFonts w:cs="Arial"/>
                <w:szCs w:val="22"/>
              </w:rPr>
              <w:t>……………………………………………</w:t>
            </w:r>
          </w:p>
        </w:tc>
        <w:tc>
          <w:tcPr>
            <w:tcW w:w="4176" w:type="dxa"/>
            <w:vAlign w:val="bottom"/>
            <w:hideMark/>
          </w:tcPr>
          <w:p>
            <w:pPr>
              <w:rPr>
                <w:rFonts w:cs="Arial"/>
              </w:rPr>
            </w:pPr>
            <w:r>
              <w:rPr>
                <w:rFonts w:cs="Arial"/>
                <w:szCs w:val="22"/>
              </w:rPr>
              <w:t>………………………………………………</w:t>
            </w:r>
          </w:p>
        </w:tc>
      </w:tr>
      <w:tr>
        <w:trPr>
          <w:trHeight w:val="318"/>
          <w:jc w:val="center"/>
        </w:trPr>
        <w:tc>
          <w:tcPr>
            <w:tcW w:w="4732" w:type="dxa"/>
            <w:vAlign w:val="bottom"/>
            <w:hideMark/>
          </w:tcPr>
          <w:p>
            <w:pPr>
              <w:rPr>
                <w:rFonts w:cs="Arial"/>
                <w:b/>
                <w:bCs/>
              </w:rPr>
            </w:pPr>
            <w:r>
              <w:rPr>
                <w:rFonts w:cs="Arial"/>
                <w:b/>
                <w:szCs w:val="22"/>
              </w:rPr>
              <w:t>Státní fond dopravní infrastruktury</w:t>
            </w:r>
          </w:p>
        </w:tc>
        <w:tc>
          <w:tcPr>
            <w:tcW w:w="4176" w:type="dxa"/>
            <w:vAlign w:val="bottom"/>
            <w:hideMark/>
          </w:tcPr>
          <w:p>
            <w:pPr>
              <w:rPr>
                <w:rFonts w:cs="Arial"/>
                <w:b/>
                <w:bCs/>
              </w:rPr>
            </w:pPr>
            <w:r>
              <w:rPr>
                <w:rFonts w:cs="Arial"/>
                <w:b/>
                <w:bCs/>
                <w:szCs w:val="22"/>
              </w:rPr>
              <w:t>OFFICE DEPOT s.r.o.</w:t>
            </w:r>
          </w:p>
        </w:tc>
      </w:tr>
      <w:tr>
        <w:trPr>
          <w:trHeight w:val="332"/>
          <w:jc w:val="center"/>
        </w:trPr>
        <w:tc>
          <w:tcPr>
            <w:tcW w:w="4732" w:type="dxa"/>
            <w:vAlign w:val="bottom"/>
            <w:hideMark/>
          </w:tcPr>
          <w:p>
            <w:pPr>
              <w:rPr>
                <w:rFonts w:cs="Arial"/>
                <w:b/>
                <w:bCs/>
              </w:rPr>
            </w:pPr>
            <w:r>
              <w:rPr>
                <w:rFonts w:cs="Arial"/>
                <w:b/>
                <w:szCs w:val="22"/>
              </w:rPr>
              <w:t>Ing. Zbyněk Hořelica</w:t>
            </w:r>
          </w:p>
        </w:tc>
        <w:tc>
          <w:tcPr>
            <w:tcW w:w="4176" w:type="dxa"/>
            <w:vAlign w:val="bottom"/>
            <w:hideMark/>
          </w:tcPr>
          <w:p>
            <w:pPr>
              <w:rPr>
                <w:rFonts w:cs="Arial"/>
                <w:b/>
                <w:bCs/>
                <w:highlight w:val="lightGray"/>
              </w:rPr>
            </w:pPr>
            <w:r>
              <w:rPr>
                <w:rFonts w:cs="Arial"/>
                <w:b/>
                <w:szCs w:val="22"/>
              </w:rPr>
              <w:t>Ing. Milan Baran, MBA,</w:t>
            </w:r>
            <w:r>
              <w:rPr>
                <w:rFonts w:cs="Arial"/>
                <w:b/>
                <w:bCs/>
                <w:szCs w:val="22"/>
                <w:highlight w:val="lightGray"/>
              </w:rPr>
              <w:t xml:space="preserve"> </w:t>
            </w:r>
          </w:p>
        </w:tc>
      </w:tr>
      <w:tr>
        <w:trPr>
          <w:trHeight w:val="290"/>
          <w:jc w:val="center"/>
        </w:trPr>
        <w:tc>
          <w:tcPr>
            <w:tcW w:w="4732" w:type="dxa"/>
            <w:vAlign w:val="bottom"/>
            <w:hideMark/>
          </w:tcPr>
          <w:p>
            <w:pPr>
              <w:rPr>
                <w:rFonts w:cs="Arial"/>
              </w:rPr>
            </w:pPr>
            <w:r>
              <w:rPr>
                <w:rFonts w:cs="Arial"/>
                <w:szCs w:val="22"/>
              </w:rPr>
              <w:t>ředitel</w:t>
            </w:r>
          </w:p>
        </w:tc>
        <w:tc>
          <w:tcPr>
            <w:tcW w:w="4176" w:type="dxa"/>
            <w:vAlign w:val="bottom"/>
            <w:hideMark/>
          </w:tcPr>
          <w:p>
            <w:pPr>
              <w:rPr>
                <w:rFonts w:cs="Arial"/>
                <w:highlight w:val="lightGray"/>
              </w:rPr>
            </w:pPr>
            <w:r>
              <w:rPr>
                <w:rFonts w:cs="Arial"/>
                <w:bCs/>
                <w:szCs w:val="22"/>
              </w:rPr>
              <w:t>jednatel</w:t>
            </w:r>
          </w:p>
        </w:tc>
      </w:tr>
    </w:tbl>
    <w:p/>
    <w:p>
      <w:pPr>
        <w:spacing w:after="200" w:line="276" w:lineRule="auto"/>
      </w:pPr>
      <w:r>
        <w:br w:type="page"/>
      </w:r>
    </w:p>
    <w:p>
      <w:pPr>
        <w:jc w:val="right"/>
        <w:rPr>
          <w:rFonts w:cs="Arial"/>
        </w:rPr>
      </w:pPr>
      <w:r>
        <w:rPr>
          <w:rFonts w:cs="Arial"/>
        </w:rPr>
        <w:t>Příloha č. 1</w:t>
      </w:r>
    </w:p>
    <w:p>
      <w:pPr>
        <w:spacing w:after="120"/>
        <w:jc w:val="center"/>
        <w:rPr>
          <w:rFonts w:cs="Arial"/>
          <w:b/>
          <w:smallCaps/>
          <w:sz w:val="28"/>
        </w:rPr>
      </w:pPr>
      <w:r>
        <w:rPr>
          <w:rFonts w:cs="Arial"/>
          <w:b/>
          <w:smallCaps/>
          <w:sz w:val="28"/>
        </w:rPr>
        <w:t>Technická specifikace</w:t>
      </w:r>
    </w:p>
    <w:p>
      <w:pPr>
        <w:spacing w:before="120"/>
        <w:jc w:val="both"/>
        <w:rPr>
          <w:rFonts w:cs="Arial"/>
        </w:rPr>
      </w:pPr>
      <w:r>
        <w:rPr>
          <w:rFonts w:cs="Arial"/>
        </w:rPr>
        <w:t>Centrální zadavatel požaduje, aby xerografický papír formátu A4 , A3 a A5 splňoval po celou dobu trvání Smlouvy následující technické parametry:</w:t>
      </w:r>
    </w:p>
    <w:p>
      <w:pPr>
        <w:spacing w:before="120"/>
        <w:jc w:val="both"/>
        <w:rPr>
          <w:rFonts w:cs="Arial"/>
        </w:rPr>
      </w:pPr>
    </w:p>
    <w:tbl>
      <w:tblPr>
        <w:tblW w:w="9214" w:type="dxa"/>
        <w:tblInd w:w="70" w:type="dxa"/>
        <w:tblLayout w:type="fixed"/>
        <w:tblCellMar>
          <w:left w:w="70" w:type="dxa"/>
          <w:right w:w="70" w:type="dxa"/>
        </w:tblCellMar>
        <w:tblLook w:val="04A0" w:firstRow="1" w:lastRow="0" w:firstColumn="1" w:lastColumn="0" w:noHBand="0" w:noVBand="1"/>
      </w:tblPr>
      <w:tblGrid>
        <w:gridCol w:w="2835"/>
        <w:gridCol w:w="2126"/>
        <w:gridCol w:w="2126"/>
        <w:gridCol w:w="2127"/>
      </w:tblGrid>
      <w:tr>
        <w:trPr>
          <w:trHeight w:val="624"/>
        </w:trPr>
        <w:tc>
          <w:tcPr>
            <w:tcW w:w="28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pPr>
              <w:rPr>
                <w:rFonts w:cs="Arial"/>
                <w:b/>
                <w:bCs/>
                <w:color w:val="000000"/>
              </w:rPr>
            </w:pPr>
            <w:r>
              <w:rPr>
                <w:rFonts w:cs="Arial"/>
                <w:b/>
                <w:bCs/>
                <w:color w:val="000000"/>
              </w:rPr>
              <w:t>Parametr</w:t>
            </w:r>
          </w:p>
        </w:tc>
        <w:tc>
          <w:tcPr>
            <w:tcW w:w="2126"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pPr>
              <w:jc w:val="center"/>
              <w:rPr>
                <w:rFonts w:cs="Arial"/>
                <w:b/>
                <w:bCs/>
                <w:color w:val="000000"/>
              </w:rPr>
            </w:pPr>
            <w:r>
              <w:rPr>
                <w:rFonts w:cs="Arial"/>
                <w:b/>
                <w:bCs/>
                <w:color w:val="000000"/>
              </w:rPr>
              <w:t>Kvalita "A"</w:t>
            </w:r>
          </w:p>
        </w:tc>
        <w:tc>
          <w:tcPr>
            <w:tcW w:w="2126"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pPr>
              <w:jc w:val="center"/>
              <w:rPr>
                <w:rFonts w:cs="Arial"/>
                <w:b/>
                <w:bCs/>
                <w:color w:val="000000"/>
              </w:rPr>
            </w:pPr>
            <w:r>
              <w:rPr>
                <w:rFonts w:cs="Arial"/>
                <w:b/>
                <w:bCs/>
                <w:color w:val="000000"/>
              </w:rPr>
              <w:t>Kvalita „B“</w:t>
            </w:r>
          </w:p>
        </w:tc>
        <w:tc>
          <w:tcPr>
            <w:tcW w:w="2127"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pPr>
              <w:jc w:val="center"/>
              <w:rPr>
                <w:rFonts w:cs="Arial"/>
                <w:b/>
                <w:bCs/>
                <w:color w:val="000000"/>
              </w:rPr>
            </w:pPr>
            <w:r>
              <w:rPr>
                <w:rFonts w:cs="Arial"/>
                <w:b/>
                <w:bCs/>
                <w:color w:val="000000"/>
              </w:rPr>
              <w:t>Norma</w:t>
            </w:r>
          </w:p>
        </w:tc>
      </w:tr>
      <w:tr>
        <w:trPr>
          <w:trHeight w:val="391"/>
        </w:trPr>
        <w:tc>
          <w:tcPr>
            <w:tcW w:w="2835" w:type="dxa"/>
            <w:tcBorders>
              <w:top w:val="nil"/>
              <w:left w:val="single" w:sz="4" w:space="0" w:color="auto"/>
              <w:bottom w:val="single" w:sz="4" w:space="0" w:color="auto"/>
              <w:right w:val="single" w:sz="4" w:space="0" w:color="auto"/>
            </w:tcBorders>
            <w:shd w:val="clear" w:color="auto" w:fill="auto"/>
            <w:vAlign w:val="center"/>
            <w:hideMark/>
          </w:tcPr>
          <w:p>
            <w:pPr>
              <w:rPr>
                <w:rFonts w:cs="Arial"/>
              </w:rPr>
            </w:pPr>
            <w:r>
              <w:rPr>
                <w:rFonts w:cs="Arial"/>
              </w:rPr>
              <w:t>Formát</w:t>
            </w:r>
          </w:p>
        </w:tc>
        <w:tc>
          <w:tcPr>
            <w:tcW w:w="2126" w:type="dxa"/>
            <w:tcBorders>
              <w:top w:val="nil"/>
              <w:left w:val="nil"/>
              <w:bottom w:val="single" w:sz="4" w:space="0" w:color="auto"/>
              <w:right w:val="single" w:sz="4" w:space="0" w:color="auto"/>
            </w:tcBorders>
            <w:shd w:val="clear" w:color="auto" w:fill="auto"/>
            <w:vAlign w:val="center"/>
            <w:hideMark/>
          </w:tcPr>
          <w:p>
            <w:pPr>
              <w:jc w:val="center"/>
              <w:rPr>
                <w:rFonts w:cs="Arial"/>
              </w:rPr>
            </w:pPr>
            <w:r>
              <w:rPr>
                <w:rFonts w:cs="Arial"/>
              </w:rPr>
              <w:t>A3, A4</w:t>
            </w:r>
          </w:p>
        </w:tc>
        <w:tc>
          <w:tcPr>
            <w:tcW w:w="2126" w:type="dxa"/>
            <w:tcBorders>
              <w:top w:val="nil"/>
              <w:left w:val="nil"/>
              <w:bottom w:val="single" w:sz="4" w:space="0" w:color="auto"/>
              <w:right w:val="single" w:sz="4" w:space="0" w:color="auto"/>
            </w:tcBorders>
            <w:shd w:val="clear" w:color="auto" w:fill="auto"/>
            <w:vAlign w:val="center"/>
            <w:hideMark/>
          </w:tcPr>
          <w:p>
            <w:pPr>
              <w:jc w:val="center"/>
              <w:rPr>
                <w:rFonts w:cs="Arial"/>
              </w:rPr>
            </w:pPr>
            <w:r>
              <w:rPr>
                <w:rFonts w:cs="Arial"/>
              </w:rPr>
              <w:t>A3, A4, A5</w:t>
            </w:r>
          </w:p>
        </w:tc>
        <w:tc>
          <w:tcPr>
            <w:tcW w:w="2127" w:type="dxa"/>
            <w:tcBorders>
              <w:top w:val="nil"/>
              <w:left w:val="nil"/>
              <w:bottom w:val="single" w:sz="4" w:space="0" w:color="auto"/>
              <w:right w:val="single" w:sz="4" w:space="0" w:color="auto"/>
            </w:tcBorders>
            <w:shd w:val="clear" w:color="auto" w:fill="auto"/>
            <w:vAlign w:val="center"/>
            <w:hideMark/>
          </w:tcPr>
          <w:p>
            <w:pPr>
              <w:jc w:val="center"/>
              <w:rPr>
                <w:rFonts w:cs="Arial"/>
              </w:rPr>
            </w:pPr>
            <w:r>
              <w:rPr>
                <w:rFonts w:cs="Arial"/>
              </w:rPr>
              <w:t>ČSN EN ISO 216</w:t>
            </w:r>
          </w:p>
        </w:tc>
      </w:tr>
      <w:tr>
        <w:trPr>
          <w:trHeight w:val="391"/>
        </w:trPr>
        <w:tc>
          <w:tcPr>
            <w:tcW w:w="2835" w:type="dxa"/>
            <w:tcBorders>
              <w:top w:val="nil"/>
              <w:left w:val="single" w:sz="4" w:space="0" w:color="auto"/>
              <w:bottom w:val="single" w:sz="4" w:space="0" w:color="auto"/>
              <w:right w:val="single" w:sz="4" w:space="0" w:color="auto"/>
            </w:tcBorders>
            <w:shd w:val="clear" w:color="auto" w:fill="auto"/>
            <w:vAlign w:val="center"/>
            <w:hideMark/>
          </w:tcPr>
          <w:p>
            <w:pPr>
              <w:rPr>
                <w:rFonts w:cs="Arial"/>
              </w:rPr>
            </w:pPr>
            <w:r>
              <w:rPr>
                <w:rFonts w:cs="Arial"/>
              </w:rPr>
              <w:t>Hmotnost (plošná)</w:t>
            </w:r>
          </w:p>
        </w:tc>
        <w:tc>
          <w:tcPr>
            <w:tcW w:w="2126" w:type="dxa"/>
            <w:tcBorders>
              <w:top w:val="nil"/>
              <w:left w:val="nil"/>
              <w:bottom w:val="single" w:sz="4" w:space="0" w:color="auto"/>
              <w:right w:val="single" w:sz="4" w:space="0" w:color="auto"/>
            </w:tcBorders>
            <w:shd w:val="clear" w:color="auto" w:fill="auto"/>
            <w:vAlign w:val="center"/>
            <w:hideMark/>
          </w:tcPr>
          <w:p>
            <w:pPr>
              <w:jc w:val="center"/>
              <w:rPr>
                <w:rFonts w:cs="Arial"/>
              </w:rPr>
            </w:pPr>
            <w:r>
              <w:rPr>
                <w:rFonts w:cs="Arial"/>
              </w:rPr>
              <w:t>80 ± 3,2 g/m</w:t>
            </w:r>
            <w:r>
              <w:rPr>
                <w:rFonts w:cs="Arial"/>
                <w:vertAlign w:val="superscript"/>
              </w:rPr>
              <w:t>2</w:t>
            </w:r>
          </w:p>
        </w:tc>
        <w:tc>
          <w:tcPr>
            <w:tcW w:w="2126" w:type="dxa"/>
            <w:tcBorders>
              <w:top w:val="nil"/>
              <w:left w:val="nil"/>
              <w:bottom w:val="single" w:sz="4" w:space="0" w:color="auto"/>
              <w:right w:val="single" w:sz="4" w:space="0" w:color="auto"/>
            </w:tcBorders>
            <w:shd w:val="clear" w:color="auto" w:fill="auto"/>
            <w:vAlign w:val="center"/>
            <w:hideMark/>
          </w:tcPr>
          <w:p>
            <w:pPr>
              <w:jc w:val="center"/>
              <w:rPr>
                <w:rFonts w:cs="Arial"/>
              </w:rPr>
            </w:pPr>
            <w:r>
              <w:rPr>
                <w:rFonts w:cs="Arial"/>
              </w:rPr>
              <w:t>80 ± 3,2 g/m</w:t>
            </w:r>
            <w:r>
              <w:rPr>
                <w:rFonts w:cs="Arial"/>
                <w:vertAlign w:val="superscript"/>
              </w:rPr>
              <w:t>2</w:t>
            </w:r>
          </w:p>
        </w:tc>
        <w:tc>
          <w:tcPr>
            <w:tcW w:w="2127" w:type="dxa"/>
            <w:tcBorders>
              <w:top w:val="nil"/>
              <w:left w:val="nil"/>
              <w:bottom w:val="single" w:sz="4" w:space="0" w:color="auto"/>
              <w:right w:val="single" w:sz="4" w:space="0" w:color="auto"/>
            </w:tcBorders>
            <w:shd w:val="clear" w:color="auto" w:fill="auto"/>
            <w:vAlign w:val="center"/>
            <w:hideMark/>
          </w:tcPr>
          <w:p>
            <w:pPr>
              <w:jc w:val="center"/>
              <w:rPr>
                <w:rFonts w:cs="Arial"/>
              </w:rPr>
            </w:pPr>
            <w:r>
              <w:rPr>
                <w:rFonts w:cs="Arial"/>
              </w:rPr>
              <w:t>ČSN EN ISO 536</w:t>
            </w:r>
          </w:p>
        </w:tc>
      </w:tr>
      <w:tr>
        <w:trPr>
          <w:trHeight w:val="391"/>
        </w:trPr>
        <w:tc>
          <w:tcPr>
            <w:tcW w:w="2835" w:type="dxa"/>
            <w:tcBorders>
              <w:top w:val="nil"/>
              <w:left w:val="single" w:sz="4" w:space="0" w:color="auto"/>
              <w:bottom w:val="single" w:sz="4" w:space="0" w:color="auto"/>
              <w:right w:val="single" w:sz="4" w:space="0" w:color="auto"/>
            </w:tcBorders>
            <w:shd w:val="clear" w:color="auto" w:fill="auto"/>
            <w:vAlign w:val="center"/>
            <w:hideMark/>
          </w:tcPr>
          <w:p>
            <w:pPr>
              <w:rPr>
                <w:rFonts w:cs="Arial"/>
              </w:rPr>
            </w:pPr>
            <w:r>
              <w:rPr>
                <w:rFonts w:cs="Arial"/>
              </w:rPr>
              <w:t>Opacita</w:t>
            </w:r>
          </w:p>
        </w:tc>
        <w:tc>
          <w:tcPr>
            <w:tcW w:w="2126" w:type="dxa"/>
            <w:tcBorders>
              <w:top w:val="nil"/>
              <w:left w:val="nil"/>
              <w:bottom w:val="single" w:sz="4" w:space="0" w:color="auto"/>
              <w:right w:val="single" w:sz="4" w:space="0" w:color="auto"/>
            </w:tcBorders>
            <w:shd w:val="clear" w:color="auto" w:fill="auto"/>
            <w:vAlign w:val="center"/>
            <w:hideMark/>
          </w:tcPr>
          <w:p>
            <w:pPr>
              <w:jc w:val="center"/>
              <w:rPr>
                <w:rFonts w:cs="Arial"/>
              </w:rPr>
            </w:pPr>
            <w:r>
              <w:rPr>
                <w:rFonts w:cs="Arial"/>
              </w:rPr>
              <w:t>min. 92 %</w:t>
            </w:r>
          </w:p>
        </w:tc>
        <w:tc>
          <w:tcPr>
            <w:tcW w:w="2126" w:type="dxa"/>
            <w:tcBorders>
              <w:top w:val="nil"/>
              <w:left w:val="nil"/>
              <w:bottom w:val="single" w:sz="4" w:space="0" w:color="auto"/>
              <w:right w:val="single" w:sz="4" w:space="0" w:color="auto"/>
            </w:tcBorders>
            <w:shd w:val="clear" w:color="auto" w:fill="auto"/>
            <w:vAlign w:val="center"/>
            <w:hideMark/>
          </w:tcPr>
          <w:p>
            <w:pPr>
              <w:jc w:val="center"/>
              <w:rPr>
                <w:rFonts w:cs="Arial"/>
              </w:rPr>
            </w:pPr>
            <w:r>
              <w:rPr>
                <w:rFonts w:cs="Arial"/>
              </w:rPr>
              <w:t>min. 91 %</w:t>
            </w:r>
          </w:p>
        </w:tc>
        <w:tc>
          <w:tcPr>
            <w:tcW w:w="2127" w:type="dxa"/>
            <w:tcBorders>
              <w:top w:val="nil"/>
              <w:left w:val="nil"/>
              <w:bottom w:val="single" w:sz="4" w:space="0" w:color="auto"/>
              <w:right w:val="single" w:sz="4" w:space="0" w:color="auto"/>
            </w:tcBorders>
            <w:shd w:val="clear" w:color="auto" w:fill="auto"/>
            <w:vAlign w:val="center"/>
            <w:hideMark/>
          </w:tcPr>
          <w:p>
            <w:pPr>
              <w:jc w:val="center"/>
              <w:rPr>
                <w:rFonts w:cs="Arial"/>
              </w:rPr>
            </w:pPr>
            <w:r>
              <w:rPr>
                <w:rFonts w:cs="Arial"/>
              </w:rPr>
              <w:t>ISO 2471</w:t>
            </w:r>
          </w:p>
        </w:tc>
      </w:tr>
      <w:tr>
        <w:trPr>
          <w:trHeight w:val="391"/>
        </w:trPr>
        <w:tc>
          <w:tcPr>
            <w:tcW w:w="2835" w:type="dxa"/>
            <w:tcBorders>
              <w:top w:val="nil"/>
              <w:left w:val="single" w:sz="4" w:space="0" w:color="auto"/>
              <w:bottom w:val="single" w:sz="4" w:space="0" w:color="auto"/>
              <w:right w:val="single" w:sz="4" w:space="0" w:color="auto"/>
            </w:tcBorders>
            <w:shd w:val="clear" w:color="auto" w:fill="auto"/>
            <w:vAlign w:val="center"/>
            <w:hideMark/>
          </w:tcPr>
          <w:p>
            <w:pPr>
              <w:rPr>
                <w:rFonts w:cs="Arial"/>
              </w:rPr>
            </w:pPr>
            <w:r>
              <w:rPr>
                <w:rFonts w:cs="Arial"/>
              </w:rPr>
              <w:t xml:space="preserve">Bělost CIE </w:t>
            </w:r>
          </w:p>
        </w:tc>
        <w:tc>
          <w:tcPr>
            <w:tcW w:w="2126" w:type="dxa"/>
            <w:tcBorders>
              <w:top w:val="nil"/>
              <w:left w:val="nil"/>
              <w:bottom w:val="single" w:sz="4" w:space="0" w:color="auto"/>
              <w:right w:val="single" w:sz="4" w:space="0" w:color="auto"/>
            </w:tcBorders>
            <w:shd w:val="clear" w:color="auto" w:fill="auto"/>
            <w:vAlign w:val="center"/>
            <w:hideMark/>
          </w:tcPr>
          <w:p>
            <w:pPr>
              <w:jc w:val="center"/>
              <w:rPr>
                <w:rFonts w:cs="Arial"/>
              </w:rPr>
            </w:pPr>
            <w:r>
              <w:rPr>
                <w:rFonts w:cs="Arial"/>
              </w:rPr>
              <w:t>168 ± 3</w:t>
            </w:r>
          </w:p>
        </w:tc>
        <w:tc>
          <w:tcPr>
            <w:tcW w:w="2126" w:type="dxa"/>
            <w:tcBorders>
              <w:top w:val="nil"/>
              <w:left w:val="nil"/>
              <w:bottom w:val="single" w:sz="4" w:space="0" w:color="auto"/>
              <w:right w:val="single" w:sz="4" w:space="0" w:color="auto"/>
            </w:tcBorders>
            <w:shd w:val="clear" w:color="auto" w:fill="auto"/>
            <w:vAlign w:val="center"/>
            <w:hideMark/>
          </w:tcPr>
          <w:p>
            <w:pPr>
              <w:jc w:val="center"/>
              <w:rPr>
                <w:rFonts w:cs="Arial"/>
              </w:rPr>
            </w:pPr>
            <w:r>
              <w:rPr>
                <w:rFonts w:cs="Arial"/>
              </w:rPr>
              <w:t>161± 3</w:t>
            </w:r>
          </w:p>
        </w:tc>
        <w:tc>
          <w:tcPr>
            <w:tcW w:w="2127" w:type="dxa"/>
            <w:tcBorders>
              <w:top w:val="nil"/>
              <w:left w:val="nil"/>
              <w:bottom w:val="single" w:sz="4" w:space="0" w:color="auto"/>
              <w:right w:val="single" w:sz="4" w:space="0" w:color="auto"/>
            </w:tcBorders>
            <w:shd w:val="clear" w:color="auto" w:fill="auto"/>
            <w:vAlign w:val="center"/>
            <w:hideMark/>
          </w:tcPr>
          <w:p>
            <w:pPr>
              <w:jc w:val="center"/>
              <w:rPr>
                <w:rFonts w:cs="Arial"/>
              </w:rPr>
            </w:pPr>
            <w:r>
              <w:rPr>
                <w:rFonts w:cs="Arial"/>
              </w:rPr>
              <w:t>ISO 11475</w:t>
            </w:r>
          </w:p>
        </w:tc>
      </w:tr>
      <w:tr>
        <w:trPr>
          <w:trHeight w:val="391"/>
        </w:trPr>
        <w:tc>
          <w:tcPr>
            <w:tcW w:w="2835" w:type="dxa"/>
            <w:tcBorders>
              <w:top w:val="nil"/>
              <w:left w:val="single" w:sz="4" w:space="0" w:color="auto"/>
              <w:bottom w:val="single" w:sz="4" w:space="0" w:color="auto"/>
              <w:right w:val="single" w:sz="4" w:space="0" w:color="auto"/>
            </w:tcBorders>
            <w:shd w:val="clear" w:color="auto" w:fill="auto"/>
            <w:vAlign w:val="center"/>
            <w:hideMark/>
          </w:tcPr>
          <w:p>
            <w:pPr>
              <w:rPr>
                <w:rFonts w:cs="Arial"/>
              </w:rPr>
            </w:pPr>
            <w:r>
              <w:rPr>
                <w:rFonts w:cs="Arial"/>
              </w:rPr>
              <w:t xml:space="preserve">Hladkost dle </w:t>
            </w:r>
            <w:proofErr w:type="spellStart"/>
            <w:r>
              <w:rPr>
                <w:rFonts w:cs="Arial"/>
              </w:rPr>
              <w:t>Bendtsena</w:t>
            </w:r>
            <w:proofErr w:type="spellEnd"/>
            <w:r>
              <w:rPr>
                <w:rFonts w:cs="Arial"/>
              </w:rPr>
              <w:t xml:space="preserve"> </w:t>
            </w:r>
            <w:r>
              <w:rPr>
                <w:rFonts w:ascii="Times New Roman" w:hAnsi="Times New Roman"/>
              </w:rPr>
              <w:t>(rub i líc)</w:t>
            </w:r>
          </w:p>
        </w:tc>
        <w:tc>
          <w:tcPr>
            <w:tcW w:w="2126" w:type="dxa"/>
            <w:tcBorders>
              <w:top w:val="nil"/>
              <w:left w:val="nil"/>
              <w:bottom w:val="single" w:sz="4" w:space="0" w:color="auto"/>
              <w:right w:val="single" w:sz="4" w:space="0" w:color="auto"/>
            </w:tcBorders>
            <w:shd w:val="clear" w:color="auto" w:fill="auto"/>
            <w:vAlign w:val="center"/>
            <w:hideMark/>
          </w:tcPr>
          <w:p>
            <w:pPr>
              <w:jc w:val="center"/>
              <w:rPr>
                <w:rFonts w:cs="Arial"/>
              </w:rPr>
            </w:pPr>
            <w:r>
              <w:rPr>
                <w:rFonts w:cs="Arial"/>
              </w:rPr>
              <w:t>180 ± 50 ml/min</w:t>
            </w:r>
          </w:p>
        </w:tc>
        <w:tc>
          <w:tcPr>
            <w:tcW w:w="2126" w:type="dxa"/>
            <w:tcBorders>
              <w:top w:val="nil"/>
              <w:left w:val="nil"/>
              <w:bottom w:val="single" w:sz="4" w:space="0" w:color="auto"/>
              <w:right w:val="single" w:sz="4" w:space="0" w:color="auto"/>
            </w:tcBorders>
            <w:shd w:val="clear" w:color="auto" w:fill="auto"/>
            <w:vAlign w:val="center"/>
            <w:hideMark/>
          </w:tcPr>
          <w:p>
            <w:pPr>
              <w:jc w:val="center"/>
              <w:rPr>
                <w:rFonts w:cs="Arial"/>
              </w:rPr>
            </w:pPr>
            <w:r>
              <w:rPr>
                <w:rFonts w:cs="Arial"/>
              </w:rPr>
              <w:t>200 ± 50 ml/min</w:t>
            </w:r>
          </w:p>
        </w:tc>
        <w:tc>
          <w:tcPr>
            <w:tcW w:w="2127" w:type="dxa"/>
            <w:tcBorders>
              <w:top w:val="nil"/>
              <w:left w:val="nil"/>
              <w:bottom w:val="single" w:sz="4" w:space="0" w:color="auto"/>
              <w:right w:val="single" w:sz="4" w:space="0" w:color="auto"/>
            </w:tcBorders>
            <w:shd w:val="clear" w:color="auto" w:fill="auto"/>
            <w:vAlign w:val="center"/>
            <w:hideMark/>
          </w:tcPr>
          <w:p>
            <w:pPr>
              <w:jc w:val="center"/>
              <w:rPr>
                <w:rFonts w:cs="Arial"/>
              </w:rPr>
            </w:pPr>
            <w:r>
              <w:rPr>
                <w:rFonts w:cs="Arial"/>
              </w:rPr>
              <w:t>ČSN ISO 8791-2</w:t>
            </w:r>
          </w:p>
        </w:tc>
      </w:tr>
      <w:tr>
        <w:trPr>
          <w:trHeight w:val="391"/>
        </w:trPr>
        <w:tc>
          <w:tcPr>
            <w:tcW w:w="2835" w:type="dxa"/>
            <w:tcBorders>
              <w:top w:val="nil"/>
              <w:left w:val="single" w:sz="4" w:space="0" w:color="auto"/>
              <w:bottom w:val="single" w:sz="4" w:space="0" w:color="auto"/>
              <w:right w:val="single" w:sz="4" w:space="0" w:color="auto"/>
            </w:tcBorders>
            <w:shd w:val="clear" w:color="auto" w:fill="auto"/>
            <w:vAlign w:val="center"/>
            <w:hideMark/>
          </w:tcPr>
          <w:p>
            <w:pPr>
              <w:rPr>
                <w:rFonts w:cs="Arial"/>
              </w:rPr>
            </w:pPr>
            <w:r>
              <w:rPr>
                <w:rFonts w:cs="Arial"/>
              </w:rPr>
              <w:t>Tloušťka</w:t>
            </w:r>
          </w:p>
        </w:tc>
        <w:tc>
          <w:tcPr>
            <w:tcW w:w="2126" w:type="dxa"/>
            <w:tcBorders>
              <w:top w:val="nil"/>
              <w:left w:val="nil"/>
              <w:bottom w:val="single" w:sz="4" w:space="0" w:color="auto"/>
              <w:right w:val="single" w:sz="4" w:space="0" w:color="auto"/>
            </w:tcBorders>
            <w:shd w:val="clear" w:color="auto" w:fill="auto"/>
            <w:noWrap/>
            <w:vAlign w:val="center"/>
            <w:hideMark/>
          </w:tcPr>
          <w:p>
            <w:pPr>
              <w:jc w:val="center"/>
              <w:rPr>
                <w:rFonts w:cs="Arial"/>
              </w:rPr>
            </w:pPr>
            <w:r>
              <w:rPr>
                <w:rFonts w:cs="Arial"/>
              </w:rPr>
              <w:t>107 ± 3 µm</w:t>
            </w:r>
          </w:p>
        </w:tc>
        <w:tc>
          <w:tcPr>
            <w:tcW w:w="2126" w:type="dxa"/>
            <w:tcBorders>
              <w:top w:val="nil"/>
              <w:left w:val="nil"/>
              <w:bottom w:val="single" w:sz="4" w:space="0" w:color="auto"/>
              <w:right w:val="single" w:sz="4" w:space="0" w:color="auto"/>
            </w:tcBorders>
            <w:shd w:val="clear" w:color="auto" w:fill="auto"/>
            <w:noWrap/>
            <w:vAlign w:val="center"/>
            <w:hideMark/>
          </w:tcPr>
          <w:p>
            <w:pPr>
              <w:jc w:val="center"/>
              <w:rPr>
                <w:rFonts w:cs="Arial"/>
              </w:rPr>
            </w:pPr>
            <w:r>
              <w:rPr>
                <w:rFonts w:cs="Arial"/>
              </w:rPr>
              <w:t>106 ± 3 µm</w:t>
            </w:r>
          </w:p>
        </w:tc>
        <w:tc>
          <w:tcPr>
            <w:tcW w:w="2127" w:type="dxa"/>
            <w:tcBorders>
              <w:top w:val="nil"/>
              <w:left w:val="nil"/>
              <w:bottom w:val="single" w:sz="4" w:space="0" w:color="auto"/>
              <w:right w:val="single" w:sz="4" w:space="0" w:color="auto"/>
            </w:tcBorders>
            <w:shd w:val="clear" w:color="auto" w:fill="auto"/>
            <w:vAlign w:val="center"/>
            <w:hideMark/>
          </w:tcPr>
          <w:p>
            <w:pPr>
              <w:jc w:val="center"/>
              <w:rPr>
                <w:rFonts w:cs="Arial"/>
              </w:rPr>
            </w:pPr>
            <w:r>
              <w:rPr>
                <w:rFonts w:cs="Arial"/>
              </w:rPr>
              <w:t>ISO 534</w:t>
            </w:r>
          </w:p>
        </w:tc>
      </w:tr>
      <w:tr>
        <w:trPr>
          <w:trHeight w:val="391"/>
        </w:trPr>
        <w:tc>
          <w:tcPr>
            <w:tcW w:w="2835" w:type="dxa"/>
            <w:tcBorders>
              <w:top w:val="nil"/>
              <w:left w:val="single" w:sz="4" w:space="0" w:color="auto"/>
              <w:bottom w:val="single" w:sz="4" w:space="0" w:color="auto"/>
              <w:right w:val="single" w:sz="4" w:space="0" w:color="auto"/>
            </w:tcBorders>
            <w:shd w:val="clear" w:color="auto" w:fill="auto"/>
            <w:vAlign w:val="center"/>
            <w:hideMark/>
          </w:tcPr>
          <w:p>
            <w:pPr>
              <w:rPr>
                <w:rFonts w:cs="Arial"/>
              </w:rPr>
            </w:pPr>
            <w:r>
              <w:rPr>
                <w:rFonts w:cs="Arial"/>
              </w:rPr>
              <w:t>Oboustranný tisk</w:t>
            </w:r>
          </w:p>
        </w:tc>
        <w:tc>
          <w:tcPr>
            <w:tcW w:w="2126" w:type="dxa"/>
            <w:tcBorders>
              <w:top w:val="nil"/>
              <w:left w:val="nil"/>
              <w:bottom w:val="single" w:sz="4" w:space="0" w:color="auto"/>
              <w:right w:val="single" w:sz="4" w:space="0" w:color="auto"/>
            </w:tcBorders>
            <w:shd w:val="clear" w:color="auto" w:fill="auto"/>
            <w:vAlign w:val="center"/>
            <w:hideMark/>
          </w:tcPr>
          <w:p>
            <w:pPr>
              <w:jc w:val="center"/>
              <w:rPr>
                <w:rFonts w:cs="Arial"/>
              </w:rPr>
            </w:pPr>
            <w:r>
              <w:rPr>
                <w:rFonts w:cs="Arial"/>
              </w:rPr>
              <w:t>ANO</w:t>
            </w:r>
          </w:p>
        </w:tc>
        <w:tc>
          <w:tcPr>
            <w:tcW w:w="2126" w:type="dxa"/>
            <w:tcBorders>
              <w:top w:val="nil"/>
              <w:left w:val="nil"/>
              <w:bottom w:val="single" w:sz="4" w:space="0" w:color="auto"/>
              <w:right w:val="single" w:sz="4" w:space="0" w:color="auto"/>
            </w:tcBorders>
            <w:shd w:val="clear" w:color="auto" w:fill="auto"/>
            <w:vAlign w:val="center"/>
            <w:hideMark/>
          </w:tcPr>
          <w:p>
            <w:pPr>
              <w:jc w:val="center"/>
              <w:rPr>
                <w:rFonts w:cs="Arial"/>
              </w:rPr>
            </w:pPr>
            <w:r>
              <w:rPr>
                <w:rFonts w:cs="Arial"/>
              </w:rPr>
              <w:t>ANO</w:t>
            </w:r>
          </w:p>
        </w:tc>
        <w:tc>
          <w:tcPr>
            <w:tcW w:w="2127" w:type="dxa"/>
            <w:tcBorders>
              <w:top w:val="nil"/>
              <w:left w:val="nil"/>
              <w:bottom w:val="single" w:sz="4" w:space="0" w:color="auto"/>
              <w:right w:val="single" w:sz="4" w:space="0" w:color="auto"/>
            </w:tcBorders>
            <w:shd w:val="clear" w:color="auto" w:fill="auto"/>
            <w:vAlign w:val="center"/>
            <w:hideMark/>
          </w:tcPr>
          <w:p>
            <w:pPr>
              <w:jc w:val="center"/>
              <w:rPr>
                <w:rFonts w:cs="Arial"/>
              </w:rPr>
            </w:pPr>
            <w:r>
              <w:rPr>
                <w:rFonts w:cs="Arial"/>
              </w:rPr>
              <w:t> </w:t>
            </w:r>
          </w:p>
        </w:tc>
      </w:tr>
      <w:tr>
        <w:trPr>
          <w:trHeight w:val="391"/>
        </w:trPr>
        <w:tc>
          <w:tcPr>
            <w:tcW w:w="2835" w:type="dxa"/>
            <w:tcBorders>
              <w:top w:val="nil"/>
              <w:left w:val="single" w:sz="4" w:space="0" w:color="auto"/>
              <w:bottom w:val="single" w:sz="4" w:space="0" w:color="auto"/>
              <w:right w:val="single" w:sz="4" w:space="0" w:color="auto"/>
            </w:tcBorders>
            <w:shd w:val="clear" w:color="auto" w:fill="auto"/>
            <w:vAlign w:val="center"/>
            <w:hideMark/>
          </w:tcPr>
          <w:p>
            <w:pPr>
              <w:rPr>
                <w:rFonts w:cs="Arial"/>
              </w:rPr>
            </w:pPr>
            <w:r>
              <w:rPr>
                <w:rFonts w:cs="Arial"/>
              </w:rPr>
              <w:t>Barevný tisk</w:t>
            </w:r>
          </w:p>
        </w:tc>
        <w:tc>
          <w:tcPr>
            <w:tcW w:w="2126" w:type="dxa"/>
            <w:tcBorders>
              <w:top w:val="nil"/>
              <w:left w:val="nil"/>
              <w:bottom w:val="single" w:sz="4" w:space="0" w:color="auto"/>
              <w:right w:val="single" w:sz="4" w:space="0" w:color="auto"/>
            </w:tcBorders>
            <w:shd w:val="clear" w:color="auto" w:fill="auto"/>
            <w:vAlign w:val="center"/>
            <w:hideMark/>
          </w:tcPr>
          <w:p>
            <w:pPr>
              <w:jc w:val="center"/>
              <w:rPr>
                <w:rFonts w:cs="Arial"/>
              </w:rPr>
            </w:pPr>
            <w:r>
              <w:rPr>
                <w:rFonts w:cs="Arial"/>
              </w:rPr>
              <w:t>ANO</w:t>
            </w:r>
          </w:p>
        </w:tc>
        <w:tc>
          <w:tcPr>
            <w:tcW w:w="2126" w:type="dxa"/>
            <w:tcBorders>
              <w:top w:val="nil"/>
              <w:left w:val="nil"/>
              <w:bottom w:val="single" w:sz="4" w:space="0" w:color="auto"/>
              <w:right w:val="single" w:sz="4" w:space="0" w:color="auto"/>
            </w:tcBorders>
            <w:shd w:val="clear" w:color="auto" w:fill="auto"/>
            <w:vAlign w:val="center"/>
            <w:hideMark/>
          </w:tcPr>
          <w:p>
            <w:pPr>
              <w:jc w:val="center"/>
              <w:rPr>
                <w:rFonts w:cs="Arial"/>
              </w:rPr>
            </w:pPr>
            <w:r>
              <w:rPr>
                <w:rFonts w:cs="Arial"/>
              </w:rPr>
              <w:t>ANO</w:t>
            </w:r>
          </w:p>
        </w:tc>
        <w:tc>
          <w:tcPr>
            <w:tcW w:w="2127" w:type="dxa"/>
            <w:tcBorders>
              <w:top w:val="nil"/>
              <w:left w:val="nil"/>
              <w:bottom w:val="single" w:sz="4" w:space="0" w:color="auto"/>
              <w:right w:val="single" w:sz="4" w:space="0" w:color="auto"/>
            </w:tcBorders>
            <w:shd w:val="clear" w:color="auto" w:fill="auto"/>
            <w:vAlign w:val="center"/>
            <w:hideMark/>
          </w:tcPr>
          <w:p>
            <w:pPr>
              <w:jc w:val="center"/>
              <w:rPr>
                <w:rFonts w:cs="Arial"/>
              </w:rPr>
            </w:pPr>
            <w:r>
              <w:rPr>
                <w:rFonts w:cs="Arial"/>
              </w:rPr>
              <w:t> </w:t>
            </w:r>
          </w:p>
        </w:tc>
      </w:tr>
      <w:tr>
        <w:trPr>
          <w:trHeight w:val="391"/>
        </w:trPr>
        <w:tc>
          <w:tcPr>
            <w:tcW w:w="2835" w:type="dxa"/>
            <w:tcBorders>
              <w:top w:val="nil"/>
              <w:left w:val="single" w:sz="4" w:space="0" w:color="auto"/>
              <w:bottom w:val="single" w:sz="4" w:space="0" w:color="auto"/>
              <w:right w:val="single" w:sz="4" w:space="0" w:color="auto"/>
            </w:tcBorders>
            <w:shd w:val="clear" w:color="auto" w:fill="auto"/>
            <w:vAlign w:val="center"/>
            <w:hideMark/>
          </w:tcPr>
          <w:p>
            <w:pPr>
              <w:rPr>
                <w:rFonts w:cs="Arial"/>
              </w:rPr>
            </w:pPr>
            <w:r>
              <w:rPr>
                <w:rFonts w:cs="Arial"/>
              </w:rPr>
              <w:t>Laserový tisk</w:t>
            </w:r>
          </w:p>
        </w:tc>
        <w:tc>
          <w:tcPr>
            <w:tcW w:w="2126" w:type="dxa"/>
            <w:tcBorders>
              <w:top w:val="nil"/>
              <w:left w:val="nil"/>
              <w:bottom w:val="single" w:sz="4" w:space="0" w:color="auto"/>
              <w:right w:val="single" w:sz="4" w:space="0" w:color="auto"/>
            </w:tcBorders>
            <w:shd w:val="clear" w:color="auto" w:fill="auto"/>
            <w:vAlign w:val="center"/>
            <w:hideMark/>
          </w:tcPr>
          <w:p>
            <w:pPr>
              <w:jc w:val="center"/>
              <w:rPr>
                <w:rFonts w:cs="Arial"/>
              </w:rPr>
            </w:pPr>
            <w:r>
              <w:rPr>
                <w:rFonts w:cs="Arial"/>
              </w:rPr>
              <w:t>ANO</w:t>
            </w:r>
          </w:p>
        </w:tc>
        <w:tc>
          <w:tcPr>
            <w:tcW w:w="2126" w:type="dxa"/>
            <w:tcBorders>
              <w:top w:val="nil"/>
              <w:left w:val="nil"/>
              <w:bottom w:val="single" w:sz="4" w:space="0" w:color="auto"/>
              <w:right w:val="single" w:sz="4" w:space="0" w:color="auto"/>
            </w:tcBorders>
            <w:shd w:val="clear" w:color="auto" w:fill="auto"/>
            <w:vAlign w:val="center"/>
            <w:hideMark/>
          </w:tcPr>
          <w:p>
            <w:pPr>
              <w:jc w:val="center"/>
              <w:rPr>
                <w:rFonts w:cs="Arial"/>
              </w:rPr>
            </w:pPr>
            <w:r>
              <w:rPr>
                <w:rFonts w:cs="Arial"/>
              </w:rPr>
              <w:t>ANO</w:t>
            </w:r>
          </w:p>
        </w:tc>
        <w:tc>
          <w:tcPr>
            <w:tcW w:w="2127" w:type="dxa"/>
            <w:tcBorders>
              <w:top w:val="nil"/>
              <w:left w:val="nil"/>
              <w:bottom w:val="single" w:sz="4" w:space="0" w:color="auto"/>
              <w:right w:val="single" w:sz="4" w:space="0" w:color="auto"/>
            </w:tcBorders>
            <w:shd w:val="clear" w:color="auto" w:fill="auto"/>
            <w:vAlign w:val="center"/>
            <w:hideMark/>
          </w:tcPr>
          <w:p>
            <w:pPr>
              <w:jc w:val="center"/>
              <w:rPr>
                <w:rFonts w:cs="Arial"/>
              </w:rPr>
            </w:pPr>
            <w:r>
              <w:rPr>
                <w:rFonts w:cs="Arial"/>
              </w:rPr>
              <w:t> </w:t>
            </w:r>
          </w:p>
        </w:tc>
      </w:tr>
      <w:tr>
        <w:trPr>
          <w:trHeight w:val="391"/>
        </w:trPr>
        <w:tc>
          <w:tcPr>
            <w:tcW w:w="2835" w:type="dxa"/>
            <w:tcBorders>
              <w:top w:val="nil"/>
              <w:left w:val="single" w:sz="4" w:space="0" w:color="auto"/>
              <w:bottom w:val="single" w:sz="4" w:space="0" w:color="auto"/>
              <w:right w:val="single" w:sz="4" w:space="0" w:color="auto"/>
            </w:tcBorders>
            <w:shd w:val="clear" w:color="auto" w:fill="auto"/>
            <w:vAlign w:val="center"/>
            <w:hideMark/>
          </w:tcPr>
          <w:p>
            <w:pPr>
              <w:rPr>
                <w:rFonts w:cs="Arial"/>
              </w:rPr>
            </w:pPr>
            <w:r>
              <w:rPr>
                <w:rFonts w:cs="Arial"/>
              </w:rPr>
              <w:t xml:space="preserve">Inkoustový tisk </w:t>
            </w:r>
          </w:p>
        </w:tc>
        <w:tc>
          <w:tcPr>
            <w:tcW w:w="2126" w:type="dxa"/>
            <w:tcBorders>
              <w:top w:val="nil"/>
              <w:left w:val="nil"/>
              <w:bottom w:val="single" w:sz="4" w:space="0" w:color="auto"/>
              <w:right w:val="single" w:sz="4" w:space="0" w:color="auto"/>
            </w:tcBorders>
            <w:shd w:val="clear" w:color="auto" w:fill="auto"/>
            <w:vAlign w:val="center"/>
            <w:hideMark/>
          </w:tcPr>
          <w:p>
            <w:pPr>
              <w:jc w:val="center"/>
              <w:rPr>
                <w:rFonts w:cs="Arial"/>
              </w:rPr>
            </w:pPr>
            <w:r>
              <w:rPr>
                <w:rFonts w:cs="Arial"/>
              </w:rPr>
              <w:t>ANO</w:t>
            </w:r>
          </w:p>
        </w:tc>
        <w:tc>
          <w:tcPr>
            <w:tcW w:w="2126" w:type="dxa"/>
            <w:tcBorders>
              <w:top w:val="nil"/>
              <w:left w:val="nil"/>
              <w:bottom w:val="single" w:sz="4" w:space="0" w:color="auto"/>
              <w:right w:val="single" w:sz="4" w:space="0" w:color="auto"/>
            </w:tcBorders>
            <w:shd w:val="clear" w:color="auto" w:fill="auto"/>
            <w:vAlign w:val="center"/>
            <w:hideMark/>
          </w:tcPr>
          <w:p>
            <w:pPr>
              <w:jc w:val="center"/>
              <w:rPr>
                <w:rFonts w:cs="Arial"/>
              </w:rPr>
            </w:pPr>
            <w:r>
              <w:rPr>
                <w:rFonts w:cs="Arial"/>
              </w:rPr>
              <w:t>ANO</w:t>
            </w:r>
          </w:p>
        </w:tc>
        <w:tc>
          <w:tcPr>
            <w:tcW w:w="2127" w:type="dxa"/>
            <w:tcBorders>
              <w:top w:val="nil"/>
              <w:left w:val="nil"/>
              <w:bottom w:val="single" w:sz="4" w:space="0" w:color="auto"/>
              <w:right w:val="single" w:sz="4" w:space="0" w:color="auto"/>
            </w:tcBorders>
            <w:shd w:val="clear" w:color="auto" w:fill="auto"/>
            <w:vAlign w:val="center"/>
            <w:hideMark/>
          </w:tcPr>
          <w:p>
            <w:pPr>
              <w:jc w:val="center"/>
              <w:rPr>
                <w:rFonts w:cs="Arial"/>
              </w:rPr>
            </w:pPr>
            <w:r>
              <w:rPr>
                <w:rFonts w:cs="Arial"/>
              </w:rPr>
              <w:t> </w:t>
            </w:r>
          </w:p>
        </w:tc>
      </w:tr>
      <w:tr>
        <w:trPr>
          <w:trHeight w:val="391"/>
        </w:trPr>
        <w:tc>
          <w:tcPr>
            <w:tcW w:w="2835" w:type="dxa"/>
            <w:tcBorders>
              <w:top w:val="nil"/>
              <w:left w:val="single" w:sz="4" w:space="0" w:color="auto"/>
              <w:bottom w:val="single" w:sz="4" w:space="0" w:color="auto"/>
              <w:right w:val="single" w:sz="4" w:space="0" w:color="auto"/>
            </w:tcBorders>
            <w:shd w:val="clear" w:color="auto" w:fill="auto"/>
            <w:vAlign w:val="center"/>
            <w:hideMark/>
          </w:tcPr>
          <w:p>
            <w:pPr>
              <w:rPr>
                <w:rFonts w:cs="Arial"/>
              </w:rPr>
            </w:pPr>
            <w:r>
              <w:rPr>
                <w:rFonts w:cs="Arial"/>
              </w:rPr>
              <w:t>Ekologická značka</w:t>
            </w:r>
          </w:p>
        </w:tc>
        <w:tc>
          <w:tcPr>
            <w:tcW w:w="2126" w:type="dxa"/>
            <w:tcBorders>
              <w:top w:val="nil"/>
              <w:left w:val="nil"/>
              <w:bottom w:val="single" w:sz="4" w:space="0" w:color="auto"/>
              <w:right w:val="single" w:sz="4" w:space="0" w:color="auto"/>
            </w:tcBorders>
            <w:shd w:val="clear" w:color="auto" w:fill="auto"/>
            <w:vAlign w:val="center"/>
            <w:hideMark/>
          </w:tcPr>
          <w:p>
            <w:pPr>
              <w:jc w:val="center"/>
              <w:rPr>
                <w:rFonts w:cs="Arial"/>
              </w:rPr>
            </w:pPr>
            <w:r>
              <w:rPr>
                <w:rFonts w:cs="Arial"/>
              </w:rPr>
              <w:t>ANO</w:t>
            </w:r>
          </w:p>
        </w:tc>
        <w:tc>
          <w:tcPr>
            <w:tcW w:w="2126" w:type="dxa"/>
            <w:tcBorders>
              <w:top w:val="nil"/>
              <w:left w:val="nil"/>
              <w:bottom w:val="single" w:sz="4" w:space="0" w:color="auto"/>
              <w:right w:val="single" w:sz="4" w:space="0" w:color="auto"/>
            </w:tcBorders>
            <w:shd w:val="clear" w:color="auto" w:fill="auto"/>
            <w:vAlign w:val="center"/>
            <w:hideMark/>
          </w:tcPr>
          <w:p>
            <w:pPr>
              <w:jc w:val="center"/>
              <w:rPr>
                <w:rFonts w:cs="Arial"/>
              </w:rPr>
            </w:pPr>
            <w:r>
              <w:rPr>
                <w:rFonts w:cs="Arial"/>
              </w:rPr>
              <w:t>ANO</w:t>
            </w:r>
          </w:p>
        </w:tc>
        <w:tc>
          <w:tcPr>
            <w:tcW w:w="2127" w:type="dxa"/>
            <w:tcBorders>
              <w:top w:val="nil"/>
              <w:left w:val="nil"/>
              <w:bottom w:val="single" w:sz="4" w:space="0" w:color="auto"/>
              <w:right w:val="single" w:sz="4" w:space="0" w:color="auto"/>
            </w:tcBorders>
            <w:shd w:val="clear" w:color="auto" w:fill="auto"/>
            <w:vAlign w:val="center"/>
            <w:hideMark/>
          </w:tcPr>
          <w:p>
            <w:pPr>
              <w:jc w:val="center"/>
              <w:rPr>
                <w:rFonts w:cs="Arial"/>
              </w:rPr>
            </w:pPr>
            <w:r>
              <w:rPr>
                <w:rFonts w:cs="Arial"/>
              </w:rPr>
              <w:t>min. FSC, ECF </w:t>
            </w:r>
          </w:p>
        </w:tc>
      </w:tr>
      <w:tr>
        <w:trPr>
          <w:trHeight w:val="391"/>
        </w:trPr>
        <w:tc>
          <w:tcPr>
            <w:tcW w:w="2835" w:type="dxa"/>
            <w:tcBorders>
              <w:top w:val="nil"/>
              <w:left w:val="single" w:sz="4" w:space="0" w:color="auto"/>
              <w:bottom w:val="single" w:sz="4" w:space="0" w:color="auto"/>
              <w:right w:val="single" w:sz="4" w:space="0" w:color="auto"/>
            </w:tcBorders>
            <w:shd w:val="clear" w:color="auto" w:fill="auto"/>
            <w:vAlign w:val="center"/>
            <w:hideMark/>
          </w:tcPr>
          <w:p>
            <w:pPr>
              <w:rPr>
                <w:rFonts w:cs="Arial"/>
              </w:rPr>
            </w:pPr>
            <w:r>
              <w:rPr>
                <w:rFonts w:cs="Arial"/>
              </w:rPr>
              <w:t>Archivace (trvanlivost)</w:t>
            </w:r>
          </w:p>
        </w:tc>
        <w:tc>
          <w:tcPr>
            <w:tcW w:w="2126" w:type="dxa"/>
            <w:tcBorders>
              <w:top w:val="nil"/>
              <w:left w:val="nil"/>
              <w:bottom w:val="single" w:sz="4" w:space="0" w:color="auto"/>
              <w:right w:val="single" w:sz="4" w:space="0" w:color="auto"/>
            </w:tcBorders>
            <w:shd w:val="clear" w:color="auto" w:fill="auto"/>
            <w:vAlign w:val="center"/>
            <w:hideMark/>
          </w:tcPr>
          <w:p>
            <w:pPr>
              <w:jc w:val="center"/>
              <w:rPr>
                <w:rFonts w:cs="Arial"/>
              </w:rPr>
            </w:pPr>
            <w:r>
              <w:rPr>
                <w:rFonts w:cs="Arial"/>
              </w:rPr>
              <w:t>ANO</w:t>
            </w:r>
          </w:p>
        </w:tc>
        <w:tc>
          <w:tcPr>
            <w:tcW w:w="2126" w:type="dxa"/>
            <w:tcBorders>
              <w:top w:val="nil"/>
              <w:left w:val="nil"/>
              <w:bottom w:val="single" w:sz="4" w:space="0" w:color="auto"/>
              <w:right w:val="single" w:sz="4" w:space="0" w:color="auto"/>
            </w:tcBorders>
            <w:shd w:val="clear" w:color="auto" w:fill="auto"/>
            <w:vAlign w:val="center"/>
            <w:hideMark/>
          </w:tcPr>
          <w:p>
            <w:pPr>
              <w:jc w:val="center"/>
              <w:rPr>
                <w:rFonts w:cs="Arial"/>
              </w:rPr>
            </w:pPr>
            <w:r>
              <w:rPr>
                <w:rFonts w:cs="Arial"/>
              </w:rPr>
              <w:t>ANO</w:t>
            </w:r>
          </w:p>
        </w:tc>
        <w:tc>
          <w:tcPr>
            <w:tcW w:w="2127" w:type="dxa"/>
            <w:tcBorders>
              <w:top w:val="nil"/>
              <w:left w:val="nil"/>
              <w:bottom w:val="single" w:sz="4" w:space="0" w:color="auto"/>
              <w:right w:val="single" w:sz="4" w:space="0" w:color="auto"/>
            </w:tcBorders>
            <w:shd w:val="clear" w:color="auto" w:fill="auto"/>
            <w:vAlign w:val="center"/>
            <w:hideMark/>
          </w:tcPr>
          <w:p>
            <w:pPr>
              <w:jc w:val="center"/>
              <w:rPr>
                <w:rFonts w:cs="Arial"/>
              </w:rPr>
            </w:pPr>
            <w:r>
              <w:rPr>
                <w:rFonts w:cs="Arial"/>
              </w:rPr>
              <w:t>ČSN ISO 9706</w:t>
            </w:r>
          </w:p>
        </w:tc>
      </w:tr>
      <w:tr>
        <w:trPr>
          <w:trHeight w:val="391"/>
        </w:trPr>
        <w:tc>
          <w:tcPr>
            <w:tcW w:w="2835" w:type="dxa"/>
            <w:tcBorders>
              <w:top w:val="nil"/>
              <w:left w:val="single" w:sz="4" w:space="0" w:color="auto"/>
              <w:bottom w:val="single" w:sz="4" w:space="0" w:color="auto"/>
              <w:right w:val="single" w:sz="4" w:space="0" w:color="auto"/>
            </w:tcBorders>
            <w:shd w:val="clear" w:color="auto" w:fill="auto"/>
            <w:vAlign w:val="center"/>
            <w:hideMark/>
          </w:tcPr>
          <w:p>
            <w:pPr>
              <w:rPr>
                <w:rFonts w:cs="Arial"/>
                <w:color w:val="000000"/>
              </w:rPr>
            </w:pPr>
            <w:r>
              <w:rPr>
                <w:rFonts w:cs="Arial"/>
                <w:color w:val="000000"/>
              </w:rPr>
              <w:t>Prašnost</w:t>
            </w:r>
          </w:p>
        </w:tc>
        <w:tc>
          <w:tcPr>
            <w:tcW w:w="2126" w:type="dxa"/>
            <w:tcBorders>
              <w:top w:val="nil"/>
              <w:left w:val="nil"/>
              <w:bottom w:val="single" w:sz="4" w:space="0" w:color="auto"/>
              <w:right w:val="single" w:sz="4" w:space="0" w:color="auto"/>
            </w:tcBorders>
            <w:shd w:val="clear" w:color="auto" w:fill="auto"/>
            <w:noWrap/>
            <w:vAlign w:val="center"/>
            <w:hideMark/>
          </w:tcPr>
          <w:p>
            <w:pPr>
              <w:jc w:val="center"/>
              <w:rPr>
                <w:rFonts w:cs="Arial"/>
                <w:color w:val="000000"/>
              </w:rPr>
            </w:pPr>
            <w:r>
              <w:rPr>
                <w:rFonts w:cs="Arial"/>
                <w:color w:val="000000"/>
              </w:rPr>
              <w:t>Minimální prašnost</w:t>
            </w:r>
          </w:p>
        </w:tc>
        <w:tc>
          <w:tcPr>
            <w:tcW w:w="2126" w:type="dxa"/>
            <w:tcBorders>
              <w:top w:val="nil"/>
              <w:left w:val="nil"/>
              <w:bottom w:val="single" w:sz="4" w:space="0" w:color="auto"/>
              <w:right w:val="single" w:sz="4" w:space="0" w:color="auto"/>
            </w:tcBorders>
            <w:shd w:val="clear" w:color="auto" w:fill="auto"/>
            <w:noWrap/>
            <w:vAlign w:val="center"/>
            <w:hideMark/>
          </w:tcPr>
          <w:p>
            <w:pPr>
              <w:jc w:val="center"/>
              <w:rPr>
                <w:rFonts w:cs="Arial"/>
                <w:color w:val="000000"/>
              </w:rPr>
            </w:pPr>
            <w:r>
              <w:rPr>
                <w:rFonts w:cs="Arial"/>
                <w:color w:val="000000"/>
              </w:rPr>
              <w:t>Nízká prašnost</w:t>
            </w:r>
          </w:p>
        </w:tc>
        <w:tc>
          <w:tcPr>
            <w:tcW w:w="2127" w:type="dxa"/>
            <w:tcBorders>
              <w:top w:val="nil"/>
              <w:left w:val="nil"/>
              <w:bottom w:val="single" w:sz="4" w:space="0" w:color="auto"/>
              <w:right w:val="single" w:sz="4" w:space="0" w:color="auto"/>
            </w:tcBorders>
            <w:shd w:val="clear" w:color="auto" w:fill="auto"/>
            <w:noWrap/>
            <w:vAlign w:val="center"/>
            <w:hideMark/>
          </w:tcPr>
          <w:p>
            <w:pPr>
              <w:rPr>
                <w:rFonts w:cs="Arial"/>
                <w:color w:val="000000"/>
              </w:rPr>
            </w:pPr>
            <w:r>
              <w:rPr>
                <w:rFonts w:cs="Arial"/>
                <w:color w:val="000000"/>
              </w:rPr>
              <w:t> </w:t>
            </w:r>
          </w:p>
        </w:tc>
      </w:tr>
    </w:tbl>
    <w:p>
      <w:pPr>
        <w:jc w:val="both"/>
        <w:rPr>
          <w:rFonts w:eastAsia="Calibri" w:cs="Arial"/>
        </w:rPr>
      </w:pPr>
    </w:p>
    <w:p>
      <w:pPr>
        <w:jc w:val="both"/>
        <w:rPr>
          <w:rFonts w:cs="Arial"/>
        </w:rPr>
      </w:pPr>
    </w:p>
    <w:p>
      <w:pPr>
        <w:jc w:val="both"/>
        <w:rPr>
          <w:rFonts w:cs="Arial"/>
        </w:rPr>
      </w:pPr>
      <w:r>
        <w:rPr>
          <w:rFonts w:cs="Arial"/>
        </w:rPr>
        <w:t>Centrální zadavatel požaduje předložení:</w:t>
      </w:r>
    </w:p>
    <w:p>
      <w:pPr>
        <w:pStyle w:val="Odstavecseseznamem"/>
        <w:numPr>
          <w:ilvl w:val="0"/>
          <w:numId w:val="24"/>
        </w:numPr>
        <w:ind w:left="714" w:hanging="357"/>
        <w:rPr>
          <w:rFonts w:ascii="Arial" w:eastAsiaTheme="minorHAnsi" w:hAnsi="Arial" w:cs="Arial"/>
        </w:rPr>
      </w:pPr>
      <w:r>
        <w:rPr>
          <w:rFonts w:ascii="Arial" w:eastAsiaTheme="minorHAnsi" w:hAnsi="Arial" w:cs="Arial"/>
        </w:rPr>
        <w:t>kopie dokumentu, z jehož obsahu vyplývá splnění požadavku na trvanlivost dle normy ČSN ISO 9706.</w:t>
      </w:r>
    </w:p>
    <w:p>
      <w:pPr>
        <w:pStyle w:val="Odstavecseseznamem"/>
        <w:numPr>
          <w:ilvl w:val="0"/>
          <w:numId w:val="24"/>
        </w:numPr>
        <w:ind w:left="714" w:hanging="357"/>
        <w:rPr>
          <w:rFonts w:ascii="Arial" w:eastAsiaTheme="minorHAnsi" w:hAnsi="Arial" w:cs="Arial"/>
        </w:rPr>
      </w:pPr>
      <w:r>
        <w:rPr>
          <w:rFonts w:ascii="Arial" w:eastAsiaTheme="minorHAnsi" w:hAnsi="Arial" w:cs="Arial"/>
        </w:rPr>
        <w:t>kopie dokumentu, z jehož obsahu vyplývá splnění požadavku na ekologickou značku FSC a ECF.</w:t>
      </w:r>
    </w:p>
    <w:p>
      <w:pPr>
        <w:pStyle w:val="Odstavecseseznamem"/>
        <w:numPr>
          <w:ilvl w:val="0"/>
          <w:numId w:val="24"/>
        </w:numPr>
        <w:ind w:left="714" w:hanging="357"/>
        <w:rPr>
          <w:rFonts w:ascii="Arial" w:eastAsiaTheme="minorHAnsi" w:hAnsi="Arial" w:cs="Arial"/>
        </w:rPr>
      </w:pPr>
      <w:r>
        <w:rPr>
          <w:rFonts w:ascii="Arial" w:eastAsiaTheme="minorHAnsi" w:hAnsi="Arial" w:cs="Arial"/>
        </w:rPr>
        <w:t xml:space="preserve">kopie protokolu o provedení zkoušky xerografického papíru akreditovaným pracovištěm v českém jazyce pro každou požadovanou kvalitu zvlášť. Z protokolu musí být zřejmé splnění výše uvedených požadavků pro parametry: plošná hmotnost, </w:t>
      </w:r>
      <w:r>
        <w:rPr>
          <w:rFonts w:ascii="Arial" w:hAnsi="Arial" w:cs="Arial"/>
        </w:rPr>
        <w:t>opacita, bělost CIE, hladkost a tloušťka.</w:t>
      </w:r>
      <w:r>
        <w:rPr>
          <w:rFonts w:ascii="Arial" w:eastAsiaTheme="minorHAnsi" w:hAnsi="Arial" w:cs="Arial"/>
        </w:rPr>
        <w:t xml:space="preserve"> </w:t>
      </w:r>
    </w:p>
    <w:p>
      <w:pPr>
        <w:pStyle w:val="Odstavecseseznamem"/>
        <w:ind w:left="714"/>
        <w:rPr>
          <w:rFonts w:ascii="Arial" w:eastAsiaTheme="minorHAnsi" w:hAnsi="Arial" w:cs="Arial"/>
        </w:rPr>
      </w:pPr>
      <w:r>
        <w:rPr>
          <w:rFonts w:ascii="Arial" w:eastAsiaTheme="minorHAnsi" w:hAnsi="Arial" w:cs="Arial"/>
        </w:rPr>
        <w:t>U parametru</w:t>
      </w:r>
      <w:r>
        <w:rPr>
          <w:rFonts w:ascii="Arial" w:hAnsi="Arial" w:cs="Arial"/>
        </w:rPr>
        <w:t xml:space="preserve"> </w:t>
      </w:r>
      <w:r>
        <w:rPr>
          <w:rFonts w:ascii="Arial" w:hAnsi="Arial" w:cs="Arial"/>
          <w:b/>
        </w:rPr>
        <w:t>„hladkost“</w:t>
      </w:r>
      <w:r>
        <w:rPr>
          <w:rFonts w:ascii="Arial" w:hAnsi="Arial" w:cs="Arial"/>
        </w:rPr>
        <w:t xml:space="preserve"> akceptuje centrální zadavatel přepočet při provedení zkoušky dle normy ISO 5627 (Stanovení hladkosti podle </w:t>
      </w:r>
      <w:proofErr w:type="spellStart"/>
      <w:r>
        <w:rPr>
          <w:rFonts w:ascii="Arial" w:hAnsi="Arial" w:cs="Arial"/>
        </w:rPr>
        <w:t>Bekka</w:t>
      </w:r>
      <w:proofErr w:type="spellEnd"/>
      <w:r>
        <w:rPr>
          <w:rFonts w:ascii="Arial" w:hAnsi="Arial" w:cs="Arial"/>
        </w:rPr>
        <w:t xml:space="preserve"> - hodnoty v sekundách) na hodnoty dle normy ISO 8791- 2 (Stanovení drsnosti/hladkosti: metody úniku vzduchu. Část 2: Metoda podle </w:t>
      </w:r>
      <w:proofErr w:type="spellStart"/>
      <w:r>
        <w:rPr>
          <w:rFonts w:ascii="Arial" w:hAnsi="Arial" w:cs="Arial"/>
        </w:rPr>
        <w:t>Bendtsena</w:t>
      </w:r>
      <w:proofErr w:type="spellEnd"/>
      <w:r>
        <w:rPr>
          <w:rFonts w:ascii="Arial" w:hAnsi="Arial" w:cs="Arial"/>
        </w:rPr>
        <w:t xml:space="preserve"> - hodnoty v ml/min.). </w:t>
      </w:r>
      <w:r>
        <w:rPr>
          <w:rFonts w:ascii="Arial" w:eastAsiaTheme="minorHAnsi" w:hAnsi="Arial" w:cs="Arial"/>
        </w:rPr>
        <w:t>Současně je nutno dodržet požadovanou hodnotu „hladkosti“ u obou stran papíru, tj. pro rub i líc.</w:t>
      </w:r>
    </w:p>
    <w:p>
      <w:pPr>
        <w:pStyle w:val="Odstavecseseznamem"/>
        <w:ind w:left="714"/>
        <w:rPr>
          <w:rFonts w:ascii="Arial" w:eastAsiaTheme="minorHAnsi" w:hAnsi="Arial" w:cs="Arial"/>
        </w:rPr>
      </w:pPr>
    </w:p>
    <w:p>
      <w:pPr>
        <w:jc w:val="both"/>
        <w:rPr>
          <w:rFonts w:cs="Arial"/>
        </w:rPr>
      </w:pPr>
      <w:r>
        <w:rPr>
          <w:rFonts w:cs="Arial"/>
        </w:rPr>
        <w:t>Akreditovaným pracovištěm se rozumí zkušební laboratoř, které bylo vydané osvědčení o akreditaci pro zkoušení fyzikálních, mechanických, optických a chemických vlastností papíru na základě posouzení shody managementu jakosti laboratoře s kritérií mezinárodní normy ISO/IEC 17025:2005.</w:t>
      </w:r>
    </w:p>
    <w:p>
      <w:pPr>
        <w:jc w:val="both"/>
        <w:rPr>
          <w:rFonts w:cs="Arial"/>
        </w:rPr>
      </w:pPr>
    </w:p>
    <w:p>
      <w:pPr>
        <w:pStyle w:val="Textkomente"/>
        <w:rPr>
          <w:rFonts w:ascii="Arial" w:hAnsi="Arial" w:cs="Arial"/>
        </w:rPr>
      </w:pPr>
      <w:r>
        <w:rPr>
          <w:rFonts w:ascii="Arial" w:hAnsi="Arial" w:cs="Arial"/>
          <w:sz w:val="22"/>
          <w:szCs w:val="22"/>
        </w:rPr>
        <w:t>Centrální zadavatel požaduje dodávání xerografického papíru v balení po 500 listech.</w:t>
      </w:r>
    </w:p>
    <w:p>
      <w:pPr>
        <w:spacing w:before="120"/>
        <w:jc w:val="both"/>
        <w:rPr>
          <w:rFonts w:cs="Arial"/>
        </w:rPr>
      </w:pPr>
      <w:r>
        <w:rPr>
          <w:rFonts w:cs="Arial"/>
        </w:rPr>
        <w:t>Centrální zadavatel si vyhrazuje právo kdykoliv po dobu účinnosti Rámcové dohody provést kontrolu jakosti (technických parametrů - viz výše) dodaného xerografického papíru u kteréhokoliv pověřujícího zadavatele. Provedením kontroly může centrální zadavatel pověřit i jinou osobu.</w:t>
      </w:r>
    </w:p>
    <w:p>
      <w:pPr>
        <w:spacing w:after="200" w:line="276" w:lineRule="auto"/>
        <w:sectPr>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pPr>
    </w:p>
    <w:tbl>
      <w:tblPr>
        <w:tblW w:w="14165" w:type="dxa"/>
        <w:tblInd w:w="55" w:type="dxa"/>
        <w:tblCellMar>
          <w:left w:w="70" w:type="dxa"/>
          <w:right w:w="70" w:type="dxa"/>
        </w:tblCellMar>
        <w:tblLook w:val="04A0" w:firstRow="1" w:lastRow="0" w:firstColumn="1" w:lastColumn="0" w:noHBand="0" w:noVBand="1"/>
      </w:tblPr>
      <w:tblGrid>
        <w:gridCol w:w="2129"/>
        <w:gridCol w:w="948"/>
        <w:gridCol w:w="1510"/>
        <w:gridCol w:w="1386"/>
        <w:gridCol w:w="1386"/>
        <w:gridCol w:w="1386"/>
        <w:gridCol w:w="1312"/>
        <w:gridCol w:w="2054"/>
        <w:gridCol w:w="2054"/>
      </w:tblGrid>
      <w:tr>
        <w:trPr>
          <w:trHeight w:val="300"/>
        </w:trPr>
        <w:tc>
          <w:tcPr>
            <w:tcW w:w="3077" w:type="dxa"/>
            <w:gridSpan w:val="2"/>
            <w:tcBorders>
              <w:top w:val="nil"/>
              <w:left w:val="nil"/>
              <w:bottom w:val="nil"/>
              <w:right w:val="nil"/>
            </w:tcBorders>
            <w:shd w:val="clear" w:color="auto" w:fill="auto"/>
            <w:noWrap/>
            <w:vAlign w:val="bottom"/>
            <w:hideMark/>
          </w:tcPr>
          <w:p>
            <w:pPr>
              <w:rPr>
                <w:rFonts w:ascii="Calibri" w:hAnsi="Calibri" w:cs="Calibri"/>
                <w:b/>
                <w:bCs/>
                <w:color w:val="000000"/>
                <w:u w:val="single"/>
                <w:lang w:eastAsia="cs-CZ" w:bidi="ar-SA"/>
              </w:rPr>
            </w:pPr>
            <w:r>
              <w:rPr>
                <w:rFonts w:ascii="Calibri" w:hAnsi="Calibri" w:cs="Calibri"/>
                <w:b/>
                <w:bCs/>
                <w:color w:val="000000"/>
                <w:szCs w:val="22"/>
                <w:u w:val="single"/>
                <w:lang w:eastAsia="cs-CZ" w:bidi="ar-SA"/>
              </w:rPr>
              <w:t>Formulář cenové nabídky</w:t>
            </w:r>
          </w:p>
        </w:tc>
        <w:tc>
          <w:tcPr>
            <w:tcW w:w="1510" w:type="dxa"/>
            <w:tcBorders>
              <w:top w:val="nil"/>
              <w:left w:val="nil"/>
              <w:bottom w:val="nil"/>
              <w:right w:val="nil"/>
            </w:tcBorders>
            <w:shd w:val="clear" w:color="auto" w:fill="auto"/>
            <w:noWrap/>
            <w:vAlign w:val="center"/>
            <w:hideMark/>
          </w:tcPr>
          <w:p>
            <w:pPr>
              <w:jc w:val="center"/>
              <w:rPr>
                <w:rFonts w:ascii="Calibri" w:hAnsi="Calibri" w:cs="Calibri"/>
                <w:lang w:eastAsia="cs-CZ" w:bidi="ar-SA"/>
              </w:rPr>
            </w:pPr>
          </w:p>
        </w:tc>
        <w:tc>
          <w:tcPr>
            <w:tcW w:w="1386" w:type="dxa"/>
            <w:tcBorders>
              <w:top w:val="nil"/>
              <w:left w:val="nil"/>
              <w:bottom w:val="nil"/>
              <w:right w:val="nil"/>
            </w:tcBorders>
            <w:shd w:val="clear" w:color="auto" w:fill="auto"/>
            <w:noWrap/>
            <w:vAlign w:val="center"/>
            <w:hideMark/>
          </w:tcPr>
          <w:p>
            <w:pPr>
              <w:jc w:val="center"/>
              <w:rPr>
                <w:rFonts w:ascii="Calibri" w:hAnsi="Calibri" w:cs="Calibri"/>
                <w:lang w:eastAsia="cs-CZ" w:bidi="ar-SA"/>
              </w:rPr>
            </w:pPr>
          </w:p>
        </w:tc>
        <w:tc>
          <w:tcPr>
            <w:tcW w:w="1386" w:type="dxa"/>
            <w:tcBorders>
              <w:top w:val="nil"/>
              <w:left w:val="nil"/>
              <w:bottom w:val="nil"/>
              <w:right w:val="nil"/>
            </w:tcBorders>
            <w:shd w:val="clear" w:color="auto" w:fill="auto"/>
            <w:noWrap/>
            <w:vAlign w:val="center"/>
            <w:hideMark/>
          </w:tcPr>
          <w:p>
            <w:pPr>
              <w:jc w:val="center"/>
              <w:rPr>
                <w:rFonts w:ascii="Calibri" w:hAnsi="Calibri" w:cs="Calibri"/>
                <w:lang w:eastAsia="cs-CZ" w:bidi="ar-SA"/>
              </w:rPr>
            </w:pPr>
          </w:p>
        </w:tc>
        <w:tc>
          <w:tcPr>
            <w:tcW w:w="1386" w:type="dxa"/>
            <w:tcBorders>
              <w:top w:val="nil"/>
              <w:left w:val="nil"/>
              <w:bottom w:val="nil"/>
              <w:right w:val="nil"/>
            </w:tcBorders>
            <w:shd w:val="clear" w:color="auto" w:fill="auto"/>
            <w:noWrap/>
            <w:vAlign w:val="center"/>
            <w:hideMark/>
          </w:tcPr>
          <w:p>
            <w:pPr>
              <w:jc w:val="center"/>
              <w:rPr>
                <w:rFonts w:ascii="Calibri" w:hAnsi="Calibri" w:cs="Calibri"/>
                <w:lang w:eastAsia="cs-CZ" w:bidi="ar-SA"/>
              </w:rPr>
            </w:pPr>
          </w:p>
        </w:tc>
        <w:tc>
          <w:tcPr>
            <w:tcW w:w="1312" w:type="dxa"/>
            <w:tcBorders>
              <w:top w:val="nil"/>
              <w:left w:val="nil"/>
              <w:bottom w:val="nil"/>
              <w:right w:val="nil"/>
            </w:tcBorders>
            <w:shd w:val="clear" w:color="auto" w:fill="auto"/>
            <w:noWrap/>
            <w:vAlign w:val="center"/>
            <w:hideMark/>
          </w:tcPr>
          <w:p>
            <w:pPr>
              <w:jc w:val="center"/>
              <w:rPr>
                <w:rFonts w:ascii="Calibri" w:hAnsi="Calibri" w:cs="Calibri"/>
                <w:lang w:eastAsia="cs-CZ" w:bidi="ar-SA"/>
              </w:rPr>
            </w:pPr>
          </w:p>
        </w:tc>
        <w:tc>
          <w:tcPr>
            <w:tcW w:w="2054" w:type="dxa"/>
            <w:tcBorders>
              <w:top w:val="nil"/>
              <w:left w:val="nil"/>
              <w:bottom w:val="nil"/>
              <w:right w:val="nil"/>
            </w:tcBorders>
            <w:shd w:val="clear" w:color="auto" w:fill="auto"/>
            <w:vAlign w:val="bottom"/>
            <w:hideMark/>
          </w:tcPr>
          <w:p>
            <w:pPr>
              <w:rPr>
                <w:rFonts w:ascii="Calibri" w:hAnsi="Calibri" w:cs="Calibri"/>
                <w:color w:val="000000"/>
                <w:lang w:eastAsia="cs-CZ" w:bidi="ar-SA"/>
              </w:rPr>
            </w:pPr>
          </w:p>
        </w:tc>
        <w:tc>
          <w:tcPr>
            <w:tcW w:w="2054" w:type="dxa"/>
            <w:tcBorders>
              <w:top w:val="nil"/>
              <w:left w:val="nil"/>
              <w:bottom w:val="nil"/>
              <w:right w:val="nil"/>
            </w:tcBorders>
            <w:shd w:val="clear" w:color="auto" w:fill="auto"/>
            <w:noWrap/>
            <w:vAlign w:val="bottom"/>
            <w:hideMark/>
          </w:tcPr>
          <w:p>
            <w:pPr>
              <w:jc w:val="right"/>
              <w:rPr>
                <w:rFonts w:ascii="Calibri" w:hAnsi="Calibri" w:cs="Calibri"/>
                <w:lang w:eastAsia="cs-CZ" w:bidi="ar-SA"/>
              </w:rPr>
            </w:pPr>
            <w:r>
              <w:rPr>
                <w:rFonts w:ascii="Calibri" w:hAnsi="Calibri" w:cs="Calibri"/>
                <w:szCs w:val="22"/>
                <w:lang w:eastAsia="cs-CZ" w:bidi="ar-SA"/>
              </w:rPr>
              <w:t xml:space="preserve"> Příloha č. 2  </w:t>
            </w:r>
          </w:p>
        </w:tc>
      </w:tr>
      <w:tr>
        <w:trPr>
          <w:trHeight w:val="300"/>
        </w:trPr>
        <w:tc>
          <w:tcPr>
            <w:tcW w:w="4587" w:type="dxa"/>
            <w:gridSpan w:val="3"/>
            <w:tcBorders>
              <w:top w:val="nil"/>
              <w:left w:val="nil"/>
              <w:bottom w:val="nil"/>
              <w:right w:val="nil"/>
            </w:tcBorders>
            <w:shd w:val="clear" w:color="auto" w:fill="auto"/>
            <w:noWrap/>
            <w:vAlign w:val="bottom"/>
            <w:hideMark/>
          </w:tcPr>
          <w:p>
            <w:pPr>
              <w:rPr>
                <w:rFonts w:ascii="Calibri" w:hAnsi="Calibri" w:cs="Calibri"/>
                <w:color w:val="000000"/>
                <w:lang w:eastAsia="cs-CZ" w:bidi="ar-SA"/>
              </w:rPr>
            </w:pPr>
            <w:r>
              <w:rPr>
                <w:rFonts w:ascii="Calibri" w:hAnsi="Calibri" w:cs="Calibri"/>
                <w:color w:val="000000"/>
                <w:szCs w:val="22"/>
                <w:lang w:eastAsia="cs-CZ" w:bidi="ar-SA"/>
              </w:rPr>
              <w:t xml:space="preserve">Nadlimitní veřejná zakázka: </w:t>
            </w:r>
            <w:r>
              <w:rPr>
                <w:rFonts w:ascii="Calibri" w:hAnsi="Calibri" w:cs="Calibri"/>
                <w:b/>
                <w:bCs/>
                <w:color w:val="000000"/>
                <w:szCs w:val="22"/>
                <w:lang w:eastAsia="cs-CZ" w:bidi="ar-SA"/>
              </w:rPr>
              <w:t xml:space="preserve"> </w:t>
            </w:r>
          </w:p>
        </w:tc>
        <w:tc>
          <w:tcPr>
            <w:tcW w:w="1386" w:type="dxa"/>
            <w:tcBorders>
              <w:top w:val="nil"/>
              <w:left w:val="nil"/>
              <w:bottom w:val="nil"/>
              <w:right w:val="nil"/>
            </w:tcBorders>
            <w:shd w:val="clear" w:color="auto" w:fill="auto"/>
            <w:noWrap/>
            <w:vAlign w:val="center"/>
            <w:hideMark/>
          </w:tcPr>
          <w:p>
            <w:pPr>
              <w:jc w:val="center"/>
              <w:rPr>
                <w:rFonts w:ascii="Calibri" w:hAnsi="Calibri" w:cs="Calibri"/>
                <w:lang w:eastAsia="cs-CZ" w:bidi="ar-SA"/>
              </w:rPr>
            </w:pPr>
          </w:p>
        </w:tc>
        <w:tc>
          <w:tcPr>
            <w:tcW w:w="1386" w:type="dxa"/>
            <w:tcBorders>
              <w:top w:val="nil"/>
              <w:left w:val="nil"/>
              <w:bottom w:val="nil"/>
              <w:right w:val="nil"/>
            </w:tcBorders>
            <w:shd w:val="clear" w:color="auto" w:fill="auto"/>
            <w:noWrap/>
            <w:vAlign w:val="center"/>
            <w:hideMark/>
          </w:tcPr>
          <w:p>
            <w:pPr>
              <w:jc w:val="center"/>
              <w:rPr>
                <w:rFonts w:ascii="Calibri" w:hAnsi="Calibri" w:cs="Calibri"/>
                <w:lang w:eastAsia="cs-CZ" w:bidi="ar-SA"/>
              </w:rPr>
            </w:pPr>
          </w:p>
        </w:tc>
        <w:tc>
          <w:tcPr>
            <w:tcW w:w="1386" w:type="dxa"/>
            <w:tcBorders>
              <w:top w:val="nil"/>
              <w:left w:val="nil"/>
              <w:bottom w:val="nil"/>
              <w:right w:val="nil"/>
            </w:tcBorders>
            <w:shd w:val="clear" w:color="auto" w:fill="auto"/>
            <w:noWrap/>
            <w:vAlign w:val="center"/>
            <w:hideMark/>
          </w:tcPr>
          <w:p>
            <w:pPr>
              <w:jc w:val="center"/>
              <w:rPr>
                <w:rFonts w:ascii="Calibri" w:hAnsi="Calibri" w:cs="Calibri"/>
                <w:lang w:eastAsia="cs-CZ" w:bidi="ar-SA"/>
              </w:rPr>
            </w:pPr>
          </w:p>
        </w:tc>
        <w:tc>
          <w:tcPr>
            <w:tcW w:w="1312" w:type="dxa"/>
            <w:tcBorders>
              <w:top w:val="nil"/>
              <w:left w:val="nil"/>
              <w:bottom w:val="nil"/>
              <w:right w:val="nil"/>
            </w:tcBorders>
            <w:shd w:val="clear" w:color="auto" w:fill="auto"/>
            <w:noWrap/>
            <w:vAlign w:val="center"/>
            <w:hideMark/>
          </w:tcPr>
          <w:p>
            <w:pPr>
              <w:jc w:val="center"/>
              <w:rPr>
                <w:rFonts w:ascii="Calibri" w:hAnsi="Calibri" w:cs="Calibri"/>
                <w:lang w:eastAsia="cs-CZ" w:bidi="ar-SA"/>
              </w:rPr>
            </w:pPr>
          </w:p>
        </w:tc>
        <w:tc>
          <w:tcPr>
            <w:tcW w:w="2054" w:type="dxa"/>
            <w:tcBorders>
              <w:top w:val="nil"/>
              <w:left w:val="nil"/>
              <w:bottom w:val="nil"/>
              <w:right w:val="nil"/>
            </w:tcBorders>
            <w:shd w:val="clear" w:color="auto" w:fill="auto"/>
            <w:noWrap/>
            <w:vAlign w:val="center"/>
            <w:hideMark/>
          </w:tcPr>
          <w:p>
            <w:pPr>
              <w:jc w:val="center"/>
              <w:rPr>
                <w:rFonts w:ascii="Calibri" w:hAnsi="Calibri" w:cs="Calibri"/>
                <w:lang w:eastAsia="cs-CZ" w:bidi="ar-SA"/>
              </w:rPr>
            </w:pPr>
          </w:p>
        </w:tc>
        <w:tc>
          <w:tcPr>
            <w:tcW w:w="2054" w:type="dxa"/>
            <w:tcBorders>
              <w:top w:val="nil"/>
              <w:left w:val="nil"/>
              <w:bottom w:val="nil"/>
              <w:right w:val="nil"/>
            </w:tcBorders>
            <w:shd w:val="clear" w:color="auto" w:fill="auto"/>
            <w:noWrap/>
            <w:vAlign w:val="bottom"/>
            <w:hideMark/>
          </w:tcPr>
          <w:p>
            <w:pPr>
              <w:rPr>
                <w:rFonts w:ascii="Calibri" w:hAnsi="Calibri" w:cs="Calibri"/>
                <w:color w:val="000000"/>
                <w:lang w:eastAsia="cs-CZ" w:bidi="ar-SA"/>
              </w:rPr>
            </w:pPr>
          </w:p>
        </w:tc>
      </w:tr>
      <w:tr>
        <w:trPr>
          <w:trHeight w:val="300"/>
        </w:trPr>
        <w:tc>
          <w:tcPr>
            <w:tcW w:w="8745" w:type="dxa"/>
            <w:gridSpan w:val="6"/>
            <w:tcBorders>
              <w:top w:val="nil"/>
              <w:left w:val="nil"/>
              <w:bottom w:val="nil"/>
              <w:right w:val="nil"/>
            </w:tcBorders>
            <w:shd w:val="clear" w:color="auto" w:fill="auto"/>
            <w:noWrap/>
            <w:vAlign w:val="bottom"/>
            <w:hideMark/>
          </w:tcPr>
          <w:p>
            <w:pPr>
              <w:rPr>
                <w:rFonts w:ascii="Calibri" w:hAnsi="Calibri" w:cs="Calibri"/>
                <w:b/>
                <w:bCs/>
                <w:color w:val="000000"/>
                <w:lang w:eastAsia="cs-CZ" w:bidi="ar-SA"/>
              </w:rPr>
            </w:pPr>
            <w:r>
              <w:rPr>
                <w:rFonts w:ascii="Calibri" w:hAnsi="Calibri" w:cs="Calibri"/>
                <w:b/>
                <w:bCs/>
                <w:color w:val="000000"/>
                <w:szCs w:val="22"/>
                <w:lang w:eastAsia="cs-CZ" w:bidi="ar-SA"/>
              </w:rPr>
              <w:t>DODÁVKY XEROGRAFICKÉHO PAPÍRU PRO RESORT DOPRAVY 2019 - 2021</w:t>
            </w:r>
          </w:p>
        </w:tc>
        <w:tc>
          <w:tcPr>
            <w:tcW w:w="1312" w:type="dxa"/>
            <w:tcBorders>
              <w:top w:val="nil"/>
              <w:left w:val="nil"/>
              <w:bottom w:val="nil"/>
              <w:right w:val="nil"/>
            </w:tcBorders>
            <w:shd w:val="clear" w:color="auto" w:fill="auto"/>
            <w:noWrap/>
            <w:vAlign w:val="center"/>
            <w:hideMark/>
          </w:tcPr>
          <w:p>
            <w:pPr>
              <w:jc w:val="center"/>
              <w:rPr>
                <w:rFonts w:ascii="Calibri" w:hAnsi="Calibri" w:cs="Calibri"/>
                <w:lang w:eastAsia="cs-CZ" w:bidi="ar-SA"/>
              </w:rPr>
            </w:pPr>
          </w:p>
        </w:tc>
        <w:tc>
          <w:tcPr>
            <w:tcW w:w="2054" w:type="dxa"/>
            <w:tcBorders>
              <w:top w:val="nil"/>
              <w:left w:val="nil"/>
              <w:bottom w:val="nil"/>
              <w:right w:val="nil"/>
            </w:tcBorders>
            <w:shd w:val="clear" w:color="auto" w:fill="auto"/>
            <w:noWrap/>
            <w:vAlign w:val="center"/>
            <w:hideMark/>
          </w:tcPr>
          <w:p>
            <w:pPr>
              <w:jc w:val="center"/>
              <w:rPr>
                <w:rFonts w:ascii="Calibri" w:hAnsi="Calibri" w:cs="Calibri"/>
                <w:lang w:eastAsia="cs-CZ" w:bidi="ar-SA"/>
              </w:rPr>
            </w:pPr>
          </w:p>
        </w:tc>
        <w:tc>
          <w:tcPr>
            <w:tcW w:w="2054" w:type="dxa"/>
            <w:tcBorders>
              <w:top w:val="nil"/>
              <w:left w:val="nil"/>
              <w:bottom w:val="nil"/>
              <w:right w:val="nil"/>
            </w:tcBorders>
            <w:shd w:val="clear" w:color="auto" w:fill="auto"/>
            <w:vAlign w:val="bottom"/>
            <w:hideMark/>
          </w:tcPr>
          <w:p>
            <w:pPr>
              <w:rPr>
                <w:rFonts w:ascii="Calibri" w:hAnsi="Calibri" w:cs="Calibri"/>
                <w:color w:val="000000"/>
                <w:lang w:eastAsia="cs-CZ" w:bidi="ar-SA"/>
              </w:rPr>
            </w:pPr>
          </w:p>
        </w:tc>
      </w:tr>
      <w:tr>
        <w:trPr>
          <w:trHeight w:val="300"/>
        </w:trPr>
        <w:tc>
          <w:tcPr>
            <w:tcW w:w="3077" w:type="dxa"/>
            <w:gridSpan w:val="2"/>
            <w:tcBorders>
              <w:top w:val="nil"/>
              <w:left w:val="nil"/>
              <w:bottom w:val="nil"/>
              <w:right w:val="nil"/>
            </w:tcBorders>
            <w:shd w:val="clear" w:color="auto" w:fill="auto"/>
            <w:noWrap/>
            <w:vAlign w:val="bottom"/>
            <w:hideMark/>
          </w:tcPr>
          <w:p>
            <w:pPr>
              <w:rPr>
                <w:rFonts w:ascii="Calibri" w:hAnsi="Calibri" w:cs="Calibri"/>
                <w:b/>
                <w:bCs/>
                <w:color w:val="000000"/>
                <w:lang w:eastAsia="cs-CZ" w:bidi="ar-SA"/>
              </w:rPr>
            </w:pPr>
            <w:r>
              <w:rPr>
                <w:rFonts w:ascii="Calibri" w:hAnsi="Calibri" w:cs="Calibri"/>
                <w:b/>
                <w:bCs/>
                <w:color w:val="000000"/>
                <w:szCs w:val="22"/>
                <w:lang w:eastAsia="cs-CZ" w:bidi="ar-SA"/>
              </w:rPr>
              <w:t>Identifikace účastníka:</w:t>
            </w:r>
          </w:p>
        </w:tc>
        <w:tc>
          <w:tcPr>
            <w:tcW w:w="1510" w:type="dxa"/>
            <w:tcBorders>
              <w:top w:val="nil"/>
              <w:left w:val="nil"/>
              <w:bottom w:val="nil"/>
              <w:right w:val="nil"/>
            </w:tcBorders>
            <w:shd w:val="clear" w:color="auto" w:fill="auto"/>
            <w:noWrap/>
            <w:vAlign w:val="center"/>
            <w:hideMark/>
          </w:tcPr>
          <w:p>
            <w:pPr>
              <w:jc w:val="center"/>
              <w:rPr>
                <w:rFonts w:ascii="Calibri" w:hAnsi="Calibri" w:cs="Calibri"/>
                <w:lang w:eastAsia="cs-CZ" w:bidi="ar-SA"/>
              </w:rPr>
            </w:pPr>
          </w:p>
        </w:tc>
        <w:tc>
          <w:tcPr>
            <w:tcW w:w="1386" w:type="dxa"/>
            <w:tcBorders>
              <w:top w:val="nil"/>
              <w:left w:val="nil"/>
              <w:bottom w:val="nil"/>
              <w:right w:val="nil"/>
            </w:tcBorders>
            <w:shd w:val="clear" w:color="auto" w:fill="auto"/>
            <w:noWrap/>
            <w:vAlign w:val="center"/>
            <w:hideMark/>
          </w:tcPr>
          <w:p>
            <w:pPr>
              <w:jc w:val="center"/>
              <w:rPr>
                <w:rFonts w:ascii="Calibri" w:hAnsi="Calibri" w:cs="Calibri"/>
                <w:lang w:eastAsia="cs-CZ" w:bidi="ar-SA"/>
              </w:rPr>
            </w:pPr>
          </w:p>
        </w:tc>
        <w:tc>
          <w:tcPr>
            <w:tcW w:w="1386" w:type="dxa"/>
            <w:tcBorders>
              <w:top w:val="nil"/>
              <w:left w:val="nil"/>
              <w:bottom w:val="nil"/>
              <w:right w:val="nil"/>
            </w:tcBorders>
            <w:shd w:val="clear" w:color="auto" w:fill="auto"/>
            <w:noWrap/>
            <w:vAlign w:val="center"/>
            <w:hideMark/>
          </w:tcPr>
          <w:p>
            <w:pPr>
              <w:jc w:val="center"/>
              <w:rPr>
                <w:rFonts w:ascii="Calibri" w:hAnsi="Calibri" w:cs="Calibri"/>
                <w:lang w:eastAsia="cs-CZ" w:bidi="ar-SA"/>
              </w:rPr>
            </w:pPr>
          </w:p>
        </w:tc>
        <w:tc>
          <w:tcPr>
            <w:tcW w:w="1386" w:type="dxa"/>
            <w:tcBorders>
              <w:top w:val="nil"/>
              <w:left w:val="nil"/>
              <w:bottom w:val="nil"/>
              <w:right w:val="nil"/>
            </w:tcBorders>
            <w:shd w:val="clear" w:color="auto" w:fill="auto"/>
            <w:noWrap/>
            <w:vAlign w:val="center"/>
            <w:hideMark/>
          </w:tcPr>
          <w:p>
            <w:pPr>
              <w:jc w:val="center"/>
              <w:rPr>
                <w:rFonts w:ascii="Calibri" w:hAnsi="Calibri" w:cs="Calibri"/>
                <w:lang w:eastAsia="cs-CZ" w:bidi="ar-SA"/>
              </w:rPr>
            </w:pPr>
          </w:p>
        </w:tc>
        <w:tc>
          <w:tcPr>
            <w:tcW w:w="1312" w:type="dxa"/>
            <w:tcBorders>
              <w:top w:val="nil"/>
              <w:left w:val="nil"/>
              <w:bottom w:val="nil"/>
              <w:right w:val="nil"/>
            </w:tcBorders>
            <w:shd w:val="clear" w:color="auto" w:fill="auto"/>
            <w:noWrap/>
            <w:vAlign w:val="center"/>
            <w:hideMark/>
          </w:tcPr>
          <w:p>
            <w:pPr>
              <w:jc w:val="center"/>
              <w:rPr>
                <w:rFonts w:ascii="Calibri" w:hAnsi="Calibri" w:cs="Calibri"/>
                <w:lang w:eastAsia="cs-CZ" w:bidi="ar-SA"/>
              </w:rPr>
            </w:pPr>
          </w:p>
        </w:tc>
        <w:tc>
          <w:tcPr>
            <w:tcW w:w="2054" w:type="dxa"/>
            <w:tcBorders>
              <w:top w:val="nil"/>
              <w:left w:val="nil"/>
              <w:bottom w:val="nil"/>
              <w:right w:val="nil"/>
            </w:tcBorders>
            <w:shd w:val="clear" w:color="auto" w:fill="auto"/>
            <w:noWrap/>
            <w:vAlign w:val="center"/>
            <w:hideMark/>
          </w:tcPr>
          <w:p>
            <w:pPr>
              <w:jc w:val="center"/>
              <w:rPr>
                <w:rFonts w:ascii="Calibri" w:hAnsi="Calibri" w:cs="Calibri"/>
                <w:lang w:eastAsia="cs-CZ" w:bidi="ar-SA"/>
              </w:rPr>
            </w:pPr>
          </w:p>
        </w:tc>
        <w:tc>
          <w:tcPr>
            <w:tcW w:w="2054" w:type="dxa"/>
            <w:tcBorders>
              <w:top w:val="nil"/>
              <w:left w:val="nil"/>
              <w:bottom w:val="nil"/>
              <w:right w:val="nil"/>
            </w:tcBorders>
            <w:shd w:val="clear" w:color="auto" w:fill="auto"/>
            <w:noWrap/>
            <w:vAlign w:val="bottom"/>
            <w:hideMark/>
          </w:tcPr>
          <w:p>
            <w:pPr>
              <w:rPr>
                <w:rFonts w:ascii="Calibri" w:hAnsi="Calibri" w:cs="Calibri"/>
                <w:color w:val="000000"/>
                <w:lang w:eastAsia="cs-CZ" w:bidi="ar-SA"/>
              </w:rPr>
            </w:pPr>
          </w:p>
        </w:tc>
      </w:tr>
      <w:tr>
        <w:trPr>
          <w:trHeight w:val="330"/>
        </w:trPr>
        <w:tc>
          <w:tcPr>
            <w:tcW w:w="2129" w:type="dxa"/>
            <w:tcBorders>
              <w:top w:val="nil"/>
              <w:left w:val="nil"/>
              <w:bottom w:val="nil"/>
              <w:right w:val="nil"/>
            </w:tcBorders>
            <w:shd w:val="clear" w:color="auto" w:fill="auto"/>
            <w:noWrap/>
            <w:vAlign w:val="bottom"/>
            <w:hideMark/>
          </w:tcPr>
          <w:p>
            <w:pPr>
              <w:rPr>
                <w:rFonts w:ascii="Calibri" w:hAnsi="Calibri" w:cs="Calibri"/>
                <w:color w:val="000000"/>
                <w:lang w:eastAsia="cs-CZ" w:bidi="ar-SA"/>
              </w:rPr>
            </w:pPr>
            <w:r>
              <w:rPr>
                <w:rFonts w:ascii="Calibri" w:hAnsi="Calibri" w:cs="Calibri"/>
                <w:color w:val="000000"/>
                <w:szCs w:val="22"/>
                <w:lang w:eastAsia="cs-CZ" w:bidi="ar-SA"/>
              </w:rPr>
              <w:t>Název:</w:t>
            </w:r>
          </w:p>
        </w:tc>
        <w:tc>
          <w:tcPr>
            <w:tcW w:w="9982" w:type="dxa"/>
            <w:gridSpan w:val="7"/>
            <w:tcBorders>
              <w:top w:val="single" w:sz="4" w:space="0" w:color="auto"/>
              <w:left w:val="single" w:sz="4" w:space="0" w:color="auto"/>
              <w:bottom w:val="single" w:sz="4" w:space="0" w:color="auto"/>
              <w:right w:val="single" w:sz="4" w:space="0" w:color="auto"/>
            </w:tcBorders>
            <w:shd w:val="clear" w:color="000000" w:fill="FFFFA7"/>
            <w:noWrap/>
            <w:vAlign w:val="bottom"/>
            <w:hideMark/>
          </w:tcPr>
          <w:p>
            <w:pPr>
              <w:jc w:val="center"/>
              <w:rPr>
                <w:rFonts w:ascii="Calibri" w:hAnsi="Calibri" w:cs="Calibri"/>
                <w:lang w:eastAsia="cs-CZ" w:bidi="ar-SA"/>
              </w:rPr>
            </w:pPr>
            <w:r>
              <w:rPr>
                <w:rFonts w:ascii="Calibri" w:hAnsi="Calibri" w:cs="Calibri"/>
                <w:szCs w:val="22"/>
                <w:lang w:eastAsia="cs-CZ" w:bidi="ar-SA"/>
              </w:rPr>
              <w:t>OFFICE DEPOT s.r.o</w:t>
            </w:r>
          </w:p>
        </w:tc>
        <w:tc>
          <w:tcPr>
            <w:tcW w:w="2054" w:type="dxa"/>
            <w:tcBorders>
              <w:top w:val="nil"/>
              <w:left w:val="nil"/>
              <w:bottom w:val="nil"/>
              <w:right w:val="nil"/>
            </w:tcBorders>
            <w:shd w:val="clear" w:color="auto" w:fill="auto"/>
            <w:noWrap/>
            <w:vAlign w:val="bottom"/>
            <w:hideMark/>
          </w:tcPr>
          <w:p>
            <w:pPr>
              <w:rPr>
                <w:rFonts w:ascii="Calibri" w:hAnsi="Calibri" w:cs="Calibri"/>
                <w:color w:val="000000"/>
                <w:lang w:eastAsia="cs-CZ" w:bidi="ar-SA"/>
              </w:rPr>
            </w:pPr>
          </w:p>
        </w:tc>
      </w:tr>
      <w:tr>
        <w:trPr>
          <w:trHeight w:val="330"/>
        </w:trPr>
        <w:tc>
          <w:tcPr>
            <w:tcW w:w="2129" w:type="dxa"/>
            <w:tcBorders>
              <w:top w:val="nil"/>
              <w:left w:val="nil"/>
              <w:bottom w:val="nil"/>
              <w:right w:val="nil"/>
            </w:tcBorders>
            <w:shd w:val="clear" w:color="auto" w:fill="auto"/>
            <w:noWrap/>
            <w:vAlign w:val="bottom"/>
            <w:hideMark/>
          </w:tcPr>
          <w:p>
            <w:pPr>
              <w:rPr>
                <w:rFonts w:ascii="Calibri" w:hAnsi="Calibri" w:cs="Calibri"/>
                <w:color w:val="000000"/>
                <w:lang w:eastAsia="cs-CZ" w:bidi="ar-SA"/>
              </w:rPr>
            </w:pPr>
            <w:r>
              <w:rPr>
                <w:rFonts w:ascii="Calibri" w:hAnsi="Calibri" w:cs="Calibri"/>
                <w:color w:val="000000"/>
                <w:szCs w:val="22"/>
                <w:lang w:eastAsia="cs-CZ" w:bidi="ar-SA"/>
              </w:rPr>
              <w:t>Sídlo:</w:t>
            </w:r>
          </w:p>
        </w:tc>
        <w:tc>
          <w:tcPr>
            <w:tcW w:w="9982" w:type="dxa"/>
            <w:gridSpan w:val="7"/>
            <w:tcBorders>
              <w:top w:val="single" w:sz="4" w:space="0" w:color="auto"/>
              <w:left w:val="single" w:sz="4" w:space="0" w:color="auto"/>
              <w:bottom w:val="single" w:sz="4" w:space="0" w:color="auto"/>
              <w:right w:val="single" w:sz="4" w:space="0" w:color="auto"/>
            </w:tcBorders>
            <w:shd w:val="clear" w:color="000000" w:fill="FFFFA7"/>
            <w:noWrap/>
            <w:vAlign w:val="bottom"/>
            <w:hideMark/>
          </w:tcPr>
          <w:p>
            <w:pPr>
              <w:jc w:val="center"/>
              <w:rPr>
                <w:rFonts w:ascii="Calibri" w:hAnsi="Calibri" w:cs="Calibri"/>
                <w:lang w:eastAsia="cs-CZ" w:bidi="ar-SA"/>
              </w:rPr>
            </w:pPr>
            <w:r>
              <w:rPr>
                <w:rFonts w:ascii="Calibri" w:hAnsi="Calibri" w:cs="Calibri"/>
                <w:szCs w:val="22"/>
                <w:lang w:eastAsia="cs-CZ" w:bidi="ar-SA"/>
              </w:rPr>
              <w:t>Floriánova 2461, 253 01 Hostivice</w:t>
            </w:r>
          </w:p>
        </w:tc>
        <w:tc>
          <w:tcPr>
            <w:tcW w:w="2054" w:type="dxa"/>
            <w:tcBorders>
              <w:top w:val="nil"/>
              <w:left w:val="nil"/>
              <w:bottom w:val="nil"/>
              <w:right w:val="nil"/>
            </w:tcBorders>
            <w:shd w:val="clear" w:color="auto" w:fill="auto"/>
            <w:vAlign w:val="bottom"/>
            <w:hideMark/>
          </w:tcPr>
          <w:p>
            <w:pPr>
              <w:rPr>
                <w:rFonts w:ascii="Calibri" w:hAnsi="Calibri" w:cs="Calibri"/>
                <w:color w:val="000000"/>
                <w:lang w:eastAsia="cs-CZ" w:bidi="ar-SA"/>
              </w:rPr>
            </w:pPr>
          </w:p>
        </w:tc>
      </w:tr>
      <w:tr>
        <w:trPr>
          <w:trHeight w:val="330"/>
        </w:trPr>
        <w:tc>
          <w:tcPr>
            <w:tcW w:w="2129" w:type="dxa"/>
            <w:tcBorders>
              <w:top w:val="nil"/>
              <w:left w:val="nil"/>
              <w:bottom w:val="nil"/>
              <w:right w:val="nil"/>
            </w:tcBorders>
            <w:shd w:val="clear" w:color="auto" w:fill="auto"/>
            <w:noWrap/>
            <w:vAlign w:val="bottom"/>
            <w:hideMark/>
          </w:tcPr>
          <w:p>
            <w:pPr>
              <w:rPr>
                <w:rFonts w:ascii="Calibri" w:hAnsi="Calibri" w:cs="Calibri"/>
                <w:color w:val="000000"/>
                <w:lang w:eastAsia="cs-CZ" w:bidi="ar-SA"/>
              </w:rPr>
            </w:pPr>
            <w:r>
              <w:rPr>
                <w:rFonts w:ascii="Calibri" w:hAnsi="Calibri" w:cs="Calibri"/>
                <w:color w:val="000000"/>
                <w:szCs w:val="22"/>
                <w:lang w:eastAsia="cs-CZ" w:bidi="ar-SA"/>
              </w:rPr>
              <w:t>IČO:</w:t>
            </w:r>
          </w:p>
        </w:tc>
        <w:tc>
          <w:tcPr>
            <w:tcW w:w="9982" w:type="dxa"/>
            <w:gridSpan w:val="7"/>
            <w:tcBorders>
              <w:top w:val="single" w:sz="4" w:space="0" w:color="auto"/>
              <w:left w:val="single" w:sz="4" w:space="0" w:color="auto"/>
              <w:bottom w:val="single" w:sz="4" w:space="0" w:color="auto"/>
              <w:right w:val="single" w:sz="4" w:space="0" w:color="auto"/>
            </w:tcBorders>
            <w:shd w:val="clear" w:color="000000" w:fill="FFFFA7"/>
            <w:noWrap/>
            <w:vAlign w:val="bottom"/>
            <w:hideMark/>
          </w:tcPr>
          <w:p>
            <w:pPr>
              <w:jc w:val="center"/>
              <w:rPr>
                <w:rFonts w:ascii="Calibri" w:hAnsi="Calibri" w:cs="Calibri"/>
                <w:lang w:eastAsia="cs-CZ" w:bidi="ar-SA"/>
              </w:rPr>
            </w:pPr>
            <w:r>
              <w:rPr>
                <w:rFonts w:ascii="Calibri" w:hAnsi="Calibri" w:cs="Calibri"/>
                <w:szCs w:val="22"/>
                <w:lang w:eastAsia="cs-CZ" w:bidi="ar-SA"/>
              </w:rPr>
              <w:t>64942503</w:t>
            </w:r>
          </w:p>
        </w:tc>
        <w:tc>
          <w:tcPr>
            <w:tcW w:w="2054" w:type="dxa"/>
            <w:tcBorders>
              <w:top w:val="nil"/>
              <w:left w:val="nil"/>
              <w:bottom w:val="nil"/>
              <w:right w:val="nil"/>
            </w:tcBorders>
            <w:shd w:val="clear" w:color="auto" w:fill="auto"/>
            <w:noWrap/>
            <w:vAlign w:val="bottom"/>
            <w:hideMark/>
          </w:tcPr>
          <w:p>
            <w:pPr>
              <w:rPr>
                <w:rFonts w:ascii="Calibri" w:hAnsi="Calibri" w:cs="Calibri"/>
                <w:color w:val="000000"/>
                <w:lang w:eastAsia="cs-CZ" w:bidi="ar-SA"/>
              </w:rPr>
            </w:pPr>
          </w:p>
        </w:tc>
      </w:tr>
      <w:tr>
        <w:trPr>
          <w:trHeight w:val="144"/>
        </w:trPr>
        <w:tc>
          <w:tcPr>
            <w:tcW w:w="14165" w:type="dxa"/>
            <w:gridSpan w:val="9"/>
            <w:tcBorders>
              <w:top w:val="nil"/>
              <w:left w:val="nil"/>
              <w:bottom w:val="nil"/>
              <w:right w:val="nil"/>
            </w:tcBorders>
            <w:shd w:val="clear" w:color="auto" w:fill="auto"/>
            <w:vAlign w:val="bottom"/>
            <w:hideMark/>
          </w:tcPr>
          <w:p>
            <w:pPr>
              <w:rPr>
                <w:rFonts w:ascii="Calibri" w:hAnsi="Calibri" w:cs="Calibri"/>
                <w:i/>
                <w:iCs/>
                <w:color w:val="FF0000"/>
                <w:lang w:eastAsia="cs-CZ" w:bidi="ar-SA"/>
              </w:rPr>
            </w:pPr>
            <w:r>
              <w:rPr>
                <w:rFonts w:ascii="Calibri" w:hAnsi="Calibri" w:cs="Calibri"/>
                <w:i/>
                <w:iCs/>
                <w:color w:val="FF0000"/>
                <w:szCs w:val="22"/>
                <w:lang w:eastAsia="cs-CZ" w:bidi="ar-SA"/>
              </w:rPr>
              <w:t>Celkovou nabídkovou cenu je účastník povinen ve shodě doplnit do krycího listu nabídky a nabídkového formuláře v elektronickém nástroji</w:t>
            </w:r>
          </w:p>
        </w:tc>
      </w:tr>
      <w:tr>
        <w:trPr>
          <w:trHeight w:val="300"/>
        </w:trPr>
        <w:tc>
          <w:tcPr>
            <w:tcW w:w="7359" w:type="dxa"/>
            <w:gridSpan w:val="5"/>
            <w:tcBorders>
              <w:top w:val="nil"/>
              <w:left w:val="nil"/>
              <w:bottom w:val="nil"/>
              <w:right w:val="nil"/>
            </w:tcBorders>
            <w:shd w:val="clear" w:color="auto" w:fill="auto"/>
            <w:noWrap/>
            <w:vAlign w:val="bottom"/>
            <w:hideMark/>
          </w:tcPr>
          <w:p>
            <w:pPr>
              <w:rPr>
                <w:rFonts w:ascii="Calibri" w:hAnsi="Calibri" w:cs="Calibri"/>
                <w:i/>
                <w:iCs/>
                <w:color w:val="FF0000"/>
                <w:lang w:eastAsia="cs-CZ" w:bidi="ar-SA"/>
              </w:rPr>
            </w:pPr>
            <w:r>
              <w:rPr>
                <w:rFonts w:ascii="Calibri" w:hAnsi="Calibri" w:cs="Calibri"/>
                <w:i/>
                <w:iCs/>
                <w:color w:val="FF0000"/>
                <w:szCs w:val="22"/>
                <w:lang w:eastAsia="cs-CZ" w:bidi="ar-SA"/>
              </w:rPr>
              <w:t xml:space="preserve">Účastník je povinen vyplnit pouze žlutě vyznačená pole tabulky </w:t>
            </w:r>
          </w:p>
        </w:tc>
        <w:tc>
          <w:tcPr>
            <w:tcW w:w="1386" w:type="dxa"/>
            <w:tcBorders>
              <w:top w:val="nil"/>
              <w:left w:val="nil"/>
              <w:bottom w:val="nil"/>
              <w:right w:val="nil"/>
            </w:tcBorders>
            <w:shd w:val="clear" w:color="auto" w:fill="auto"/>
            <w:noWrap/>
            <w:vAlign w:val="center"/>
            <w:hideMark/>
          </w:tcPr>
          <w:p>
            <w:pPr>
              <w:jc w:val="center"/>
              <w:rPr>
                <w:rFonts w:ascii="Calibri" w:hAnsi="Calibri" w:cs="Calibri"/>
                <w:color w:val="FF0000"/>
                <w:lang w:eastAsia="cs-CZ" w:bidi="ar-SA"/>
              </w:rPr>
            </w:pPr>
          </w:p>
        </w:tc>
        <w:tc>
          <w:tcPr>
            <w:tcW w:w="1312" w:type="dxa"/>
            <w:tcBorders>
              <w:top w:val="nil"/>
              <w:left w:val="nil"/>
              <w:bottom w:val="nil"/>
              <w:right w:val="nil"/>
            </w:tcBorders>
            <w:shd w:val="clear" w:color="auto" w:fill="auto"/>
            <w:noWrap/>
            <w:vAlign w:val="center"/>
            <w:hideMark/>
          </w:tcPr>
          <w:p>
            <w:pPr>
              <w:jc w:val="center"/>
              <w:rPr>
                <w:rFonts w:ascii="Calibri" w:hAnsi="Calibri" w:cs="Calibri"/>
                <w:color w:val="FF0000"/>
                <w:lang w:eastAsia="cs-CZ" w:bidi="ar-SA"/>
              </w:rPr>
            </w:pPr>
          </w:p>
        </w:tc>
        <w:tc>
          <w:tcPr>
            <w:tcW w:w="2054" w:type="dxa"/>
            <w:tcBorders>
              <w:top w:val="nil"/>
              <w:left w:val="nil"/>
              <w:bottom w:val="nil"/>
              <w:right w:val="nil"/>
            </w:tcBorders>
            <w:shd w:val="clear" w:color="auto" w:fill="auto"/>
            <w:vAlign w:val="center"/>
            <w:hideMark/>
          </w:tcPr>
          <w:p>
            <w:pPr>
              <w:jc w:val="center"/>
              <w:rPr>
                <w:rFonts w:ascii="Calibri" w:hAnsi="Calibri" w:cs="Calibri"/>
                <w:color w:val="FF0000"/>
                <w:lang w:eastAsia="cs-CZ" w:bidi="ar-SA"/>
              </w:rPr>
            </w:pPr>
          </w:p>
        </w:tc>
        <w:tc>
          <w:tcPr>
            <w:tcW w:w="2054" w:type="dxa"/>
            <w:tcBorders>
              <w:top w:val="nil"/>
              <w:left w:val="nil"/>
              <w:bottom w:val="nil"/>
              <w:right w:val="nil"/>
            </w:tcBorders>
            <w:shd w:val="clear" w:color="auto" w:fill="auto"/>
            <w:noWrap/>
            <w:vAlign w:val="bottom"/>
            <w:hideMark/>
          </w:tcPr>
          <w:p>
            <w:pPr>
              <w:rPr>
                <w:rFonts w:ascii="Calibri" w:hAnsi="Calibri" w:cs="Calibri"/>
                <w:color w:val="FF0000"/>
                <w:lang w:eastAsia="cs-CZ" w:bidi="ar-SA"/>
              </w:rPr>
            </w:pPr>
          </w:p>
        </w:tc>
      </w:tr>
      <w:tr>
        <w:trPr>
          <w:trHeight w:val="601"/>
        </w:trPr>
        <w:tc>
          <w:tcPr>
            <w:tcW w:w="14165" w:type="dxa"/>
            <w:gridSpan w:val="9"/>
            <w:tcBorders>
              <w:top w:val="nil"/>
              <w:left w:val="nil"/>
              <w:bottom w:val="nil"/>
              <w:right w:val="nil"/>
            </w:tcBorders>
            <w:shd w:val="clear" w:color="auto" w:fill="auto"/>
            <w:vAlign w:val="bottom"/>
            <w:hideMark/>
          </w:tcPr>
          <w:p>
            <w:pPr>
              <w:rPr>
                <w:rFonts w:ascii="Calibri" w:hAnsi="Calibri" w:cs="Calibri"/>
                <w:i/>
                <w:iCs/>
                <w:color w:val="FF0000"/>
                <w:lang w:eastAsia="cs-CZ" w:bidi="ar-SA"/>
              </w:rPr>
            </w:pPr>
            <w:r>
              <w:rPr>
                <w:rFonts w:ascii="Calibri" w:hAnsi="Calibri" w:cs="Calibri"/>
                <w:i/>
                <w:iCs/>
                <w:color w:val="FF0000"/>
                <w:szCs w:val="22"/>
                <w:lang w:eastAsia="cs-CZ" w:bidi="ar-SA"/>
              </w:rPr>
              <w:t xml:space="preserve">Účastník do sloupce </w:t>
            </w:r>
            <w:proofErr w:type="gramStart"/>
            <w:r>
              <w:rPr>
                <w:rFonts w:ascii="Calibri" w:hAnsi="Calibri" w:cs="Calibri"/>
                <w:i/>
                <w:iCs/>
                <w:color w:val="FF0000"/>
                <w:szCs w:val="22"/>
                <w:lang w:eastAsia="cs-CZ" w:bidi="ar-SA"/>
              </w:rPr>
              <w:t>č.1 doplní</w:t>
            </w:r>
            <w:proofErr w:type="gramEnd"/>
            <w:r>
              <w:rPr>
                <w:rFonts w:ascii="Calibri" w:hAnsi="Calibri" w:cs="Calibri"/>
                <w:i/>
                <w:iCs/>
                <w:color w:val="FF0000"/>
                <w:szCs w:val="22"/>
                <w:lang w:eastAsia="cs-CZ" w:bidi="ar-SA"/>
              </w:rPr>
              <w:t xml:space="preserve"> jednotkové ceny Zboží zaokrouhlené nejvýše na dvě desetinná místa, jinak budou ceny na dvě desetinná místa zaokrouhleny automaticky a tyto zaokrouhlené ceny budou považovány za ceny nabídkové, (viz sloupec 1a).</w:t>
            </w:r>
          </w:p>
        </w:tc>
      </w:tr>
      <w:tr>
        <w:trPr>
          <w:trHeight w:val="300"/>
        </w:trPr>
        <w:tc>
          <w:tcPr>
            <w:tcW w:w="7359" w:type="dxa"/>
            <w:gridSpan w:val="5"/>
            <w:tcBorders>
              <w:top w:val="nil"/>
              <w:left w:val="nil"/>
              <w:bottom w:val="nil"/>
              <w:right w:val="nil"/>
            </w:tcBorders>
            <w:shd w:val="clear" w:color="auto" w:fill="auto"/>
            <w:noWrap/>
            <w:vAlign w:val="bottom"/>
            <w:hideMark/>
          </w:tcPr>
          <w:p>
            <w:pPr>
              <w:rPr>
                <w:rFonts w:ascii="Calibri" w:hAnsi="Calibri" w:cs="Calibri"/>
                <w:b/>
                <w:bCs/>
                <w:color w:val="000000"/>
                <w:lang w:eastAsia="cs-CZ" w:bidi="ar-SA"/>
              </w:rPr>
            </w:pPr>
            <w:r>
              <w:rPr>
                <w:rFonts w:ascii="Calibri" w:hAnsi="Calibri" w:cs="Calibri"/>
                <w:b/>
                <w:bCs/>
                <w:color w:val="000000"/>
                <w:szCs w:val="22"/>
                <w:lang w:eastAsia="cs-CZ" w:bidi="ar-SA"/>
              </w:rPr>
              <w:t>Měrnou jednotkou "MJ" se rozumí balení po 500 listech papíru</w:t>
            </w:r>
          </w:p>
        </w:tc>
        <w:tc>
          <w:tcPr>
            <w:tcW w:w="1386" w:type="dxa"/>
            <w:tcBorders>
              <w:top w:val="nil"/>
              <w:left w:val="nil"/>
              <w:bottom w:val="nil"/>
              <w:right w:val="nil"/>
            </w:tcBorders>
            <w:shd w:val="clear" w:color="auto" w:fill="auto"/>
            <w:noWrap/>
            <w:vAlign w:val="center"/>
            <w:hideMark/>
          </w:tcPr>
          <w:p>
            <w:pPr>
              <w:jc w:val="center"/>
              <w:rPr>
                <w:rFonts w:ascii="Calibri" w:hAnsi="Calibri" w:cs="Calibri"/>
                <w:b/>
                <w:bCs/>
                <w:lang w:eastAsia="cs-CZ" w:bidi="ar-SA"/>
              </w:rPr>
            </w:pPr>
          </w:p>
        </w:tc>
        <w:tc>
          <w:tcPr>
            <w:tcW w:w="1312" w:type="dxa"/>
            <w:tcBorders>
              <w:top w:val="nil"/>
              <w:left w:val="nil"/>
              <w:bottom w:val="nil"/>
              <w:right w:val="nil"/>
            </w:tcBorders>
            <w:shd w:val="clear" w:color="auto" w:fill="auto"/>
            <w:noWrap/>
            <w:vAlign w:val="center"/>
            <w:hideMark/>
          </w:tcPr>
          <w:p>
            <w:pPr>
              <w:jc w:val="center"/>
              <w:rPr>
                <w:rFonts w:ascii="Calibri" w:hAnsi="Calibri" w:cs="Calibri"/>
                <w:lang w:eastAsia="cs-CZ" w:bidi="ar-SA"/>
              </w:rPr>
            </w:pPr>
          </w:p>
        </w:tc>
        <w:tc>
          <w:tcPr>
            <w:tcW w:w="2054" w:type="dxa"/>
            <w:tcBorders>
              <w:top w:val="nil"/>
              <w:left w:val="nil"/>
              <w:bottom w:val="nil"/>
              <w:right w:val="nil"/>
            </w:tcBorders>
            <w:shd w:val="clear" w:color="auto" w:fill="auto"/>
            <w:noWrap/>
            <w:vAlign w:val="center"/>
            <w:hideMark/>
          </w:tcPr>
          <w:p>
            <w:pPr>
              <w:jc w:val="center"/>
              <w:rPr>
                <w:rFonts w:ascii="Calibri" w:hAnsi="Calibri" w:cs="Calibri"/>
                <w:lang w:eastAsia="cs-CZ" w:bidi="ar-SA"/>
              </w:rPr>
            </w:pPr>
          </w:p>
        </w:tc>
        <w:tc>
          <w:tcPr>
            <w:tcW w:w="2054" w:type="dxa"/>
            <w:tcBorders>
              <w:top w:val="nil"/>
              <w:left w:val="nil"/>
              <w:bottom w:val="nil"/>
              <w:right w:val="nil"/>
            </w:tcBorders>
            <w:shd w:val="clear" w:color="auto" w:fill="auto"/>
            <w:noWrap/>
            <w:vAlign w:val="bottom"/>
            <w:hideMark/>
          </w:tcPr>
          <w:p>
            <w:pPr>
              <w:rPr>
                <w:rFonts w:ascii="Calibri" w:hAnsi="Calibri" w:cs="Calibri"/>
                <w:color w:val="000000"/>
                <w:lang w:eastAsia="cs-CZ" w:bidi="ar-SA"/>
              </w:rPr>
            </w:pPr>
          </w:p>
        </w:tc>
      </w:tr>
      <w:tr>
        <w:trPr>
          <w:trHeight w:val="300"/>
        </w:trPr>
        <w:tc>
          <w:tcPr>
            <w:tcW w:w="2129" w:type="dxa"/>
            <w:tcBorders>
              <w:top w:val="single" w:sz="4" w:space="0" w:color="auto"/>
              <w:left w:val="single" w:sz="4" w:space="0" w:color="auto"/>
              <w:bottom w:val="single" w:sz="4" w:space="0" w:color="auto"/>
              <w:right w:val="single" w:sz="4" w:space="0" w:color="auto"/>
            </w:tcBorders>
            <w:shd w:val="clear" w:color="auto" w:fill="auto"/>
            <w:vAlign w:val="bottom"/>
            <w:hideMark/>
          </w:tcPr>
          <w:p>
            <w:pPr>
              <w:rPr>
                <w:rFonts w:ascii="Calibri" w:hAnsi="Calibri" w:cs="Calibri"/>
                <w:color w:val="000000"/>
                <w:lang w:eastAsia="cs-CZ" w:bidi="ar-SA"/>
              </w:rPr>
            </w:pPr>
            <w:r>
              <w:rPr>
                <w:rFonts w:ascii="Calibri" w:hAnsi="Calibri" w:cs="Calibri"/>
                <w:color w:val="000000"/>
                <w:szCs w:val="22"/>
                <w:lang w:eastAsia="cs-CZ" w:bidi="ar-SA"/>
              </w:rPr>
              <w:t> </w:t>
            </w:r>
          </w:p>
        </w:tc>
        <w:tc>
          <w:tcPr>
            <w:tcW w:w="948"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Calibri" w:hAnsi="Calibri" w:cs="Calibri"/>
                <w:lang w:eastAsia="cs-CZ" w:bidi="ar-SA"/>
              </w:rPr>
            </w:pPr>
            <w:r>
              <w:rPr>
                <w:rFonts w:ascii="Calibri" w:hAnsi="Calibri" w:cs="Calibri"/>
                <w:szCs w:val="22"/>
                <w:lang w:eastAsia="cs-CZ" w:bidi="ar-SA"/>
              </w:rPr>
              <w:t> </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Calibri" w:hAnsi="Calibri" w:cs="Calibri"/>
                <w:lang w:eastAsia="cs-CZ" w:bidi="ar-SA"/>
              </w:rPr>
            </w:pPr>
            <w:r>
              <w:rPr>
                <w:rFonts w:ascii="Calibri" w:hAnsi="Calibri" w:cs="Calibri"/>
                <w:szCs w:val="22"/>
                <w:lang w:eastAsia="cs-CZ" w:bidi="ar-SA"/>
              </w:rPr>
              <w:t> </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Calibri" w:hAnsi="Calibri" w:cs="Calibri"/>
                <w:lang w:eastAsia="cs-CZ" w:bidi="ar-SA"/>
              </w:rPr>
            </w:pPr>
            <w:r>
              <w:rPr>
                <w:rFonts w:ascii="Calibri" w:hAnsi="Calibri" w:cs="Calibri"/>
                <w:szCs w:val="22"/>
                <w:lang w:eastAsia="cs-CZ" w:bidi="ar-SA"/>
              </w:rPr>
              <w:t>1</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Calibri" w:hAnsi="Calibri" w:cs="Calibri"/>
                <w:lang w:eastAsia="cs-CZ" w:bidi="ar-SA"/>
              </w:rPr>
            </w:pPr>
            <w:r>
              <w:rPr>
                <w:rFonts w:ascii="Calibri" w:hAnsi="Calibri" w:cs="Calibri"/>
                <w:szCs w:val="22"/>
                <w:lang w:eastAsia="cs-CZ" w:bidi="ar-SA"/>
              </w:rPr>
              <w:t>1a</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Calibri" w:hAnsi="Calibri" w:cs="Calibri"/>
                <w:lang w:eastAsia="cs-CZ" w:bidi="ar-SA"/>
              </w:rPr>
            </w:pPr>
            <w:r>
              <w:rPr>
                <w:rFonts w:ascii="Calibri" w:hAnsi="Calibri" w:cs="Calibri"/>
                <w:szCs w:val="22"/>
                <w:lang w:eastAsia="cs-CZ" w:bidi="ar-SA"/>
              </w:rPr>
              <w:t>2</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Calibri" w:hAnsi="Calibri" w:cs="Calibri"/>
                <w:lang w:eastAsia="cs-CZ" w:bidi="ar-SA"/>
              </w:rPr>
            </w:pPr>
            <w:r>
              <w:rPr>
                <w:rFonts w:ascii="Calibri" w:hAnsi="Calibri" w:cs="Calibri"/>
                <w:szCs w:val="22"/>
                <w:lang w:eastAsia="cs-CZ" w:bidi="ar-SA"/>
              </w:rPr>
              <w:t>3</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Calibri" w:hAnsi="Calibri" w:cs="Calibri"/>
                <w:lang w:eastAsia="cs-CZ" w:bidi="ar-SA"/>
              </w:rPr>
            </w:pPr>
            <w:r>
              <w:rPr>
                <w:rFonts w:ascii="Calibri" w:hAnsi="Calibri" w:cs="Calibri"/>
                <w:szCs w:val="22"/>
                <w:lang w:eastAsia="cs-CZ" w:bidi="ar-SA"/>
              </w:rPr>
              <w:t>4</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Calibri" w:hAnsi="Calibri" w:cs="Calibri"/>
                <w:color w:val="000000"/>
                <w:lang w:eastAsia="cs-CZ" w:bidi="ar-SA"/>
              </w:rPr>
            </w:pPr>
            <w:r>
              <w:rPr>
                <w:rFonts w:ascii="Calibri" w:hAnsi="Calibri" w:cs="Calibri"/>
                <w:color w:val="000000"/>
                <w:szCs w:val="22"/>
                <w:lang w:eastAsia="cs-CZ" w:bidi="ar-SA"/>
              </w:rPr>
              <w:t>5</w:t>
            </w:r>
          </w:p>
        </w:tc>
      </w:tr>
      <w:tr>
        <w:trPr>
          <w:trHeight w:val="901"/>
        </w:trPr>
        <w:tc>
          <w:tcPr>
            <w:tcW w:w="212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Calibri" w:hAnsi="Calibri" w:cs="Calibri"/>
                <w:b/>
                <w:bCs/>
                <w:color w:val="000000"/>
                <w:lang w:eastAsia="cs-CZ" w:bidi="ar-SA"/>
              </w:rPr>
            </w:pPr>
            <w:r>
              <w:rPr>
                <w:rFonts w:ascii="Calibri" w:hAnsi="Calibri" w:cs="Calibri"/>
                <w:b/>
                <w:bCs/>
                <w:color w:val="000000"/>
                <w:szCs w:val="22"/>
                <w:lang w:eastAsia="cs-CZ" w:bidi="ar-SA"/>
              </w:rPr>
              <w:t>Název</w:t>
            </w:r>
          </w:p>
        </w:tc>
        <w:tc>
          <w:tcPr>
            <w:tcW w:w="948" w:type="dxa"/>
            <w:tcBorders>
              <w:top w:val="nil"/>
              <w:left w:val="nil"/>
              <w:bottom w:val="single" w:sz="4" w:space="0" w:color="auto"/>
              <w:right w:val="single" w:sz="4" w:space="0" w:color="auto"/>
            </w:tcBorders>
            <w:shd w:val="clear" w:color="000000" w:fill="F2F2F2"/>
            <w:vAlign w:val="center"/>
            <w:hideMark/>
          </w:tcPr>
          <w:p>
            <w:pPr>
              <w:jc w:val="center"/>
              <w:rPr>
                <w:rFonts w:ascii="Calibri" w:hAnsi="Calibri" w:cs="Calibri"/>
                <w:b/>
                <w:bCs/>
                <w:lang w:eastAsia="cs-CZ" w:bidi="ar-SA"/>
              </w:rPr>
            </w:pPr>
            <w:r>
              <w:rPr>
                <w:rFonts w:ascii="Calibri" w:hAnsi="Calibri" w:cs="Calibri"/>
                <w:b/>
                <w:bCs/>
                <w:szCs w:val="22"/>
                <w:lang w:eastAsia="cs-CZ" w:bidi="ar-SA"/>
              </w:rPr>
              <w:t>Kvalita</w:t>
            </w:r>
          </w:p>
        </w:tc>
        <w:tc>
          <w:tcPr>
            <w:tcW w:w="1510" w:type="dxa"/>
            <w:tcBorders>
              <w:top w:val="nil"/>
              <w:left w:val="nil"/>
              <w:bottom w:val="single" w:sz="4" w:space="0" w:color="auto"/>
              <w:right w:val="single" w:sz="4" w:space="0" w:color="auto"/>
            </w:tcBorders>
            <w:shd w:val="clear" w:color="000000" w:fill="F2F2F2"/>
            <w:vAlign w:val="center"/>
            <w:hideMark/>
          </w:tcPr>
          <w:p>
            <w:pPr>
              <w:jc w:val="center"/>
              <w:rPr>
                <w:rFonts w:ascii="Calibri" w:hAnsi="Calibri" w:cs="Calibri"/>
                <w:b/>
                <w:bCs/>
                <w:lang w:eastAsia="cs-CZ" w:bidi="ar-SA"/>
              </w:rPr>
            </w:pPr>
            <w:proofErr w:type="spellStart"/>
            <w:r>
              <w:rPr>
                <w:rFonts w:ascii="Calibri" w:hAnsi="Calibri" w:cs="Calibri"/>
                <w:b/>
                <w:bCs/>
                <w:szCs w:val="22"/>
                <w:lang w:eastAsia="cs-CZ" w:bidi="ar-SA"/>
              </w:rPr>
              <w:t>předpoklá</w:t>
            </w:r>
            <w:proofErr w:type="spellEnd"/>
            <w:r>
              <w:rPr>
                <w:rFonts w:ascii="Calibri" w:hAnsi="Calibri" w:cs="Calibri"/>
                <w:b/>
                <w:bCs/>
                <w:szCs w:val="22"/>
                <w:lang w:eastAsia="cs-CZ" w:bidi="ar-SA"/>
              </w:rPr>
              <w:t>-daný počet MJ za 2 roky</w:t>
            </w:r>
          </w:p>
        </w:tc>
        <w:tc>
          <w:tcPr>
            <w:tcW w:w="1386" w:type="dxa"/>
            <w:tcBorders>
              <w:top w:val="nil"/>
              <w:left w:val="nil"/>
              <w:bottom w:val="single" w:sz="4" w:space="0" w:color="auto"/>
              <w:right w:val="single" w:sz="4" w:space="0" w:color="auto"/>
            </w:tcBorders>
            <w:shd w:val="clear" w:color="000000" w:fill="F2F2F2"/>
            <w:vAlign w:val="center"/>
            <w:hideMark/>
          </w:tcPr>
          <w:p>
            <w:pPr>
              <w:jc w:val="center"/>
              <w:rPr>
                <w:rFonts w:ascii="Calibri" w:hAnsi="Calibri" w:cs="Calibri"/>
                <w:b/>
                <w:bCs/>
                <w:lang w:eastAsia="cs-CZ" w:bidi="ar-SA"/>
              </w:rPr>
            </w:pPr>
            <w:r>
              <w:rPr>
                <w:rFonts w:ascii="Calibri" w:hAnsi="Calibri" w:cs="Calibri"/>
                <w:b/>
                <w:bCs/>
                <w:szCs w:val="22"/>
                <w:lang w:eastAsia="cs-CZ" w:bidi="ar-SA"/>
              </w:rPr>
              <w:t>Cena za MJ</w:t>
            </w:r>
            <w:r>
              <w:rPr>
                <w:rFonts w:ascii="Calibri" w:hAnsi="Calibri" w:cs="Calibri"/>
                <w:b/>
                <w:bCs/>
                <w:szCs w:val="22"/>
                <w:lang w:eastAsia="cs-CZ" w:bidi="ar-SA"/>
              </w:rPr>
              <w:br/>
              <w:t>bez DPH</w:t>
            </w:r>
            <w:r>
              <w:rPr>
                <w:rFonts w:ascii="Calibri" w:hAnsi="Calibri" w:cs="Calibri"/>
                <w:b/>
                <w:bCs/>
                <w:szCs w:val="22"/>
                <w:lang w:eastAsia="cs-CZ" w:bidi="ar-SA"/>
              </w:rPr>
              <w:br/>
              <w:t>(v Kč)</w:t>
            </w:r>
          </w:p>
        </w:tc>
        <w:tc>
          <w:tcPr>
            <w:tcW w:w="1386" w:type="dxa"/>
            <w:tcBorders>
              <w:top w:val="nil"/>
              <w:left w:val="nil"/>
              <w:bottom w:val="single" w:sz="4" w:space="0" w:color="auto"/>
              <w:right w:val="single" w:sz="4" w:space="0" w:color="auto"/>
            </w:tcBorders>
            <w:shd w:val="clear" w:color="000000" w:fill="F2F2F2"/>
            <w:vAlign w:val="center"/>
            <w:hideMark/>
          </w:tcPr>
          <w:p>
            <w:pPr>
              <w:jc w:val="center"/>
              <w:rPr>
                <w:rFonts w:ascii="Calibri" w:hAnsi="Calibri" w:cs="Calibri"/>
                <w:b/>
                <w:bCs/>
                <w:lang w:eastAsia="cs-CZ" w:bidi="ar-SA"/>
              </w:rPr>
            </w:pPr>
            <w:r>
              <w:rPr>
                <w:rFonts w:ascii="Calibri" w:hAnsi="Calibri" w:cs="Calibri"/>
                <w:b/>
                <w:bCs/>
                <w:szCs w:val="22"/>
                <w:lang w:eastAsia="cs-CZ" w:bidi="ar-SA"/>
              </w:rPr>
              <w:t>Cena za MJ</w:t>
            </w:r>
            <w:r>
              <w:rPr>
                <w:rFonts w:ascii="Calibri" w:hAnsi="Calibri" w:cs="Calibri"/>
                <w:b/>
                <w:bCs/>
                <w:szCs w:val="22"/>
                <w:lang w:eastAsia="cs-CZ" w:bidi="ar-SA"/>
              </w:rPr>
              <w:br/>
              <w:t>bez DPH</w:t>
            </w:r>
            <w:r>
              <w:rPr>
                <w:rFonts w:ascii="Calibri" w:hAnsi="Calibri" w:cs="Calibri"/>
                <w:b/>
                <w:bCs/>
                <w:szCs w:val="22"/>
                <w:lang w:eastAsia="cs-CZ" w:bidi="ar-SA"/>
              </w:rPr>
              <w:br/>
              <w:t>(v Kč)</w:t>
            </w:r>
          </w:p>
        </w:tc>
        <w:tc>
          <w:tcPr>
            <w:tcW w:w="1386" w:type="dxa"/>
            <w:tcBorders>
              <w:top w:val="nil"/>
              <w:left w:val="nil"/>
              <w:bottom w:val="single" w:sz="4" w:space="0" w:color="auto"/>
              <w:right w:val="single" w:sz="4" w:space="0" w:color="auto"/>
            </w:tcBorders>
            <w:shd w:val="clear" w:color="000000" w:fill="F2F2F2"/>
            <w:vAlign w:val="center"/>
            <w:hideMark/>
          </w:tcPr>
          <w:p>
            <w:pPr>
              <w:jc w:val="center"/>
              <w:rPr>
                <w:rFonts w:ascii="Calibri" w:hAnsi="Calibri" w:cs="Calibri"/>
                <w:b/>
                <w:bCs/>
                <w:lang w:eastAsia="cs-CZ" w:bidi="ar-SA"/>
              </w:rPr>
            </w:pPr>
            <w:r>
              <w:rPr>
                <w:rFonts w:ascii="Calibri" w:hAnsi="Calibri" w:cs="Calibri"/>
                <w:b/>
                <w:bCs/>
                <w:szCs w:val="22"/>
                <w:lang w:eastAsia="cs-CZ" w:bidi="ar-SA"/>
              </w:rPr>
              <w:t>Cena za MJ</w:t>
            </w:r>
            <w:r>
              <w:rPr>
                <w:rFonts w:ascii="Calibri" w:hAnsi="Calibri" w:cs="Calibri"/>
                <w:b/>
                <w:bCs/>
                <w:szCs w:val="22"/>
                <w:lang w:eastAsia="cs-CZ" w:bidi="ar-SA"/>
              </w:rPr>
              <w:br/>
              <w:t xml:space="preserve">s DPH </w:t>
            </w:r>
            <w:r>
              <w:rPr>
                <w:rFonts w:ascii="Calibri" w:hAnsi="Calibri" w:cs="Calibri"/>
                <w:b/>
                <w:bCs/>
                <w:szCs w:val="22"/>
                <w:lang w:eastAsia="cs-CZ" w:bidi="ar-SA"/>
              </w:rPr>
              <w:br/>
              <w:t>(v Kč)</w:t>
            </w:r>
          </w:p>
        </w:tc>
        <w:tc>
          <w:tcPr>
            <w:tcW w:w="1312" w:type="dxa"/>
            <w:tcBorders>
              <w:top w:val="nil"/>
              <w:left w:val="nil"/>
              <w:bottom w:val="single" w:sz="4" w:space="0" w:color="auto"/>
              <w:right w:val="single" w:sz="4" w:space="0" w:color="auto"/>
            </w:tcBorders>
            <w:shd w:val="clear" w:color="000000" w:fill="F2F2F2"/>
            <w:vAlign w:val="center"/>
            <w:hideMark/>
          </w:tcPr>
          <w:p>
            <w:pPr>
              <w:jc w:val="center"/>
              <w:rPr>
                <w:rFonts w:ascii="Calibri" w:hAnsi="Calibri" w:cs="Calibri"/>
                <w:b/>
                <w:bCs/>
                <w:lang w:eastAsia="cs-CZ" w:bidi="ar-SA"/>
              </w:rPr>
            </w:pPr>
            <w:r>
              <w:rPr>
                <w:rFonts w:ascii="Calibri" w:hAnsi="Calibri" w:cs="Calibri"/>
                <w:b/>
                <w:bCs/>
                <w:szCs w:val="22"/>
                <w:lang w:eastAsia="cs-CZ" w:bidi="ar-SA"/>
              </w:rPr>
              <w:t>DPH za MJ</w:t>
            </w:r>
            <w:r>
              <w:rPr>
                <w:rFonts w:ascii="Calibri" w:hAnsi="Calibri" w:cs="Calibri"/>
                <w:b/>
                <w:bCs/>
                <w:szCs w:val="22"/>
                <w:lang w:eastAsia="cs-CZ" w:bidi="ar-SA"/>
              </w:rPr>
              <w:br/>
              <w:t>(v Kč)</w:t>
            </w:r>
          </w:p>
        </w:tc>
        <w:tc>
          <w:tcPr>
            <w:tcW w:w="2054" w:type="dxa"/>
            <w:tcBorders>
              <w:top w:val="nil"/>
              <w:left w:val="nil"/>
              <w:bottom w:val="single" w:sz="4" w:space="0" w:color="auto"/>
              <w:right w:val="single" w:sz="4" w:space="0" w:color="auto"/>
            </w:tcBorders>
            <w:shd w:val="clear" w:color="000000" w:fill="F2F2F2"/>
            <w:vAlign w:val="center"/>
            <w:hideMark/>
          </w:tcPr>
          <w:p>
            <w:pPr>
              <w:jc w:val="center"/>
              <w:rPr>
                <w:rFonts w:ascii="Calibri" w:hAnsi="Calibri" w:cs="Calibri"/>
                <w:b/>
                <w:bCs/>
                <w:lang w:eastAsia="cs-CZ" w:bidi="ar-SA"/>
              </w:rPr>
            </w:pPr>
            <w:r>
              <w:rPr>
                <w:rFonts w:ascii="Calibri" w:hAnsi="Calibri" w:cs="Calibri"/>
                <w:b/>
                <w:bCs/>
                <w:szCs w:val="22"/>
                <w:lang w:eastAsia="cs-CZ" w:bidi="ar-SA"/>
              </w:rPr>
              <w:t xml:space="preserve">Cena celkem </w:t>
            </w:r>
            <w:r>
              <w:rPr>
                <w:rFonts w:ascii="Calibri" w:hAnsi="Calibri" w:cs="Calibri"/>
                <w:b/>
                <w:bCs/>
                <w:szCs w:val="22"/>
                <w:lang w:eastAsia="cs-CZ" w:bidi="ar-SA"/>
              </w:rPr>
              <w:br/>
              <w:t>bez DPH</w:t>
            </w:r>
          </w:p>
        </w:tc>
        <w:tc>
          <w:tcPr>
            <w:tcW w:w="2054" w:type="dxa"/>
            <w:tcBorders>
              <w:top w:val="nil"/>
              <w:left w:val="nil"/>
              <w:bottom w:val="single" w:sz="4" w:space="0" w:color="auto"/>
              <w:right w:val="single" w:sz="4" w:space="0" w:color="auto"/>
            </w:tcBorders>
            <w:shd w:val="clear" w:color="000000" w:fill="F2F2F2"/>
            <w:vAlign w:val="center"/>
            <w:hideMark/>
          </w:tcPr>
          <w:p>
            <w:pPr>
              <w:jc w:val="center"/>
              <w:rPr>
                <w:rFonts w:ascii="Calibri" w:hAnsi="Calibri" w:cs="Calibri"/>
                <w:b/>
                <w:bCs/>
                <w:lang w:eastAsia="cs-CZ" w:bidi="ar-SA"/>
              </w:rPr>
            </w:pPr>
            <w:r>
              <w:rPr>
                <w:rFonts w:ascii="Calibri" w:hAnsi="Calibri" w:cs="Calibri"/>
                <w:b/>
                <w:bCs/>
                <w:szCs w:val="22"/>
                <w:lang w:eastAsia="cs-CZ" w:bidi="ar-SA"/>
              </w:rPr>
              <w:t xml:space="preserve">Cena celkem </w:t>
            </w:r>
            <w:r>
              <w:rPr>
                <w:rFonts w:ascii="Calibri" w:hAnsi="Calibri" w:cs="Calibri"/>
                <w:b/>
                <w:bCs/>
                <w:szCs w:val="22"/>
                <w:lang w:eastAsia="cs-CZ" w:bidi="ar-SA"/>
              </w:rPr>
              <w:br/>
              <w:t>s DPH</w:t>
            </w:r>
          </w:p>
        </w:tc>
      </w:tr>
      <w:tr>
        <w:trPr>
          <w:trHeight w:val="375"/>
        </w:trPr>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pPr>
              <w:rPr>
                <w:rFonts w:ascii="Calibri" w:hAnsi="Calibri" w:cs="Calibri"/>
                <w:b/>
                <w:bCs/>
                <w:lang w:eastAsia="cs-CZ" w:bidi="ar-SA"/>
              </w:rPr>
            </w:pPr>
            <w:r>
              <w:rPr>
                <w:rFonts w:ascii="Calibri" w:hAnsi="Calibri" w:cs="Calibri"/>
                <w:b/>
                <w:bCs/>
                <w:szCs w:val="22"/>
                <w:lang w:eastAsia="cs-CZ" w:bidi="ar-SA"/>
              </w:rPr>
              <w:t>Papír formátu A4</w:t>
            </w:r>
          </w:p>
        </w:tc>
        <w:tc>
          <w:tcPr>
            <w:tcW w:w="948" w:type="dxa"/>
            <w:tcBorders>
              <w:top w:val="nil"/>
              <w:left w:val="nil"/>
              <w:bottom w:val="single" w:sz="4" w:space="0" w:color="auto"/>
              <w:right w:val="single" w:sz="4" w:space="0" w:color="auto"/>
            </w:tcBorders>
            <w:shd w:val="clear" w:color="auto" w:fill="auto"/>
            <w:vAlign w:val="center"/>
            <w:hideMark/>
          </w:tcPr>
          <w:p>
            <w:pPr>
              <w:jc w:val="center"/>
              <w:rPr>
                <w:rFonts w:ascii="Calibri" w:hAnsi="Calibri" w:cs="Calibri"/>
                <w:lang w:eastAsia="cs-CZ" w:bidi="ar-SA"/>
              </w:rPr>
            </w:pPr>
            <w:r>
              <w:rPr>
                <w:rFonts w:ascii="Calibri" w:hAnsi="Calibri" w:cs="Calibri"/>
                <w:szCs w:val="22"/>
                <w:lang w:eastAsia="cs-CZ" w:bidi="ar-SA"/>
              </w:rPr>
              <w:t>A</w:t>
            </w:r>
          </w:p>
        </w:tc>
        <w:tc>
          <w:tcPr>
            <w:tcW w:w="1510" w:type="dxa"/>
            <w:tcBorders>
              <w:top w:val="nil"/>
              <w:left w:val="nil"/>
              <w:bottom w:val="single" w:sz="4" w:space="0" w:color="auto"/>
              <w:right w:val="single" w:sz="4" w:space="0" w:color="auto"/>
            </w:tcBorders>
            <w:shd w:val="clear" w:color="auto" w:fill="auto"/>
            <w:vAlign w:val="center"/>
            <w:hideMark/>
          </w:tcPr>
          <w:p>
            <w:pPr>
              <w:jc w:val="center"/>
              <w:rPr>
                <w:rFonts w:ascii="Calibri" w:hAnsi="Calibri" w:cs="Calibri"/>
                <w:lang w:eastAsia="cs-CZ" w:bidi="ar-SA"/>
              </w:rPr>
            </w:pPr>
            <w:r>
              <w:rPr>
                <w:rFonts w:ascii="Calibri" w:hAnsi="Calibri" w:cs="Calibri"/>
                <w:szCs w:val="22"/>
                <w:lang w:eastAsia="cs-CZ" w:bidi="ar-SA"/>
              </w:rPr>
              <w:t xml:space="preserve">        43 000    </w:t>
            </w:r>
          </w:p>
        </w:tc>
        <w:tc>
          <w:tcPr>
            <w:tcW w:w="1386" w:type="dxa"/>
            <w:tcBorders>
              <w:top w:val="nil"/>
              <w:left w:val="nil"/>
              <w:bottom w:val="single" w:sz="4" w:space="0" w:color="auto"/>
              <w:right w:val="single" w:sz="4" w:space="0" w:color="auto"/>
            </w:tcBorders>
            <w:shd w:val="clear" w:color="000000" w:fill="FFFFA7"/>
            <w:vAlign w:val="center"/>
            <w:hideMark/>
          </w:tcPr>
          <w:p>
            <w:pPr>
              <w:jc w:val="center"/>
              <w:rPr>
                <w:rFonts w:ascii="Calibri" w:hAnsi="Calibri" w:cs="Calibri"/>
                <w:lang w:eastAsia="cs-CZ" w:bidi="ar-SA"/>
              </w:rPr>
            </w:pPr>
            <w:r>
              <w:rPr>
                <w:rFonts w:ascii="Calibri" w:hAnsi="Calibri" w:cs="Calibri"/>
                <w:szCs w:val="22"/>
                <w:lang w:eastAsia="cs-CZ" w:bidi="ar-SA"/>
              </w:rPr>
              <w:t>65,30 Kč</w:t>
            </w:r>
          </w:p>
        </w:tc>
        <w:tc>
          <w:tcPr>
            <w:tcW w:w="1386" w:type="dxa"/>
            <w:tcBorders>
              <w:top w:val="nil"/>
              <w:left w:val="nil"/>
              <w:bottom w:val="single" w:sz="4" w:space="0" w:color="auto"/>
              <w:right w:val="single" w:sz="4" w:space="0" w:color="auto"/>
            </w:tcBorders>
            <w:shd w:val="clear" w:color="000000" w:fill="F2F2F2"/>
            <w:vAlign w:val="center"/>
            <w:hideMark/>
          </w:tcPr>
          <w:p>
            <w:pPr>
              <w:jc w:val="center"/>
              <w:rPr>
                <w:rFonts w:ascii="Calibri" w:hAnsi="Calibri" w:cs="Calibri"/>
                <w:lang w:eastAsia="cs-CZ" w:bidi="ar-SA"/>
              </w:rPr>
            </w:pPr>
            <w:r>
              <w:rPr>
                <w:rFonts w:ascii="Calibri" w:hAnsi="Calibri" w:cs="Calibri"/>
                <w:szCs w:val="22"/>
                <w:lang w:eastAsia="cs-CZ" w:bidi="ar-SA"/>
              </w:rPr>
              <w:t xml:space="preserve">        65,30    </w:t>
            </w:r>
          </w:p>
        </w:tc>
        <w:tc>
          <w:tcPr>
            <w:tcW w:w="1386" w:type="dxa"/>
            <w:tcBorders>
              <w:top w:val="nil"/>
              <w:left w:val="nil"/>
              <w:bottom w:val="single" w:sz="4" w:space="0" w:color="auto"/>
              <w:right w:val="single" w:sz="4" w:space="0" w:color="auto"/>
            </w:tcBorders>
            <w:shd w:val="clear" w:color="auto" w:fill="auto"/>
            <w:vAlign w:val="center"/>
            <w:hideMark/>
          </w:tcPr>
          <w:p>
            <w:pPr>
              <w:jc w:val="center"/>
              <w:rPr>
                <w:rFonts w:ascii="Calibri" w:hAnsi="Calibri" w:cs="Calibri"/>
                <w:lang w:eastAsia="cs-CZ" w:bidi="ar-SA"/>
              </w:rPr>
            </w:pPr>
            <w:r>
              <w:rPr>
                <w:rFonts w:ascii="Calibri" w:hAnsi="Calibri" w:cs="Calibri"/>
                <w:szCs w:val="22"/>
                <w:lang w:eastAsia="cs-CZ" w:bidi="ar-SA"/>
              </w:rPr>
              <w:t xml:space="preserve">        79,01    </w:t>
            </w:r>
          </w:p>
        </w:tc>
        <w:tc>
          <w:tcPr>
            <w:tcW w:w="1312" w:type="dxa"/>
            <w:tcBorders>
              <w:top w:val="nil"/>
              <w:left w:val="nil"/>
              <w:bottom w:val="single" w:sz="4" w:space="0" w:color="auto"/>
              <w:right w:val="single" w:sz="4" w:space="0" w:color="auto"/>
            </w:tcBorders>
            <w:shd w:val="clear" w:color="auto" w:fill="auto"/>
            <w:vAlign w:val="center"/>
            <w:hideMark/>
          </w:tcPr>
          <w:p>
            <w:pPr>
              <w:jc w:val="center"/>
              <w:rPr>
                <w:rFonts w:ascii="Calibri" w:hAnsi="Calibri" w:cs="Calibri"/>
                <w:lang w:eastAsia="cs-CZ" w:bidi="ar-SA"/>
              </w:rPr>
            </w:pPr>
            <w:r>
              <w:rPr>
                <w:rFonts w:ascii="Calibri" w:hAnsi="Calibri" w:cs="Calibri"/>
                <w:szCs w:val="22"/>
                <w:lang w:eastAsia="cs-CZ" w:bidi="ar-SA"/>
              </w:rPr>
              <w:t xml:space="preserve">       13,71    </w:t>
            </w:r>
          </w:p>
        </w:tc>
        <w:tc>
          <w:tcPr>
            <w:tcW w:w="2054" w:type="dxa"/>
            <w:tcBorders>
              <w:top w:val="nil"/>
              <w:left w:val="nil"/>
              <w:bottom w:val="single" w:sz="4" w:space="0" w:color="auto"/>
              <w:right w:val="single" w:sz="4" w:space="0" w:color="auto"/>
            </w:tcBorders>
            <w:shd w:val="clear" w:color="auto" w:fill="auto"/>
            <w:vAlign w:val="center"/>
            <w:hideMark/>
          </w:tcPr>
          <w:p>
            <w:pPr>
              <w:jc w:val="center"/>
              <w:rPr>
                <w:rFonts w:ascii="Calibri" w:hAnsi="Calibri" w:cs="Calibri"/>
                <w:lang w:eastAsia="cs-CZ" w:bidi="ar-SA"/>
              </w:rPr>
            </w:pPr>
            <w:r>
              <w:rPr>
                <w:rFonts w:ascii="Calibri" w:hAnsi="Calibri" w:cs="Calibri"/>
                <w:szCs w:val="22"/>
                <w:lang w:eastAsia="cs-CZ" w:bidi="ar-SA"/>
              </w:rPr>
              <w:t xml:space="preserve">    2 807 900,00 Kč </w:t>
            </w:r>
          </w:p>
        </w:tc>
        <w:tc>
          <w:tcPr>
            <w:tcW w:w="2054" w:type="dxa"/>
            <w:tcBorders>
              <w:top w:val="nil"/>
              <w:left w:val="nil"/>
              <w:bottom w:val="single" w:sz="4" w:space="0" w:color="auto"/>
              <w:right w:val="single" w:sz="4" w:space="0" w:color="auto"/>
            </w:tcBorders>
            <w:shd w:val="clear" w:color="auto" w:fill="auto"/>
            <w:vAlign w:val="bottom"/>
            <w:hideMark/>
          </w:tcPr>
          <w:p>
            <w:pPr>
              <w:rPr>
                <w:rFonts w:ascii="Calibri" w:hAnsi="Calibri" w:cs="Calibri"/>
                <w:lang w:eastAsia="cs-CZ" w:bidi="ar-SA"/>
              </w:rPr>
            </w:pPr>
            <w:r>
              <w:rPr>
                <w:rFonts w:ascii="Calibri" w:hAnsi="Calibri" w:cs="Calibri"/>
                <w:szCs w:val="22"/>
                <w:lang w:eastAsia="cs-CZ" w:bidi="ar-SA"/>
              </w:rPr>
              <w:t xml:space="preserve">    3 397 559,00 Kč </w:t>
            </w:r>
          </w:p>
        </w:tc>
      </w:tr>
      <w:tr>
        <w:trPr>
          <w:trHeight w:val="375"/>
        </w:trPr>
        <w:tc>
          <w:tcPr>
            <w:tcW w:w="2129" w:type="dxa"/>
            <w:vMerge/>
            <w:tcBorders>
              <w:top w:val="nil"/>
              <w:left w:val="single" w:sz="4" w:space="0" w:color="auto"/>
              <w:bottom w:val="single" w:sz="4" w:space="0" w:color="000000"/>
              <w:right w:val="single" w:sz="4" w:space="0" w:color="auto"/>
            </w:tcBorders>
            <w:vAlign w:val="center"/>
            <w:hideMark/>
          </w:tcPr>
          <w:p>
            <w:pPr>
              <w:rPr>
                <w:rFonts w:ascii="Calibri" w:hAnsi="Calibri" w:cs="Calibri"/>
                <w:b/>
                <w:bCs/>
                <w:lang w:eastAsia="cs-CZ" w:bidi="ar-SA"/>
              </w:rPr>
            </w:pPr>
          </w:p>
        </w:tc>
        <w:tc>
          <w:tcPr>
            <w:tcW w:w="948" w:type="dxa"/>
            <w:tcBorders>
              <w:top w:val="nil"/>
              <w:left w:val="nil"/>
              <w:bottom w:val="single" w:sz="4" w:space="0" w:color="auto"/>
              <w:right w:val="single" w:sz="4" w:space="0" w:color="auto"/>
            </w:tcBorders>
            <w:shd w:val="clear" w:color="auto" w:fill="auto"/>
            <w:vAlign w:val="center"/>
            <w:hideMark/>
          </w:tcPr>
          <w:p>
            <w:pPr>
              <w:jc w:val="center"/>
              <w:rPr>
                <w:rFonts w:ascii="Calibri" w:hAnsi="Calibri" w:cs="Calibri"/>
                <w:lang w:eastAsia="cs-CZ" w:bidi="ar-SA"/>
              </w:rPr>
            </w:pPr>
            <w:r>
              <w:rPr>
                <w:rFonts w:ascii="Calibri" w:hAnsi="Calibri" w:cs="Calibri"/>
                <w:szCs w:val="22"/>
                <w:lang w:eastAsia="cs-CZ" w:bidi="ar-SA"/>
              </w:rPr>
              <w:t>B</w:t>
            </w:r>
          </w:p>
        </w:tc>
        <w:tc>
          <w:tcPr>
            <w:tcW w:w="1510" w:type="dxa"/>
            <w:tcBorders>
              <w:top w:val="nil"/>
              <w:left w:val="nil"/>
              <w:bottom w:val="single" w:sz="4" w:space="0" w:color="auto"/>
              <w:right w:val="single" w:sz="4" w:space="0" w:color="auto"/>
            </w:tcBorders>
            <w:shd w:val="clear" w:color="auto" w:fill="auto"/>
            <w:vAlign w:val="center"/>
            <w:hideMark/>
          </w:tcPr>
          <w:p>
            <w:pPr>
              <w:jc w:val="center"/>
              <w:rPr>
                <w:rFonts w:ascii="Calibri" w:hAnsi="Calibri" w:cs="Calibri"/>
                <w:lang w:eastAsia="cs-CZ" w:bidi="ar-SA"/>
              </w:rPr>
            </w:pPr>
            <w:r>
              <w:rPr>
                <w:rFonts w:ascii="Calibri" w:hAnsi="Calibri" w:cs="Calibri"/>
                <w:szCs w:val="22"/>
                <w:lang w:eastAsia="cs-CZ" w:bidi="ar-SA"/>
              </w:rPr>
              <w:t xml:space="preserve">      136 000    </w:t>
            </w:r>
          </w:p>
        </w:tc>
        <w:tc>
          <w:tcPr>
            <w:tcW w:w="1386" w:type="dxa"/>
            <w:tcBorders>
              <w:top w:val="nil"/>
              <w:left w:val="nil"/>
              <w:bottom w:val="single" w:sz="4" w:space="0" w:color="auto"/>
              <w:right w:val="single" w:sz="4" w:space="0" w:color="auto"/>
            </w:tcBorders>
            <w:shd w:val="clear" w:color="000000" w:fill="FFFFA7"/>
            <w:vAlign w:val="center"/>
            <w:hideMark/>
          </w:tcPr>
          <w:p>
            <w:pPr>
              <w:jc w:val="center"/>
              <w:rPr>
                <w:rFonts w:ascii="Calibri" w:hAnsi="Calibri" w:cs="Calibri"/>
                <w:lang w:eastAsia="cs-CZ" w:bidi="ar-SA"/>
              </w:rPr>
            </w:pPr>
            <w:r>
              <w:rPr>
                <w:rFonts w:ascii="Calibri" w:hAnsi="Calibri" w:cs="Calibri"/>
                <w:szCs w:val="22"/>
                <w:lang w:eastAsia="cs-CZ" w:bidi="ar-SA"/>
              </w:rPr>
              <w:t>59,60 Kč</w:t>
            </w:r>
          </w:p>
        </w:tc>
        <w:tc>
          <w:tcPr>
            <w:tcW w:w="1386" w:type="dxa"/>
            <w:tcBorders>
              <w:top w:val="nil"/>
              <w:left w:val="nil"/>
              <w:bottom w:val="single" w:sz="4" w:space="0" w:color="auto"/>
              <w:right w:val="single" w:sz="4" w:space="0" w:color="auto"/>
            </w:tcBorders>
            <w:shd w:val="clear" w:color="000000" w:fill="F2F2F2"/>
            <w:vAlign w:val="center"/>
            <w:hideMark/>
          </w:tcPr>
          <w:p>
            <w:pPr>
              <w:jc w:val="center"/>
              <w:rPr>
                <w:rFonts w:ascii="Calibri" w:hAnsi="Calibri" w:cs="Calibri"/>
                <w:lang w:eastAsia="cs-CZ" w:bidi="ar-SA"/>
              </w:rPr>
            </w:pPr>
            <w:r>
              <w:rPr>
                <w:rFonts w:ascii="Calibri" w:hAnsi="Calibri" w:cs="Calibri"/>
                <w:szCs w:val="22"/>
                <w:lang w:eastAsia="cs-CZ" w:bidi="ar-SA"/>
              </w:rPr>
              <w:t xml:space="preserve">        59,60    </w:t>
            </w:r>
          </w:p>
        </w:tc>
        <w:tc>
          <w:tcPr>
            <w:tcW w:w="1386" w:type="dxa"/>
            <w:tcBorders>
              <w:top w:val="nil"/>
              <w:left w:val="nil"/>
              <w:bottom w:val="single" w:sz="4" w:space="0" w:color="auto"/>
              <w:right w:val="single" w:sz="4" w:space="0" w:color="auto"/>
            </w:tcBorders>
            <w:shd w:val="clear" w:color="auto" w:fill="auto"/>
            <w:vAlign w:val="center"/>
            <w:hideMark/>
          </w:tcPr>
          <w:p>
            <w:pPr>
              <w:jc w:val="center"/>
              <w:rPr>
                <w:rFonts w:ascii="Calibri" w:hAnsi="Calibri" w:cs="Calibri"/>
                <w:lang w:eastAsia="cs-CZ" w:bidi="ar-SA"/>
              </w:rPr>
            </w:pPr>
            <w:r>
              <w:rPr>
                <w:rFonts w:ascii="Calibri" w:hAnsi="Calibri" w:cs="Calibri"/>
                <w:szCs w:val="22"/>
                <w:lang w:eastAsia="cs-CZ" w:bidi="ar-SA"/>
              </w:rPr>
              <w:t xml:space="preserve">        72,12    </w:t>
            </w:r>
          </w:p>
        </w:tc>
        <w:tc>
          <w:tcPr>
            <w:tcW w:w="1312" w:type="dxa"/>
            <w:tcBorders>
              <w:top w:val="nil"/>
              <w:left w:val="nil"/>
              <w:bottom w:val="single" w:sz="4" w:space="0" w:color="auto"/>
              <w:right w:val="single" w:sz="4" w:space="0" w:color="auto"/>
            </w:tcBorders>
            <w:shd w:val="clear" w:color="auto" w:fill="auto"/>
            <w:vAlign w:val="center"/>
            <w:hideMark/>
          </w:tcPr>
          <w:p>
            <w:pPr>
              <w:jc w:val="center"/>
              <w:rPr>
                <w:rFonts w:ascii="Calibri" w:hAnsi="Calibri" w:cs="Calibri"/>
                <w:lang w:eastAsia="cs-CZ" w:bidi="ar-SA"/>
              </w:rPr>
            </w:pPr>
            <w:r>
              <w:rPr>
                <w:rFonts w:ascii="Calibri" w:hAnsi="Calibri" w:cs="Calibri"/>
                <w:szCs w:val="22"/>
                <w:lang w:eastAsia="cs-CZ" w:bidi="ar-SA"/>
              </w:rPr>
              <w:t xml:space="preserve">       12,52    </w:t>
            </w:r>
          </w:p>
        </w:tc>
        <w:tc>
          <w:tcPr>
            <w:tcW w:w="2054" w:type="dxa"/>
            <w:tcBorders>
              <w:top w:val="nil"/>
              <w:left w:val="nil"/>
              <w:bottom w:val="single" w:sz="4" w:space="0" w:color="auto"/>
              <w:right w:val="single" w:sz="4" w:space="0" w:color="auto"/>
            </w:tcBorders>
            <w:shd w:val="clear" w:color="auto" w:fill="auto"/>
            <w:vAlign w:val="center"/>
            <w:hideMark/>
          </w:tcPr>
          <w:p>
            <w:pPr>
              <w:jc w:val="center"/>
              <w:rPr>
                <w:rFonts w:ascii="Calibri" w:hAnsi="Calibri" w:cs="Calibri"/>
                <w:lang w:eastAsia="cs-CZ" w:bidi="ar-SA"/>
              </w:rPr>
            </w:pPr>
            <w:r>
              <w:rPr>
                <w:rFonts w:ascii="Calibri" w:hAnsi="Calibri" w:cs="Calibri"/>
                <w:szCs w:val="22"/>
                <w:lang w:eastAsia="cs-CZ" w:bidi="ar-SA"/>
              </w:rPr>
              <w:t xml:space="preserve">    8 105 600,00 Kč </w:t>
            </w:r>
          </w:p>
        </w:tc>
        <w:tc>
          <w:tcPr>
            <w:tcW w:w="2054" w:type="dxa"/>
            <w:tcBorders>
              <w:top w:val="nil"/>
              <w:left w:val="nil"/>
              <w:bottom w:val="single" w:sz="4" w:space="0" w:color="auto"/>
              <w:right w:val="single" w:sz="4" w:space="0" w:color="auto"/>
            </w:tcBorders>
            <w:shd w:val="clear" w:color="auto" w:fill="auto"/>
            <w:vAlign w:val="bottom"/>
            <w:hideMark/>
          </w:tcPr>
          <w:p>
            <w:pPr>
              <w:rPr>
                <w:rFonts w:ascii="Calibri" w:hAnsi="Calibri" w:cs="Calibri"/>
                <w:lang w:eastAsia="cs-CZ" w:bidi="ar-SA"/>
              </w:rPr>
            </w:pPr>
            <w:r>
              <w:rPr>
                <w:rFonts w:ascii="Calibri" w:hAnsi="Calibri" w:cs="Calibri"/>
                <w:szCs w:val="22"/>
                <w:lang w:eastAsia="cs-CZ" w:bidi="ar-SA"/>
              </w:rPr>
              <w:t xml:space="preserve">    9 807 776,00 Kč </w:t>
            </w:r>
          </w:p>
        </w:tc>
      </w:tr>
      <w:tr>
        <w:trPr>
          <w:trHeight w:val="375"/>
        </w:trPr>
        <w:tc>
          <w:tcPr>
            <w:tcW w:w="2129" w:type="dxa"/>
            <w:vMerge w:val="restart"/>
            <w:tcBorders>
              <w:top w:val="nil"/>
              <w:left w:val="single" w:sz="4" w:space="0" w:color="auto"/>
              <w:bottom w:val="nil"/>
              <w:right w:val="single" w:sz="4" w:space="0" w:color="auto"/>
            </w:tcBorders>
            <w:shd w:val="clear" w:color="auto" w:fill="auto"/>
            <w:vAlign w:val="center"/>
            <w:hideMark/>
          </w:tcPr>
          <w:p>
            <w:pPr>
              <w:rPr>
                <w:rFonts w:ascii="Calibri" w:hAnsi="Calibri" w:cs="Calibri"/>
                <w:b/>
                <w:bCs/>
                <w:lang w:eastAsia="cs-CZ" w:bidi="ar-SA"/>
              </w:rPr>
            </w:pPr>
            <w:r>
              <w:rPr>
                <w:rFonts w:ascii="Calibri" w:hAnsi="Calibri" w:cs="Calibri"/>
                <w:b/>
                <w:bCs/>
                <w:szCs w:val="22"/>
                <w:lang w:eastAsia="cs-CZ" w:bidi="ar-SA"/>
              </w:rPr>
              <w:t>Papír formátu A3</w:t>
            </w:r>
          </w:p>
        </w:tc>
        <w:tc>
          <w:tcPr>
            <w:tcW w:w="948" w:type="dxa"/>
            <w:tcBorders>
              <w:top w:val="nil"/>
              <w:left w:val="nil"/>
              <w:bottom w:val="single" w:sz="4" w:space="0" w:color="auto"/>
              <w:right w:val="single" w:sz="4" w:space="0" w:color="auto"/>
            </w:tcBorders>
            <w:shd w:val="clear" w:color="auto" w:fill="auto"/>
            <w:vAlign w:val="center"/>
            <w:hideMark/>
          </w:tcPr>
          <w:p>
            <w:pPr>
              <w:jc w:val="center"/>
              <w:rPr>
                <w:rFonts w:ascii="Calibri" w:hAnsi="Calibri" w:cs="Calibri"/>
                <w:lang w:eastAsia="cs-CZ" w:bidi="ar-SA"/>
              </w:rPr>
            </w:pPr>
            <w:r>
              <w:rPr>
                <w:rFonts w:ascii="Calibri" w:hAnsi="Calibri" w:cs="Calibri"/>
                <w:szCs w:val="22"/>
                <w:lang w:eastAsia="cs-CZ" w:bidi="ar-SA"/>
              </w:rPr>
              <w:t>A</w:t>
            </w:r>
          </w:p>
        </w:tc>
        <w:tc>
          <w:tcPr>
            <w:tcW w:w="1510" w:type="dxa"/>
            <w:tcBorders>
              <w:top w:val="nil"/>
              <w:left w:val="nil"/>
              <w:bottom w:val="single" w:sz="4" w:space="0" w:color="auto"/>
              <w:right w:val="single" w:sz="4" w:space="0" w:color="auto"/>
            </w:tcBorders>
            <w:shd w:val="clear" w:color="auto" w:fill="auto"/>
            <w:vAlign w:val="center"/>
            <w:hideMark/>
          </w:tcPr>
          <w:p>
            <w:pPr>
              <w:jc w:val="center"/>
              <w:rPr>
                <w:rFonts w:ascii="Calibri" w:hAnsi="Calibri" w:cs="Calibri"/>
                <w:lang w:eastAsia="cs-CZ" w:bidi="ar-SA"/>
              </w:rPr>
            </w:pPr>
            <w:r>
              <w:rPr>
                <w:rFonts w:ascii="Calibri" w:hAnsi="Calibri" w:cs="Calibri"/>
                <w:szCs w:val="22"/>
                <w:lang w:eastAsia="cs-CZ" w:bidi="ar-SA"/>
              </w:rPr>
              <w:t xml:space="preserve">           2 300    </w:t>
            </w:r>
          </w:p>
        </w:tc>
        <w:tc>
          <w:tcPr>
            <w:tcW w:w="1386" w:type="dxa"/>
            <w:tcBorders>
              <w:top w:val="nil"/>
              <w:left w:val="nil"/>
              <w:bottom w:val="single" w:sz="4" w:space="0" w:color="auto"/>
              <w:right w:val="single" w:sz="4" w:space="0" w:color="auto"/>
            </w:tcBorders>
            <w:shd w:val="clear" w:color="000000" w:fill="FFFFA7"/>
            <w:vAlign w:val="center"/>
            <w:hideMark/>
          </w:tcPr>
          <w:p>
            <w:pPr>
              <w:jc w:val="center"/>
              <w:rPr>
                <w:rFonts w:ascii="Calibri" w:hAnsi="Calibri" w:cs="Calibri"/>
                <w:lang w:eastAsia="cs-CZ" w:bidi="ar-SA"/>
              </w:rPr>
            </w:pPr>
            <w:r>
              <w:rPr>
                <w:rFonts w:ascii="Calibri" w:hAnsi="Calibri" w:cs="Calibri"/>
                <w:szCs w:val="22"/>
                <w:lang w:eastAsia="cs-CZ" w:bidi="ar-SA"/>
              </w:rPr>
              <w:t>130,60 Kč</w:t>
            </w:r>
          </w:p>
        </w:tc>
        <w:tc>
          <w:tcPr>
            <w:tcW w:w="1386" w:type="dxa"/>
            <w:tcBorders>
              <w:top w:val="nil"/>
              <w:left w:val="nil"/>
              <w:bottom w:val="single" w:sz="4" w:space="0" w:color="auto"/>
              <w:right w:val="single" w:sz="4" w:space="0" w:color="auto"/>
            </w:tcBorders>
            <w:shd w:val="clear" w:color="000000" w:fill="F2F2F2"/>
            <w:vAlign w:val="center"/>
            <w:hideMark/>
          </w:tcPr>
          <w:p>
            <w:pPr>
              <w:jc w:val="center"/>
              <w:rPr>
                <w:rFonts w:ascii="Calibri" w:hAnsi="Calibri" w:cs="Calibri"/>
                <w:lang w:eastAsia="cs-CZ" w:bidi="ar-SA"/>
              </w:rPr>
            </w:pPr>
            <w:r>
              <w:rPr>
                <w:rFonts w:ascii="Calibri" w:hAnsi="Calibri" w:cs="Calibri"/>
                <w:szCs w:val="22"/>
                <w:lang w:eastAsia="cs-CZ" w:bidi="ar-SA"/>
              </w:rPr>
              <w:t xml:space="preserve">      130,60    </w:t>
            </w:r>
          </w:p>
        </w:tc>
        <w:tc>
          <w:tcPr>
            <w:tcW w:w="1386" w:type="dxa"/>
            <w:tcBorders>
              <w:top w:val="nil"/>
              <w:left w:val="nil"/>
              <w:bottom w:val="single" w:sz="4" w:space="0" w:color="auto"/>
              <w:right w:val="single" w:sz="4" w:space="0" w:color="auto"/>
            </w:tcBorders>
            <w:shd w:val="clear" w:color="auto" w:fill="auto"/>
            <w:vAlign w:val="center"/>
            <w:hideMark/>
          </w:tcPr>
          <w:p>
            <w:pPr>
              <w:jc w:val="center"/>
              <w:rPr>
                <w:rFonts w:ascii="Calibri" w:hAnsi="Calibri" w:cs="Calibri"/>
                <w:lang w:eastAsia="cs-CZ" w:bidi="ar-SA"/>
              </w:rPr>
            </w:pPr>
            <w:r>
              <w:rPr>
                <w:rFonts w:ascii="Calibri" w:hAnsi="Calibri" w:cs="Calibri"/>
                <w:szCs w:val="22"/>
                <w:lang w:eastAsia="cs-CZ" w:bidi="ar-SA"/>
              </w:rPr>
              <w:t xml:space="preserve">      158,03    </w:t>
            </w:r>
          </w:p>
        </w:tc>
        <w:tc>
          <w:tcPr>
            <w:tcW w:w="1312" w:type="dxa"/>
            <w:tcBorders>
              <w:top w:val="nil"/>
              <w:left w:val="nil"/>
              <w:bottom w:val="single" w:sz="4" w:space="0" w:color="auto"/>
              <w:right w:val="single" w:sz="4" w:space="0" w:color="auto"/>
            </w:tcBorders>
            <w:shd w:val="clear" w:color="auto" w:fill="auto"/>
            <w:vAlign w:val="center"/>
            <w:hideMark/>
          </w:tcPr>
          <w:p>
            <w:pPr>
              <w:jc w:val="center"/>
              <w:rPr>
                <w:rFonts w:ascii="Calibri" w:hAnsi="Calibri" w:cs="Calibri"/>
                <w:lang w:eastAsia="cs-CZ" w:bidi="ar-SA"/>
              </w:rPr>
            </w:pPr>
            <w:r>
              <w:rPr>
                <w:rFonts w:ascii="Calibri" w:hAnsi="Calibri" w:cs="Calibri"/>
                <w:szCs w:val="22"/>
                <w:lang w:eastAsia="cs-CZ" w:bidi="ar-SA"/>
              </w:rPr>
              <w:t xml:space="preserve">       27,43    </w:t>
            </w:r>
          </w:p>
        </w:tc>
        <w:tc>
          <w:tcPr>
            <w:tcW w:w="2054" w:type="dxa"/>
            <w:tcBorders>
              <w:top w:val="nil"/>
              <w:left w:val="nil"/>
              <w:bottom w:val="single" w:sz="4" w:space="0" w:color="auto"/>
              <w:right w:val="single" w:sz="4" w:space="0" w:color="auto"/>
            </w:tcBorders>
            <w:shd w:val="clear" w:color="auto" w:fill="auto"/>
            <w:vAlign w:val="center"/>
            <w:hideMark/>
          </w:tcPr>
          <w:p>
            <w:pPr>
              <w:jc w:val="center"/>
              <w:rPr>
                <w:rFonts w:ascii="Calibri" w:hAnsi="Calibri" w:cs="Calibri"/>
                <w:lang w:eastAsia="cs-CZ" w:bidi="ar-SA"/>
              </w:rPr>
            </w:pPr>
            <w:r>
              <w:rPr>
                <w:rFonts w:ascii="Calibri" w:hAnsi="Calibri" w:cs="Calibri"/>
                <w:szCs w:val="22"/>
                <w:lang w:eastAsia="cs-CZ" w:bidi="ar-SA"/>
              </w:rPr>
              <w:t xml:space="preserve">       300 380,00 Kč </w:t>
            </w:r>
          </w:p>
        </w:tc>
        <w:tc>
          <w:tcPr>
            <w:tcW w:w="2054" w:type="dxa"/>
            <w:tcBorders>
              <w:top w:val="nil"/>
              <w:left w:val="nil"/>
              <w:bottom w:val="single" w:sz="4" w:space="0" w:color="auto"/>
              <w:right w:val="single" w:sz="4" w:space="0" w:color="auto"/>
            </w:tcBorders>
            <w:shd w:val="clear" w:color="auto" w:fill="auto"/>
            <w:vAlign w:val="bottom"/>
            <w:hideMark/>
          </w:tcPr>
          <w:p>
            <w:pPr>
              <w:rPr>
                <w:rFonts w:ascii="Calibri" w:hAnsi="Calibri" w:cs="Calibri"/>
                <w:lang w:eastAsia="cs-CZ" w:bidi="ar-SA"/>
              </w:rPr>
            </w:pPr>
            <w:r>
              <w:rPr>
                <w:rFonts w:ascii="Calibri" w:hAnsi="Calibri" w:cs="Calibri"/>
                <w:szCs w:val="22"/>
                <w:lang w:eastAsia="cs-CZ" w:bidi="ar-SA"/>
              </w:rPr>
              <w:t xml:space="preserve">       363 459,80 Kč </w:t>
            </w:r>
          </w:p>
        </w:tc>
      </w:tr>
      <w:tr>
        <w:trPr>
          <w:trHeight w:val="375"/>
        </w:trPr>
        <w:tc>
          <w:tcPr>
            <w:tcW w:w="2129" w:type="dxa"/>
            <w:vMerge/>
            <w:tcBorders>
              <w:top w:val="nil"/>
              <w:left w:val="single" w:sz="4" w:space="0" w:color="auto"/>
              <w:bottom w:val="nil"/>
              <w:right w:val="single" w:sz="4" w:space="0" w:color="auto"/>
            </w:tcBorders>
            <w:vAlign w:val="center"/>
            <w:hideMark/>
          </w:tcPr>
          <w:p>
            <w:pPr>
              <w:rPr>
                <w:rFonts w:ascii="Calibri" w:hAnsi="Calibri" w:cs="Calibri"/>
                <w:b/>
                <w:bCs/>
                <w:lang w:eastAsia="cs-CZ" w:bidi="ar-SA"/>
              </w:rPr>
            </w:pPr>
          </w:p>
        </w:tc>
        <w:tc>
          <w:tcPr>
            <w:tcW w:w="948" w:type="dxa"/>
            <w:tcBorders>
              <w:top w:val="nil"/>
              <w:left w:val="nil"/>
              <w:bottom w:val="single" w:sz="4" w:space="0" w:color="auto"/>
              <w:right w:val="single" w:sz="4" w:space="0" w:color="auto"/>
            </w:tcBorders>
            <w:shd w:val="clear" w:color="auto" w:fill="auto"/>
            <w:vAlign w:val="center"/>
            <w:hideMark/>
          </w:tcPr>
          <w:p>
            <w:pPr>
              <w:jc w:val="center"/>
              <w:rPr>
                <w:rFonts w:ascii="Calibri" w:hAnsi="Calibri" w:cs="Calibri"/>
                <w:lang w:eastAsia="cs-CZ" w:bidi="ar-SA"/>
              </w:rPr>
            </w:pPr>
            <w:r>
              <w:rPr>
                <w:rFonts w:ascii="Calibri" w:hAnsi="Calibri" w:cs="Calibri"/>
                <w:szCs w:val="22"/>
                <w:lang w:eastAsia="cs-CZ" w:bidi="ar-SA"/>
              </w:rPr>
              <w:t>B</w:t>
            </w:r>
          </w:p>
        </w:tc>
        <w:tc>
          <w:tcPr>
            <w:tcW w:w="1510" w:type="dxa"/>
            <w:tcBorders>
              <w:top w:val="nil"/>
              <w:left w:val="nil"/>
              <w:bottom w:val="nil"/>
              <w:right w:val="single" w:sz="4" w:space="0" w:color="auto"/>
            </w:tcBorders>
            <w:shd w:val="clear" w:color="auto" w:fill="auto"/>
            <w:vAlign w:val="center"/>
            <w:hideMark/>
          </w:tcPr>
          <w:p>
            <w:pPr>
              <w:jc w:val="center"/>
              <w:rPr>
                <w:rFonts w:ascii="Calibri" w:hAnsi="Calibri" w:cs="Calibri"/>
                <w:lang w:eastAsia="cs-CZ" w:bidi="ar-SA"/>
              </w:rPr>
            </w:pPr>
            <w:r>
              <w:rPr>
                <w:rFonts w:ascii="Calibri" w:hAnsi="Calibri" w:cs="Calibri"/>
                <w:szCs w:val="22"/>
                <w:lang w:eastAsia="cs-CZ" w:bidi="ar-SA"/>
              </w:rPr>
              <w:t xml:space="preserve">           5 500    </w:t>
            </w:r>
          </w:p>
        </w:tc>
        <w:tc>
          <w:tcPr>
            <w:tcW w:w="1386" w:type="dxa"/>
            <w:tcBorders>
              <w:top w:val="nil"/>
              <w:left w:val="nil"/>
              <w:bottom w:val="single" w:sz="4" w:space="0" w:color="auto"/>
              <w:right w:val="single" w:sz="4" w:space="0" w:color="auto"/>
            </w:tcBorders>
            <w:shd w:val="clear" w:color="000000" w:fill="FFFFA7"/>
            <w:vAlign w:val="center"/>
            <w:hideMark/>
          </w:tcPr>
          <w:p>
            <w:pPr>
              <w:jc w:val="center"/>
              <w:rPr>
                <w:rFonts w:ascii="Calibri" w:hAnsi="Calibri" w:cs="Calibri"/>
                <w:lang w:eastAsia="cs-CZ" w:bidi="ar-SA"/>
              </w:rPr>
            </w:pPr>
            <w:r>
              <w:rPr>
                <w:rFonts w:ascii="Calibri" w:hAnsi="Calibri" w:cs="Calibri"/>
                <w:szCs w:val="22"/>
                <w:lang w:eastAsia="cs-CZ" w:bidi="ar-SA"/>
              </w:rPr>
              <w:t>119,40 Kč</w:t>
            </w:r>
          </w:p>
        </w:tc>
        <w:tc>
          <w:tcPr>
            <w:tcW w:w="1386" w:type="dxa"/>
            <w:tcBorders>
              <w:top w:val="nil"/>
              <w:left w:val="nil"/>
              <w:bottom w:val="single" w:sz="4" w:space="0" w:color="auto"/>
              <w:right w:val="single" w:sz="4" w:space="0" w:color="auto"/>
            </w:tcBorders>
            <w:shd w:val="clear" w:color="000000" w:fill="F2F2F2"/>
            <w:vAlign w:val="center"/>
            <w:hideMark/>
          </w:tcPr>
          <w:p>
            <w:pPr>
              <w:jc w:val="center"/>
              <w:rPr>
                <w:rFonts w:ascii="Calibri" w:hAnsi="Calibri" w:cs="Calibri"/>
                <w:lang w:eastAsia="cs-CZ" w:bidi="ar-SA"/>
              </w:rPr>
            </w:pPr>
            <w:r>
              <w:rPr>
                <w:rFonts w:ascii="Calibri" w:hAnsi="Calibri" w:cs="Calibri"/>
                <w:szCs w:val="22"/>
                <w:lang w:eastAsia="cs-CZ" w:bidi="ar-SA"/>
              </w:rPr>
              <w:t xml:space="preserve">      119,40    </w:t>
            </w:r>
          </w:p>
        </w:tc>
        <w:tc>
          <w:tcPr>
            <w:tcW w:w="1386" w:type="dxa"/>
            <w:tcBorders>
              <w:top w:val="nil"/>
              <w:left w:val="nil"/>
              <w:bottom w:val="single" w:sz="4" w:space="0" w:color="auto"/>
              <w:right w:val="single" w:sz="4" w:space="0" w:color="auto"/>
            </w:tcBorders>
            <w:shd w:val="clear" w:color="auto" w:fill="auto"/>
            <w:vAlign w:val="center"/>
            <w:hideMark/>
          </w:tcPr>
          <w:p>
            <w:pPr>
              <w:jc w:val="center"/>
              <w:rPr>
                <w:rFonts w:ascii="Calibri" w:hAnsi="Calibri" w:cs="Calibri"/>
                <w:lang w:eastAsia="cs-CZ" w:bidi="ar-SA"/>
              </w:rPr>
            </w:pPr>
            <w:r>
              <w:rPr>
                <w:rFonts w:ascii="Calibri" w:hAnsi="Calibri" w:cs="Calibri"/>
                <w:szCs w:val="22"/>
                <w:lang w:eastAsia="cs-CZ" w:bidi="ar-SA"/>
              </w:rPr>
              <w:t xml:space="preserve">      144,47    </w:t>
            </w:r>
          </w:p>
        </w:tc>
        <w:tc>
          <w:tcPr>
            <w:tcW w:w="1312" w:type="dxa"/>
            <w:tcBorders>
              <w:top w:val="nil"/>
              <w:left w:val="nil"/>
              <w:bottom w:val="single" w:sz="4" w:space="0" w:color="auto"/>
              <w:right w:val="single" w:sz="4" w:space="0" w:color="auto"/>
            </w:tcBorders>
            <w:shd w:val="clear" w:color="auto" w:fill="auto"/>
            <w:vAlign w:val="center"/>
            <w:hideMark/>
          </w:tcPr>
          <w:p>
            <w:pPr>
              <w:jc w:val="center"/>
              <w:rPr>
                <w:rFonts w:ascii="Calibri" w:hAnsi="Calibri" w:cs="Calibri"/>
                <w:lang w:eastAsia="cs-CZ" w:bidi="ar-SA"/>
              </w:rPr>
            </w:pPr>
            <w:r>
              <w:rPr>
                <w:rFonts w:ascii="Calibri" w:hAnsi="Calibri" w:cs="Calibri"/>
                <w:szCs w:val="22"/>
                <w:lang w:eastAsia="cs-CZ" w:bidi="ar-SA"/>
              </w:rPr>
              <w:t xml:space="preserve">       25,07    </w:t>
            </w:r>
          </w:p>
        </w:tc>
        <w:tc>
          <w:tcPr>
            <w:tcW w:w="2054" w:type="dxa"/>
            <w:tcBorders>
              <w:top w:val="nil"/>
              <w:left w:val="nil"/>
              <w:bottom w:val="single" w:sz="4" w:space="0" w:color="auto"/>
              <w:right w:val="single" w:sz="4" w:space="0" w:color="auto"/>
            </w:tcBorders>
            <w:shd w:val="clear" w:color="auto" w:fill="auto"/>
            <w:vAlign w:val="center"/>
            <w:hideMark/>
          </w:tcPr>
          <w:p>
            <w:pPr>
              <w:jc w:val="center"/>
              <w:rPr>
                <w:rFonts w:ascii="Calibri" w:hAnsi="Calibri" w:cs="Calibri"/>
                <w:lang w:eastAsia="cs-CZ" w:bidi="ar-SA"/>
              </w:rPr>
            </w:pPr>
            <w:r>
              <w:rPr>
                <w:rFonts w:ascii="Calibri" w:hAnsi="Calibri" w:cs="Calibri"/>
                <w:szCs w:val="22"/>
                <w:lang w:eastAsia="cs-CZ" w:bidi="ar-SA"/>
              </w:rPr>
              <w:t xml:space="preserve">       656 700,00 Kč </w:t>
            </w:r>
          </w:p>
        </w:tc>
        <w:tc>
          <w:tcPr>
            <w:tcW w:w="2054" w:type="dxa"/>
            <w:tcBorders>
              <w:top w:val="nil"/>
              <w:left w:val="nil"/>
              <w:bottom w:val="single" w:sz="4" w:space="0" w:color="auto"/>
              <w:right w:val="single" w:sz="4" w:space="0" w:color="auto"/>
            </w:tcBorders>
            <w:shd w:val="clear" w:color="auto" w:fill="auto"/>
            <w:vAlign w:val="bottom"/>
            <w:hideMark/>
          </w:tcPr>
          <w:p>
            <w:pPr>
              <w:rPr>
                <w:rFonts w:ascii="Calibri" w:hAnsi="Calibri" w:cs="Calibri"/>
                <w:lang w:eastAsia="cs-CZ" w:bidi="ar-SA"/>
              </w:rPr>
            </w:pPr>
            <w:r>
              <w:rPr>
                <w:rFonts w:ascii="Calibri" w:hAnsi="Calibri" w:cs="Calibri"/>
                <w:szCs w:val="22"/>
                <w:lang w:eastAsia="cs-CZ" w:bidi="ar-SA"/>
              </w:rPr>
              <w:t xml:space="preserve">       794 607,00 Kč </w:t>
            </w:r>
          </w:p>
        </w:tc>
      </w:tr>
      <w:tr>
        <w:trPr>
          <w:trHeight w:val="375"/>
        </w:trPr>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Calibri" w:hAnsi="Calibri" w:cs="Calibri"/>
                <w:b/>
                <w:bCs/>
                <w:lang w:eastAsia="cs-CZ" w:bidi="ar-SA"/>
              </w:rPr>
            </w:pPr>
            <w:r>
              <w:rPr>
                <w:rFonts w:ascii="Calibri" w:hAnsi="Calibri" w:cs="Calibri"/>
                <w:b/>
                <w:bCs/>
                <w:szCs w:val="22"/>
                <w:lang w:eastAsia="cs-CZ" w:bidi="ar-SA"/>
              </w:rPr>
              <w:t xml:space="preserve">Papír formátu  A5 </w:t>
            </w:r>
          </w:p>
        </w:tc>
        <w:tc>
          <w:tcPr>
            <w:tcW w:w="948" w:type="dxa"/>
            <w:tcBorders>
              <w:top w:val="nil"/>
              <w:left w:val="nil"/>
              <w:bottom w:val="single" w:sz="4" w:space="0" w:color="auto"/>
              <w:right w:val="single" w:sz="4" w:space="0" w:color="auto"/>
            </w:tcBorders>
            <w:shd w:val="clear" w:color="auto" w:fill="auto"/>
            <w:vAlign w:val="center"/>
            <w:hideMark/>
          </w:tcPr>
          <w:p>
            <w:pPr>
              <w:jc w:val="center"/>
              <w:rPr>
                <w:rFonts w:ascii="Calibri" w:hAnsi="Calibri" w:cs="Calibri"/>
                <w:lang w:eastAsia="cs-CZ" w:bidi="ar-SA"/>
              </w:rPr>
            </w:pPr>
            <w:r>
              <w:rPr>
                <w:rFonts w:ascii="Calibri" w:hAnsi="Calibri" w:cs="Calibri"/>
                <w:szCs w:val="22"/>
                <w:lang w:eastAsia="cs-CZ" w:bidi="ar-SA"/>
              </w:rPr>
              <w:t>B</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Calibri" w:hAnsi="Calibri" w:cs="Calibri"/>
                <w:lang w:eastAsia="cs-CZ" w:bidi="ar-SA"/>
              </w:rPr>
            </w:pPr>
            <w:r>
              <w:rPr>
                <w:rFonts w:ascii="Calibri" w:hAnsi="Calibri" w:cs="Calibri"/>
                <w:szCs w:val="22"/>
                <w:lang w:eastAsia="cs-CZ" w:bidi="ar-SA"/>
              </w:rPr>
              <w:t xml:space="preserve">           2 200    </w:t>
            </w:r>
          </w:p>
        </w:tc>
        <w:tc>
          <w:tcPr>
            <w:tcW w:w="1386" w:type="dxa"/>
            <w:tcBorders>
              <w:top w:val="nil"/>
              <w:left w:val="nil"/>
              <w:bottom w:val="single" w:sz="4" w:space="0" w:color="auto"/>
              <w:right w:val="single" w:sz="4" w:space="0" w:color="auto"/>
            </w:tcBorders>
            <w:shd w:val="clear" w:color="000000" w:fill="FFFFA7"/>
            <w:vAlign w:val="center"/>
            <w:hideMark/>
          </w:tcPr>
          <w:p>
            <w:pPr>
              <w:jc w:val="center"/>
              <w:rPr>
                <w:rFonts w:ascii="Calibri" w:hAnsi="Calibri" w:cs="Calibri"/>
                <w:lang w:eastAsia="cs-CZ" w:bidi="ar-SA"/>
              </w:rPr>
            </w:pPr>
            <w:r>
              <w:rPr>
                <w:rFonts w:ascii="Calibri" w:hAnsi="Calibri" w:cs="Calibri"/>
                <w:szCs w:val="22"/>
                <w:lang w:eastAsia="cs-CZ" w:bidi="ar-SA"/>
              </w:rPr>
              <w:t>38,45 Kč</w:t>
            </w:r>
          </w:p>
        </w:tc>
        <w:tc>
          <w:tcPr>
            <w:tcW w:w="1386" w:type="dxa"/>
            <w:tcBorders>
              <w:top w:val="nil"/>
              <w:left w:val="nil"/>
              <w:bottom w:val="single" w:sz="4" w:space="0" w:color="auto"/>
              <w:right w:val="single" w:sz="4" w:space="0" w:color="auto"/>
            </w:tcBorders>
            <w:shd w:val="clear" w:color="000000" w:fill="F2F2F2"/>
            <w:vAlign w:val="center"/>
            <w:hideMark/>
          </w:tcPr>
          <w:p>
            <w:pPr>
              <w:jc w:val="center"/>
              <w:rPr>
                <w:rFonts w:ascii="Calibri" w:hAnsi="Calibri" w:cs="Calibri"/>
                <w:lang w:eastAsia="cs-CZ" w:bidi="ar-SA"/>
              </w:rPr>
            </w:pPr>
            <w:r>
              <w:rPr>
                <w:rFonts w:ascii="Calibri" w:hAnsi="Calibri" w:cs="Calibri"/>
                <w:szCs w:val="22"/>
                <w:lang w:eastAsia="cs-CZ" w:bidi="ar-SA"/>
              </w:rPr>
              <w:t xml:space="preserve">        38,45    </w:t>
            </w:r>
          </w:p>
        </w:tc>
        <w:tc>
          <w:tcPr>
            <w:tcW w:w="1386" w:type="dxa"/>
            <w:tcBorders>
              <w:top w:val="nil"/>
              <w:left w:val="nil"/>
              <w:bottom w:val="single" w:sz="4" w:space="0" w:color="auto"/>
              <w:right w:val="single" w:sz="4" w:space="0" w:color="auto"/>
            </w:tcBorders>
            <w:shd w:val="clear" w:color="auto" w:fill="auto"/>
            <w:vAlign w:val="center"/>
            <w:hideMark/>
          </w:tcPr>
          <w:p>
            <w:pPr>
              <w:jc w:val="center"/>
              <w:rPr>
                <w:rFonts w:ascii="Calibri" w:hAnsi="Calibri" w:cs="Calibri"/>
                <w:lang w:eastAsia="cs-CZ" w:bidi="ar-SA"/>
              </w:rPr>
            </w:pPr>
            <w:r>
              <w:rPr>
                <w:rFonts w:ascii="Calibri" w:hAnsi="Calibri" w:cs="Calibri"/>
                <w:szCs w:val="22"/>
                <w:lang w:eastAsia="cs-CZ" w:bidi="ar-SA"/>
              </w:rPr>
              <w:t xml:space="preserve">        46,52    </w:t>
            </w:r>
          </w:p>
        </w:tc>
        <w:tc>
          <w:tcPr>
            <w:tcW w:w="1312" w:type="dxa"/>
            <w:tcBorders>
              <w:top w:val="nil"/>
              <w:left w:val="nil"/>
              <w:bottom w:val="single" w:sz="4" w:space="0" w:color="auto"/>
              <w:right w:val="single" w:sz="4" w:space="0" w:color="auto"/>
            </w:tcBorders>
            <w:shd w:val="clear" w:color="auto" w:fill="auto"/>
            <w:vAlign w:val="center"/>
            <w:hideMark/>
          </w:tcPr>
          <w:p>
            <w:pPr>
              <w:jc w:val="center"/>
              <w:rPr>
                <w:rFonts w:ascii="Calibri" w:hAnsi="Calibri" w:cs="Calibri"/>
                <w:lang w:eastAsia="cs-CZ" w:bidi="ar-SA"/>
              </w:rPr>
            </w:pPr>
            <w:r>
              <w:rPr>
                <w:rFonts w:ascii="Calibri" w:hAnsi="Calibri" w:cs="Calibri"/>
                <w:szCs w:val="22"/>
                <w:lang w:eastAsia="cs-CZ" w:bidi="ar-SA"/>
              </w:rPr>
              <w:t xml:space="preserve">         8,07    </w:t>
            </w:r>
          </w:p>
        </w:tc>
        <w:tc>
          <w:tcPr>
            <w:tcW w:w="2054" w:type="dxa"/>
            <w:tcBorders>
              <w:top w:val="nil"/>
              <w:left w:val="nil"/>
              <w:bottom w:val="single" w:sz="4" w:space="0" w:color="auto"/>
              <w:right w:val="single" w:sz="4" w:space="0" w:color="auto"/>
            </w:tcBorders>
            <w:shd w:val="clear" w:color="auto" w:fill="auto"/>
            <w:vAlign w:val="center"/>
            <w:hideMark/>
          </w:tcPr>
          <w:p>
            <w:pPr>
              <w:jc w:val="center"/>
              <w:rPr>
                <w:rFonts w:ascii="Calibri" w:hAnsi="Calibri" w:cs="Calibri"/>
                <w:lang w:eastAsia="cs-CZ" w:bidi="ar-SA"/>
              </w:rPr>
            </w:pPr>
            <w:r>
              <w:rPr>
                <w:rFonts w:ascii="Calibri" w:hAnsi="Calibri" w:cs="Calibri"/>
                <w:szCs w:val="22"/>
                <w:lang w:eastAsia="cs-CZ" w:bidi="ar-SA"/>
              </w:rPr>
              <w:t xml:space="preserve">          84 590,00 Kč </w:t>
            </w:r>
          </w:p>
        </w:tc>
        <w:tc>
          <w:tcPr>
            <w:tcW w:w="2054" w:type="dxa"/>
            <w:tcBorders>
              <w:top w:val="nil"/>
              <w:left w:val="nil"/>
              <w:bottom w:val="single" w:sz="4" w:space="0" w:color="auto"/>
              <w:right w:val="single" w:sz="4" w:space="0" w:color="auto"/>
            </w:tcBorders>
            <w:shd w:val="clear" w:color="auto" w:fill="auto"/>
            <w:vAlign w:val="bottom"/>
            <w:hideMark/>
          </w:tcPr>
          <w:p>
            <w:pPr>
              <w:rPr>
                <w:rFonts w:ascii="Calibri" w:hAnsi="Calibri" w:cs="Calibri"/>
                <w:lang w:eastAsia="cs-CZ" w:bidi="ar-SA"/>
              </w:rPr>
            </w:pPr>
            <w:r>
              <w:rPr>
                <w:rFonts w:ascii="Calibri" w:hAnsi="Calibri" w:cs="Calibri"/>
                <w:szCs w:val="22"/>
                <w:lang w:eastAsia="cs-CZ" w:bidi="ar-SA"/>
              </w:rPr>
              <w:t xml:space="preserve">       102 353,90 Kč </w:t>
            </w:r>
          </w:p>
        </w:tc>
      </w:tr>
      <w:tr>
        <w:trPr>
          <w:trHeight w:val="450"/>
        </w:trPr>
        <w:tc>
          <w:tcPr>
            <w:tcW w:w="10057" w:type="dxa"/>
            <w:gridSpan w:val="7"/>
            <w:tcBorders>
              <w:top w:val="single" w:sz="4" w:space="0" w:color="auto"/>
              <w:left w:val="single" w:sz="4" w:space="0" w:color="auto"/>
              <w:bottom w:val="single" w:sz="4" w:space="0" w:color="auto"/>
              <w:right w:val="single" w:sz="4" w:space="0" w:color="000000"/>
            </w:tcBorders>
            <w:shd w:val="clear" w:color="000000" w:fill="FDE9D9"/>
            <w:noWrap/>
            <w:vAlign w:val="center"/>
            <w:hideMark/>
          </w:tcPr>
          <w:p>
            <w:pPr>
              <w:rPr>
                <w:rFonts w:ascii="Calibri" w:hAnsi="Calibri" w:cs="Calibri"/>
                <w:b/>
                <w:bCs/>
                <w:lang w:eastAsia="cs-CZ" w:bidi="ar-SA"/>
              </w:rPr>
            </w:pPr>
            <w:r>
              <w:rPr>
                <w:rFonts w:ascii="Calibri" w:hAnsi="Calibri" w:cs="Calibri"/>
                <w:b/>
                <w:bCs/>
                <w:szCs w:val="22"/>
                <w:lang w:eastAsia="cs-CZ" w:bidi="ar-SA"/>
              </w:rPr>
              <w:t>Celková nabídková cena za 2 roky plnění bez DPH</w:t>
            </w:r>
          </w:p>
        </w:tc>
        <w:tc>
          <w:tcPr>
            <w:tcW w:w="2054" w:type="dxa"/>
            <w:tcBorders>
              <w:top w:val="nil"/>
              <w:left w:val="nil"/>
              <w:bottom w:val="single" w:sz="4" w:space="0" w:color="auto"/>
              <w:right w:val="single" w:sz="4" w:space="0" w:color="auto"/>
            </w:tcBorders>
            <w:shd w:val="clear" w:color="000000" w:fill="FDE9D9"/>
            <w:vAlign w:val="center"/>
            <w:hideMark/>
          </w:tcPr>
          <w:p>
            <w:pPr>
              <w:jc w:val="center"/>
              <w:rPr>
                <w:rFonts w:ascii="Calibri" w:hAnsi="Calibri" w:cs="Calibri"/>
                <w:b/>
                <w:bCs/>
                <w:lang w:eastAsia="cs-CZ" w:bidi="ar-SA"/>
              </w:rPr>
            </w:pPr>
            <w:r>
              <w:rPr>
                <w:rFonts w:ascii="Calibri" w:hAnsi="Calibri" w:cs="Calibri"/>
                <w:b/>
                <w:bCs/>
                <w:szCs w:val="22"/>
                <w:lang w:eastAsia="cs-CZ" w:bidi="ar-SA"/>
              </w:rPr>
              <w:t xml:space="preserve">  11 955 170,00 Kč </w:t>
            </w:r>
          </w:p>
        </w:tc>
        <w:tc>
          <w:tcPr>
            <w:tcW w:w="2054" w:type="dxa"/>
            <w:tcBorders>
              <w:top w:val="nil"/>
              <w:left w:val="nil"/>
              <w:bottom w:val="single" w:sz="4" w:space="0" w:color="auto"/>
              <w:right w:val="single" w:sz="4" w:space="0" w:color="auto"/>
            </w:tcBorders>
            <w:shd w:val="clear" w:color="auto" w:fill="auto"/>
            <w:vAlign w:val="center"/>
            <w:hideMark/>
          </w:tcPr>
          <w:p>
            <w:pPr>
              <w:rPr>
                <w:rFonts w:ascii="Calibri" w:hAnsi="Calibri" w:cs="Calibri"/>
                <w:b/>
                <w:bCs/>
                <w:lang w:eastAsia="cs-CZ" w:bidi="ar-SA"/>
              </w:rPr>
            </w:pPr>
            <w:r>
              <w:rPr>
                <w:rFonts w:ascii="Calibri" w:hAnsi="Calibri" w:cs="Calibri"/>
                <w:b/>
                <w:bCs/>
                <w:szCs w:val="22"/>
                <w:lang w:eastAsia="cs-CZ" w:bidi="ar-SA"/>
              </w:rPr>
              <w:t xml:space="preserve">  14 465 755,70 Kč </w:t>
            </w:r>
          </w:p>
        </w:tc>
      </w:tr>
      <w:tr>
        <w:trPr>
          <w:trHeight w:val="375"/>
        </w:trPr>
        <w:tc>
          <w:tcPr>
            <w:tcW w:w="1005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pPr>
              <w:rPr>
                <w:rFonts w:ascii="Calibri" w:hAnsi="Calibri" w:cs="Calibri"/>
                <w:lang w:eastAsia="cs-CZ" w:bidi="ar-SA"/>
              </w:rPr>
            </w:pPr>
            <w:r>
              <w:rPr>
                <w:rFonts w:ascii="Calibri" w:hAnsi="Calibri" w:cs="Calibri"/>
                <w:szCs w:val="22"/>
                <w:lang w:eastAsia="cs-CZ" w:bidi="ar-SA"/>
              </w:rPr>
              <w:t xml:space="preserve">DPH </w:t>
            </w:r>
          </w:p>
        </w:tc>
        <w:tc>
          <w:tcPr>
            <w:tcW w:w="2054" w:type="dxa"/>
            <w:tcBorders>
              <w:top w:val="nil"/>
              <w:left w:val="nil"/>
              <w:bottom w:val="single" w:sz="4" w:space="0" w:color="auto"/>
              <w:right w:val="single" w:sz="4" w:space="0" w:color="auto"/>
            </w:tcBorders>
            <w:shd w:val="clear" w:color="auto" w:fill="auto"/>
            <w:vAlign w:val="center"/>
            <w:hideMark/>
          </w:tcPr>
          <w:p>
            <w:pPr>
              <w:jc w:val="center"/>
              <w:rPr>
                <w:rFonts w:ascii="Calibri" w:hAnsi="Calibri" w:cs="Calibri"/>
                <w:lang w:eastAsia="cs-CZ" w:bidi="ar-SA"/>
              </w:rPr>
            </w:pPr>
            <w:r>
              <w:rPr>
                <w:rFonts w:ascii="Calibri" w:hAnsi="Calibri" w:cs="Calibri"/>
                <w:szCs w:val="22"/>
                <w:lang w:eastAsia="cs-CZ" w:bidi="ar-SA"/>
              </w:rPr>
              <w:t xml:space="preserve">    2 510 585,70 Kč </w:t>
            </w:r>
          </w:p>
        </w:tc>
        <w:tc>
          <w:tcPr>
            <w:tcW w:w="2054" w:type="dxa"/>
            <w:tcBorders>
              <w:top w:val="nil"/>
              <w:left w:val="nil"/>
              <w:bottom w:val="nil"/>
              <w:right w:val="nil"/>
            </w:tcBorders>
            <w:shd w:val="clear" w:color="auto" w:fill="auto"/>
            <w:vAlign w:val="center"/>
            <w:hideMark/>
          </w:tcPr>
          <w:p>
            <w:pPr>
              <w:rPr>
                <w:rFonts w:ascii="Calibri" w:hAnsi="Calibri" w:cs="Calibri"/>
                <w:b/>
                <w:bCs/>
                <w:lang w:eastAsia="cs-CZ" w:bidi="ar-SA"/>
              </w:rPr>
            </w:pPr>
          </w:p>
        </w:tc>
      </w:tr>
      <w:tr>
        <w:trPr>
          <w:trHeight w:val="375"/>
        </w:trPr>
        <w:tc>
          <w:tcPr>
            <w:tcW w:w="1005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pPr>
              <w:rPr>
                <w:rFonts w:ascii="Calibri" w:hAnsi="Calibri" w:cs="Calibri"/>
                <w:lang w:eastAsia="cs-CZ" w:bidi="ar-SA"/>
              </w:rPr>
            </w:pPr>
            <w:r>
              <w:rPr>
                <w:rFonts w:ascii="Calibri" w:hAnsi="Calibri" w:cs="Calibri"/>
                <w:szCs w:val="22"/>
                <w:lang w:eastAsia="cs-CZ" w:bidi="ar-SA"/>
              </w:rPr>
              <w:t>Celková nabídková cena za 2 roky plnění s DPH</w:t>
            </w:r>
          </w:p>
        </w:tc>
        <w:tc>
          <w:tcPr>
            <w:tcW w:w="2054" w:type="dxa"/>
            <w:tcBorders>
              <w:top w:val="nil"/>
              <w:left w:val="nil"/>
              <w:bottom w:val="single" w:sz="4" w:space="0" w:color="auto"/>
              <w:right w:val="single" w:sz="4" w:space="0" w:color="auto"/>
            </w:tcBorders>
            <w:shd w:val="clear" w:color="auto" w:fill="auto"/>
            <w:vAlign w:val="center"/>
            <w:hideMark/>
          </w:tcPr>
          <w:p>
            <w:pPr>
              <w:jc w:val="center"/>
              <w:rPr>
                <w:rFonts w:ascii="Calibri" w:hAnsi="Calibri" w:cs="Calibri"/>
                <w:lang w:eastAsia="cs-CZ" w:bidi="ar-SA"/>
              </w:rPr>
            </w:pPr>
            <w:r>
              <w:rPr>
                <w:rFonts w:ascii="Calibri" w:hAnsi="Calibri" w:cs="Calibri"/>
                <w:szCs w:val="22"/>
                <w:lang w:eastAsia="cs-CZ" w:bidi="ar-SA"/>
              </w:rPr>
              <w:t xml:space="preserve">  14 465 755,70 Kč </w:t>
            </w:r>
          </w:p>
        </w:tc>
        <w:tc>
          <w:tcPr>
            <w:tcW w:w="2054" w:type="dxa"/>
            <w:tcBorders>
              <w:top w:val="nil"/>
              <w:left w:val="nil"/>
              <w:bottom w:val="nil"/>
              <w:right w:val="nil"/>
            </w:tcBorders>
            <w:shd w:val="clear" w:color="auto" w:fill="auto"/>
            <w:vAlign w:val="center"/>
            <w:hideMark/>
          </w:tcPr>
          <w:p>
            <w:pPr>
              <w:rPr>
                <w:rFonts w:ascii="Calibri" w:hAnsi="Calibri" w:cs="Calibri"/>
                <w:b/>
                <w:bCs/>
                <w:lang w:eastAsia="cs-CZ" w:bidi="ar-SA"/>
              </w:rPr>
            </w:pPr>
          </w:p>
        </w:tc>
      </w:tr>
    </w:tbl>
    <w:p>
      <w:pPr>
        <w:sectPr>
          <w:pgSz w:w="16838" w:h="11906" w:orient="landscape"/>
          <w:pgMar w:top="1417" w:right="1417" w:bottom="1417" w:left="1417" w:header="708" w:footer="708" w:gutter="0"/>
          <w:cols w:space="708"/>
          <w:titlePg/>
          <w:docGrid w:linePitch="360"/>
        </w:sectPr>
      </w:pPr>
    </w:p>
    <w:p>
      <w:pPr>
        <w:sectPr>
          <w:type w:val="continuous"/>
          <w:pgSz w:w="16838" w:h="11906" w:orient="landscape"/>
          <w:pgMar w:top="1417" w:right="1417" w:bottom="1417" w:left="1417" w:header="708" w:footer="708" w:gutter="0"/>
          <w:cols w:space="708"/>
          <w:titlePg/>
          <w:docGrid w:linePitch="360"/>
        </w:sectPr>
      </w:pPr>
    </w:p>
    <w:p>
      <w:pPr>
        <w:jc w:val="right"/>
        <w:rPr>
          <w:rFonts w:cs="Arial"/>
        </w:rPr>
      </w:pPr>
      <w:r>
        <w:rPr>
          <w:rFonts w:cs="Arial"/>
        </w:rPr>
        <w:t xml:space="preserve">Příloha č. 3 </w:t>
      </w:r>
    </w:p>
    <w:p>
      <w:pPr>
        <w:jc w:val="center"/>
        <w:rPr>
          <w:rFonts w:cs="Arial"/>
          <w:b/>
          <w:sz w:val="24"/>
        </w:rPr>
      </w:pPr>
    </w:p>
    <w:p>
      <w:pPr>
        <w:jc w:val="center"/>
        <w:rPr>
          <w:rFonts w:cs="Arial"/>
          <w:b/>
          <w:sz w:val="24"/>
        </w:rPr>
      </w:pPr>
      <w:r>
        <w:rPr>
          <w:rFonts w:cs="Arial"/>
          <w:b/>
          <w:sz w:val="24"/>
        </w:rPr>
        <w:t>VZOR OBJEDNÁVKY</w:t>
      </w:r>
    </w:p>
    <w:p>
      <w:pPr>
        <w:jc w:val="center"/>
        <w:rPr>
          <w:rFonts w:cs="Arial"/>
          <w:b/>
          <w:sz w:val="24"/>
        </w:rPr>
      </w:pPr>
    </w:p>
    <w:p>
      <w:pPr>
        <w:jc w:val="both"/>
        <w:rPr>
          <w:rFonts w:cs="Arial"/>
          <w:b/>
        </w:rPr>
      </w:pPr>
    </w:p>
    <w:tbl>
      <w:tblPr>
        <w:tblW w:w="9709" w:type="dxa"/>
        <w:tblLayout w:type="fixed"/>
        <w:tblCellMar>
          <w:left w:w="70" w:type="dxa"/>
          <w:right w:w="70" w:type="dxa"/>
        </w:tblCellMar>
        <w:tblLook w:val="04A0" w:firstRow="1" w:lastRow="0" w:firstColumn="1" w:lastColumn="0" w:noHBand="0" w:noVBand="1"/>
      </w:tblPr>
      <w:tblGrid>
        <w:gridCol w:w="2905"/>
        <w:gridCol w:w="3261"/>
        <w:gridCol w:w="2268"/>
        <w:gridCol w:w="1275"/>
      </w:tblGrid>
      <w:tr>
        <w:trPr>
          <w:trHeight w:val="167"/>
        </w:trPr>
        <w:tc>
          <w:tcPr>
            <w:tcW w:w="2905" w:type="dxa"/>
            <w:hideMark/>
          </w:tcPr>
          <w:p>
            <w:pPr>
              <w:pStyle w:val="ZZZEsster10"/>
              <w:jc w:val="left"/>
              <w:rPr>
                <w:rFonts w:ascii="Arial" w:hAnsi="Arial" w:cs="Arial"/>
              </w:rPr>
            </w:pPr>
            <w:r>
              <w:rPr>
                <w:rFonts w:ascii="Arial" w:hAnsi="Arial" w:cs="Arial"/>
              </w:rPr>
              <w:t>Váš dopis značky / ze dne</w:t>
            </w:r>
          </w:p>
        </w:tc>
        <w:tc>
          <w:tcPr>
            <w:tcW w:w="3261" w:type="dxa"/>
            <w:hideMark/>
          </w:tcPr>
          <w:p>
            <w:pPr>
              <w:pStyle w:val="ZZZEsster10"/>
              <w:jc w:val="left"/>
              <w:rPr>
                <w:rFonts w:ascii="Arial" w:hAnsi="Arial" w:cs="Arial"/>
              </w:rPr>
            </w:pPr>
            <w:proofErr w:type="gramStart"/>
            <w:r>
              <w:rPr>
                <w:rFonts w:ascii="Arial" w:hAnsi="Arial" w:cs="Arial"/>
              </w:rPr>
              <w:t>Č.j.</w:t>
            </w:r>
            <w:proofErr w:type="gramEnd"/>
          </w:p>
        </w:tc>
        <w:tc>
          <w:tcPr>
            <w:tcW w:w="2268" w:type="dxa"/>
            <w:hideMark/>
          </w:tcPr>
          <w:p>
            <w:pPr>
              <w:pStyle w:val="ZZZEsster10"/>
              <w:ind w:left="-4"/>
              <w:jc w:val="left"/>
              <w:rPr>
                <w:rFonts w:ascii="Arial" w:hAnsi="Arial" w:cs="Arial"/>
              </w:rPr>
            </w:pPr>
            <w:r>
              <w:rPr>
                <w:rFonts w:ascii="Arial" w:hAnsi="Arial" w:cs="Arial"/>
              </w:rPr>
              <w:t>Vyřizuje / telefon</w:t>
            </w:r>
          </w:p>
        </w:tc>
        <w:tc>
          <w:tcPr>
            <w:tcW w:w="1275" w:type="dxa"/>
            <w:hideMark/>
          </w:tcPr>
          <w:p>
            <w:pPr>
              <w:pStyle w:val="ZZZEsster10"/>
              <w:jc w:val="left"/>
              <w:rPr>
                <w:rFonts w:ascii="Arial" w:hAnsi="Arial" w:cs="Arial"/>
              </w:rPr>
            </w:pPr>
            <w:r>
              <w:rPr>
                <w:rFonts w:ascii="Arial" w:hAnsi="Arial" w:cs="Arial"/>
              </w:rPr>
              <w:t>Praha dne</w:t>
            </w:r>
          </w:p>
        </w:tc>
      </w:tr>
      <w:tr>
        <w:trPr>
          <w:trHeight w:val="157"/>
        </w:trPr>
        <w:tc>
          <w:tcPr>
            <w:tcW w:w="2905" w:type="dxa"/>
            <w:hideMark/>
          </w:tcPr>
          <w:p>
            <w:pPr>
              <w:pStyle w:val="ZZZEsster10B"/>
              <w:rPr>
                <w:rFonts w:ascii="Arial" w:hAnsi="Arial" w:cs="Arial"/>
                <w:b w:val="0"/>
              </w:rPr>
            </w:pPr>
            <w:r>
              <w:rPr>
                <w:rFonts w:ascii="Arial" w:hAnsi="Arial" w:cs="Arial"/>
                <w:b w:val="0"/>
              </w:rPr>
              <w:fldChar w:fldCharType="begin"/>
            </w:r>
            <w:r>
              <w:rPr>
                <w:rFonts w:ascii="Arial" w:hAnsi="Arial" w:cs="Arial"/>
                <w:b w:val="0"/>
              </w:rPr>
              <w:instrText xml:space="preserve"> COMMENTS  D.CISLOJEDNACIPROTI  \* MERGEFORMAT </w:instrText>
            </w:r>
            <w:r>
              <w:rPr>
                <w:rFonts w:ascii="Arial" w:hAnsi="Arial" w:cs="Arial"/>
                <w:b w:val="0"/>
              </w:rPr>
              <w:fldChar w:fldCharType="end"/>
            </w:r>
          </w:p>
          <w:p>
            <w:pPr>
              <w:pStyle w:val="ZZZEsster10B"/>
              <w:rPr>
                <w:rFonts w:ascii="Arial" w:hAnsi="Arial" w:cs="Arial"/>
                <w:b w:val="0"/>
              </w:rPr>
            </w:pPr>
          </w:p>
        </w:tc>
        <w:tc>
          <w:tcPr>
            <w:tcW w:w="3261" w:type="dxa"/>
            <w:hideMark/>
          </w:tcPr>
          <w:p>
            <w:pPr>
              <w:pStyle w:val="ZZZEsster10B"/>
              <w:rPr>
                <w:rFonts w:ascii="Arial" w:hAnsi="Arial" w:cs="Arial"/>
                <w:b w:val="0"/>
                <w:i/>
                <w:color w:val="FF0000"/>
              </w:rPr>
            </w:pPr>
            <w:r>
              <w:rPr>
                <w:rFonts w:ascii="Arial" w:hAnsi="Arial" w:cs="Arial"/>
                <w:b w:val="0"/>
                <w:i/>
                <w:color w:val="FF0000"/>
              </w:rPr>
              <w:t>[doplní Kupující]</w:t>
            </w:r>
          </w:p>
          <w:p>
            <w:pPr>
              <w:pStyle w:val="ZZZEsster10B"/>
              <w:rPr>
                <w:rFonts w:ascii="Arial" w:hAnsi="Arial" w:cs="Arial"/>
                <w:b w:val="0"/>
                <w:i/>
                <w:color w:val="FF0000"/>
              </w:rPr>
            </w:pPr>
            <w:r>
              <w:rPr>
                <w:rFonts w:ascii="Arial" w:hAnsi="Arial" w:cs="Arial"/>
                <w:b w:val="0"/>
                <w:bCs/>
              </w:rPr>
              <w:t xml:space="preserve">Číslo objednávky: </w:t>
            </w:r>
            <w:r>
              <w:rPr>
                <w:rFonts w:ascii="Arial" w:hAnsi="Arial" w:cs="Arial"/>
                <w:b w:val="0"/>
                <w:i/>
                <w:color w:val="FF0000"/>
              </w:rPr>
              <w:t>[doplní Kupující]</w:t>
            </w:r>
          </w:p>
        </w:tc>
        <w:tc>
          <w:tcPr>
            <w:tcW w:w="2268" w:type="dxa"/>
            <w:hideMark/>
          </w:tcPr>
          <w:p>
            <w:pPr>
              <w:pStyle w:val="ZZZEsster10B"/>
              <w:rPr>
                <w:rFonts w:ascii="Arial" w:hAnsi="Arial" w:cs="Arial"/>
                <w:b w:val="0"/>
                <w:i/>
                <w:color w:val="FF0000"/>
              </w:rPr>
            </w:pPr>
            <w:r>
              <w:rPr>
                <w:rFonts w:ascii="Arial" w:hAnsi="Arial" w:cs="Arial"/>
                <w:b w:val="0"/>
                <w:i/>
                <w:color w:val="FF0000"/>
              </w:rPr>
              <w:t>[doplní Kupující]</w:t>
            </w:r>
          </w:p>
        </w:tc>
        <w:tc>
          <w:tcPr>
            <w:tcW w:w="1275" w:type="dxa"/>
            <w:hideMark/>
          </w:tcPr>
          <w:p>
            <w:pPr>
              <w:pStyle w:val="ZZZEsster10B"/>
              <w:rPr>
                <w:rFonts w:ascii="Arial" w:hAnsi="Arial" w:cs="Arial"/>
                <w:b w:val="0"/>
                <w:i/>
                <w:color w:val="FF0000"/>
              </w:rPr>
            </w:pPr>
            <w:r>
              <w:rPr>
                <w:rFonts w:ascii="Arial" w:hAnsi="Arial" w:cs="Arial"/>
                <w:b w:val="0"/>
                <w:i/>
                <w:color w:val="FF0000"/>
              </w:rPr>
              <w:t>[doplní Kupující]</w:t>
            </w:r>
          </w:p>
        </w:tc>
      </w:tr>
    </w:tbl>
    <w:p>
      <w:pPr>
        <w:pStyle w:val="MDSR"/>
        <w:ind w:firstLine="0"/>
        <w:rPr>
          <w:rFonts w:ascii="Arial" w:hAnsi="Arial" w:cs="Arial"/>
          <w:b/>
          <w:sz w:val="22"/>
          <w:szCs w:val="22"/>
        </w:rPr>
      </w:pPr>
    </w:p>
    <w:p>
      <w:pPr>
        <w:pStyle w:val="MDSR"/>
        <w:spacing w:before="0"/>
        <w:ind w:firstLine="0"/>
        <w:rPr>
          <w:rFonts w:ascii="Arial" w:hAnsi="Arial" w:cs="Arial"/>
          <w:b/>
          <w:sz w:val="22"/>
        </w:rPr>
      </w:pPr>
      <w:r>
        <w:rPr>
          <w:rFonts w:ascii="Arial" w:hAnsi="Arial" w:cs="Arial"/>
          <w:b/>
          <w:sz w:val="22"/>
        </w:rPr>
        <w:t xml:space="preserve">Objednávka xerografického papíru </w:t>
      </w:r>
    </w:p>
    <w:p>
      <w:pPr>
        <w:pStyle w:val="MDSR"/>
        <w:spacing w:before="0"/>
        <w:ind w:firstLine="0"/>
        <w:rPr>
          <w:rFonts w:ascii="Arial" w:hAnsi="Arial" w:cs="Arial"/>
          <w:sz w:val="22"/>
          <w:szCs w:val="22"/>
          <w:lang w:bidi="en-US"/>
        </w:rPr>
      </w:pPr>
    </w:p>
    <w:p>
      <w:pPr>
        <w:pStyle w:val="MDSR"/>
        <w:spacing w:before="0"/>
        <w:ind w:firstLine="0"/>
        <w:rPr>
          <w:rFonts w:ascii="Arial" w:hAnsi="Arial" w:cs="Arial"/>
          <w:sz w:val="22"/>
          <w:lang w:bidi="en-US"/>
        </w:rPr>
      </w:pPr>
      <w:r>
        <w:rPr>
          <w:rFonts w:ascii="Arial" w:hAnsi="Arial" w:cs="Arial"/>
          <w:sz w:val="22"/>
          <w:lang w:bidi="en-US"/>
        </w:rPr>
        <w:t xml:space="preserve">Na základě uzavřené Rámcové dohody </w:t>
      </w:r>
      <w:r>
        <w:rPr>
          <w:rFonts w:ascii="Arial" w:hAnsi="Arial" w:cs="Arial"/>
          <w:sz w:val="22"/>
        </w:rPr>
        <w:t xml:space="preserve">CES SFDI </w:t>
      </w:r>
      <w:r>
        <w:rPr>
          <w:rFonts w:ascii="Arial" w:hAnsi="Arial" w:cs="Arial"/>
          <w:sz w:val="22"/>
          <w:lang w:bidi="en-US"/>
        </w:rPr>
        <w:t xml:space="preserve">27/2019, ze dne </w:t>
      </w:r>
      <w:r>
        <w:rPr>
          <w:rFonts w:ascii="Arial" w:hAnsi="Arial" w:cs="Arial"/>
          <w:sz w:val="22"/>
          <w:highlight w:val="lightGray"/>
          <w:lang w:bidi="en-US"/>
        </w:rPr>
        <w:t>………….,</w:t>
      </w:r>
      <w:r>
        <w:rPr>
          <w:rFonts w:ascii="Arial" w:hAnsi="Arial" w:cs="Arial"/>
          <w:sz w:val="22"/>
          <w:lang w:bidi="en-US"/>
        </w:rPr>
        <w:t xml:space="preserve"> </w:t>
      </w:r>
      <w:proofErr w:type="gramStart"/>
      <w:r>
        <w:rPr>
          <w:rFonts w:ascii="Arial" w:hAnsi="Arial" w:cs="Arial"/>
          <w:sz w:val="22"/>
          <w:lang w:bidi="en-US"/>
        </w:rPr>
        <w:t>č.j.</w:t>
      </w:r>
      <w:proofErr w:type="gramEnd"/>
      <w:r>
        <w:rPr>
          <w:rFonts w:ascii="Arial" w:hAnsi="Arial" w:cs="Arial"/>
          <w:sz w:val="22"/>
          <w:lang w:bidi="en-US"/>
        </w:rPr>
        <w:t>: 4948/SFDI/310163/10580/2019, (dále jen „Smlouva“), Vás tímto v souladu s § 134 odst. 1 zákona č. 134/2016 Sb., o zadávání veřejných zakázek, ve znění pozdějších předpisů, a čl. IV. Smlouvy vyzývám k poskytnutí plnění. Předmětem plnění dle čl. II. Smlouvy je Zboží uvedené v příloze této objednávky.</w:t>
      </w:r>
    </w:p>
    <w:p>
      <w:pPr>
        <w:spacing w:before="120"/>
        <w:jc w:val="both"/>
        <w:rPr>
          <w:rFonts w:cs="Arial"/>
        </w:rPr>
      </w:pPr>
      <w:r>
        <w:rPr>
          <w:rFonts w:cs="Arial"/>
        </w:rPr>
        <w:t xml:space="preserve">Předpokladem pro zadání dílčí veřejné zakázky Prodávajícímu, je písemná akceptace této objednávky, a to v souladu s odst. 4.4 Smlouvy, tj. potvrzení nejpozději do 3 pracovních dnů od obdržení objednávky. Potvrzení objednávky je přílohou této objednávky. </w:t>
      </w:r>
    </w:p>
    <w:p>
      <w:pPr>
        <w:spacing w:before="120"/>
        <w:jc w:val="both"/>
        <w:rPr>
          <w:rFonts w:cs="Arial"/>
        </w:rPr>
      </w:pPr>
      <w:r>
        <w:rPr>
          <w:rFonts w:cs="Arial"/>
        </w:rPr>
        <w:t xml:space="preserve">Zboží bude dodáno v souladu s odst. 5.1 Smlouvy nejpozději do 5 kalendářních dnů ode dne účinnosti dílčí smlouvy. </w:t>
      </w:r>
    </w:p>
    <w:p>
      <w:pPr>
        <w:spacing w:before="120"/>
        <w:jc w:val="both"/>
        <w:rPr>
          <w:rFonts w:cs="Arial"/>
        </w:rPr>
      </w:pPr>
      <w:r>
        <w:rPr>
          <w:rFonts w:cs="Arial"/>
        </w:rPr>
        <w:t xml:space="preserve">Místem dodání bude odběrné místo na adrese: </w:t>
      </w:r>
      <w:r>
        <w:rPr>
          <w:rFonts w:cs="Arial"/>
          <w:highlight w:val="lightGray"/>
        </w:rPr>
        <w:t>……………………………………………………</w:t>
      </w:r>
    </w:p>
    <w:p>
      <w:pPr>
        <w:spacing w:before="120"/>
        <w:jc w:val="both"/>
        <w:rPr>
          <w:rFonts w:cs="Arial"/>
          <w:i/>
          <w:color w:val="FF0000"/>
          <w:sz w:val="20"/>
        </w:rPr>
      </w:pPr>
      <w:r>
        <w:rPr>
          <w:rFonts w:cs="Arial"/>
          <w:i/>
          <w:color w:val="FF0000"/>
          <w:sz w:val="20"/>
        </w:rPr>
        <w:t>(Kupující doplní adresu uvedenou v Příloze č. 4 Smlouvy).</w:t>
      </w:r>
    </w:p>
    <w:p>
      <w:pPr>
        <w:spacing w:before="120"/>
        <w:jc w:val="both"/>
        <w:rPr>
          <w:rFonts w:cs="Arial"/>
          <w:i/>
          <w:color w:val="FF0000"/>
          <w:sz w:val="20"/>
        </w:rPr>
      </w:pPr>
      <w:r>
        <w:rPr>
          <w:rFonts w:cs="Arial"/>
        </w:rPr>
        <w:t>Poznámka:</w:t>
      </w:r>
      <w:r>
        <w:rPr>
          <w:rFonts w:cs="Arial"/>
          <w:highlight w:val="lightGray"/>
        </w:rPr>
        <w:t>…………………………………………………………………………………………….</w:t>
      </w:r>
    </w:p>
    <w:p>
      <w:pPr>
        <w:spacing w:before="120"/>
        <w:jc w:val="both"/>
        <w:rPr>
          <w:rFonts w:cs="Arial"/>
        </w:rPr>
      </w:pPr>
      <w:r>
        <w:rPr>
          <w:rFonts w:cs="Arial"/>
        </w:rPr>
        <w:t xml:space="preserve">Prodávající je povinen na fakturu uvést následující větu: „Zakázka je spolufinancována z prostředků Technické pomoci OP Doprava 2014-2020 v rámci projektu Technická pomoc ZS OPD 2016-2023 číslo CZ.04.4.125/0.0/0.0/15_005/0000002“. </w:t>
      </w:r>
      <w:r>
        <w:rPr>
          <w:rFonts w:cs="Arial"/>
          <w:i/>
          <w:color w:val="FF0000"/>
          <w:sz w:val="20"/>
        </w:rPr>
        <w:t>(Tento odstavec bude uveden pouze v případě, kdy Kupujícím bude Státní fond dopravní infrastruktury)</w:t>
      </w:r>
    </w:p>
    <w:p>
      <w:pPr>
        <w:spacing w:before="120"/>
        <w:jc w:val="both"/>
        <w:rPr>
          <w:rFonts w:cs="Arial"/>
        </w:rPr>
      </w:pPr>
      <w:r>
        <w:rPr>
          <w:rFonts w:cs="Arial"/>
        </w:rPr>
        <w:t>Předání a převzetí Zboží bude uskutečněno na základě dodacího listu vyhotoveného Prodávajícím ve dvou stejnopisech. Zboží bude řádně předáno až podpisem uvedeného dodacího listu, který jsou za Prodávajícího a Kupujícího oprávněny podepsat kontaktní osoby uvedené v této objednávce. Jedno vyhotovení dodacího listu obdrží Kupující a jedno vyhotovení obdrží Prodávající.</w:t>
      </w:r>
    </w:p>
    <w:p>
      <w:pPr>
        <w:spacing w:before="120"/>
        <w:jc w:val="both"/>
        <w:rPr>
          <w:rFonts w:cs="Arial"/>
        </w:rPr>
      </w:pPr>
      <w:r>
        <w:rPr>
          <w:rFonts w:cs="Arial"/>
        </w:rPr>
        <w:t>Kontaktní osoba pro převzetí Zboží:</w:t>
      </w:r>
    </w:p>
    <w:p>
      <w:pPr>
        <w:jc w:val="both"/>
        <w:rPr>
          <w:rFonts w:cs="Arial"/>
        </w:rPr>
      </w:pPr>
      <w:r>
        <w:rPr>
          <w:rFonts w:cs="Arial"/>
        </w:rPr>
        <w:t xml:space="preserve">jméno: </w:t>
      </w:r>
      <w:r>
        <w:rPr>
          <w:rFonts w:cs="Arial"/>
        </w:rPr>
        <w:tab/>
      </w:r>
      <w:r>
        <w:rPr>
          <w:rFonts w:cs="Arial"/>
        </w:rPr>
        <w:tab/>
      </w:r>
      <w:r>
        <w:rPr>
          <w:rFonts w:cs="Arial"/>
          <w:shd w:val="clear" w:color="auto" w:fill="D9D9D9" w:themeFill="background1" w:themeFillShade="D9"/>
        </w:rPr>
        <w:t>…………</w:t>
      </w:r>
    </w:p>
    <w:p>
      <w:pPr>
        <w:jc w:val="both"/>
        <w:rPr>
          <w:rFonts w:cs="Arial"/>
        </w:rPr>
      </w:pPr>
      <w:r>
        <w:rPr>
          <w:rFonts w:cs="Arial"/>
        </w:rPr>
        <w:t xml:space="preserve">telefonní spojení: </w:t>
      </w:r>
      <w:r>
        <w:rPr>
          <w:rFonts w:cs="Arial"/>
        </w:rPr>
        <w:tab/>
      </w:r>
      <w:r>
        <w:rPr>
          <w:rFonts w:cs="Arial"/>
          <w:shd w:val="clear" w:color="auto" w:fill="D9D9D9" w:themeFill="background1" w:themeFillShade="D9"/>
        </w:rPr>
        <w:t>…………</w:t>
      </w:r>
    </w:p>
    <w:p>
      <w:pPr>
        <w:jc w:val="both"/>
        <w:rPr>
          <w:rFonts w:cs="Arial"/>
          <w:shd w:val="clear" w:color="auto" w:fill="D9D9D9" w:themeFill="background1" w:themeFillShade="D9"/>
        </w:rPr>
      </w:pPr>
      <w:r>
        <w:rPr>
          <w:rFonts w:cs="Arial"/>
        </w:rPr>
        <w:t xml:space="preserve">e-mail: </w:t>
      </w:r>
      <w:r>
        <w:rPr>
          <w:rFonts w:cs="Arial"/>
        </w:rPr>
        <w:tab/>
      </w:r>
      <w:r>
        <w:rPr>
          <w:rFonts w:cs="Arial"/>
        </w:rPr>
        <w:tab/>
      </w:r>
      <w:r>
        <w:rPr>
          <w:rFonts w:cs="Arial"/>
          <w:shd w:val="clear" w:color="auto" w:fill="D9D9D9" w:themeFill="background1" w:themeFillShade="D9"/>
        </w:rPr>
        <w:t>…………</w:t>
      </w:r>
    </w:p>
    <w:p>
      <w:pPr>
        <w:spacing w:before="120"/>
        <w:jc w:val="both"/>
        <w:rPr>
          <w:rFonts w:cs="Arial"/>
        </w:rPr>
      </w:pPr>
      <w:r>
        <w:rPr>
          <w:rFonts w:cs="Arial"/>
          <w:b/>
        </w:rPr>
        <w:t xml:space="preserve">Celková cena za objednávané Zboží činí </w:t>
      </w:r>
      <w:r>
        <w:rPr>
          <w:rFonts w:cs="Arial"/>
          <w:b/>
          <w:shd w:val="clear" w:color="auto" w:fill="D9D9D9" w:themeFill="background1" w:themeFillShade="D9"/>
        </w:rPr>
        <w:t>……………</w:t>
      </w:r>
      <w:r>
        <w:rPr>
          <w:rFonts w:cs="Arial"/>
          <w:b/>
        </w:rPr>
        <w:t xml:space="preserve"> Kč bez DPH</w:t>
      </w:r>
      <w:r>
        <w:rPr>
          <w:rFonts w:cs="Arial"/>
        </w:rPr>
        <w:t>.</w:t>
      </w:r>
    </w:p>
    <w:p>
      <w:pPr>
        <w:spacing w:before="120"/>
        <w:jc w:val="both"/>
        <w:rPr>
          <w:rFonts w:cs="Arial"/>
        </w:rPr>
      </w:pPr>
    </w:p>
    <w:p>
      <w:pPr>
        <w:jc w:val="both"/>
        <w:rPr>
          <w:rFonts w:cs="Arial"/>
        </w:rPr>
      </w:pPr>
      <w:r>
        <w:rPr>
          <w:rFonts w:cs="Arial"/>
        </w:rPr>
        <w:t>Přílohy: Potvrzení Objednávky</w:t>
      </w:r>
    </w:p>
    <w:p>
      <w:pPr>
        <w:ind w:left="828"/>
        <w:rPr>
          <w:rFonts w:cs="Arial"/>
        </w:rPr>
      </w:pPr>
      <w:r>
        <w:rPr>
          <w:rFonts w:cs="Arial"/>
        </w:rPr>
        <w:t>Seznam objednávaného Zboží</w:t>
      </w:r>
    </w:p>
    <w:p>
      <w:pPr>
        <w:spacing w:before="120"/>
        <w:jc w:val="both"/>
        <w:rPr>
          <w:rFonts w:cs="Arial"/>
        </w:rPr>
      </w:pPr>
    </w:p>
    <w:p>
      <w:pPr>
        <w:spacing w:before="120"/>
        <w:jc w:val="both"/>
        <w:rPr>
          <w:rFonts w:cs="Arial"/>
        </w:rPr>
      </w:pPr>
      <w:r>
        <w:rPr>
          <w:rFonts w:cs="Arial"/>
        </w:rPr>
        <w:t xml:space="preserve">Za Kupujícího </w:t>
      </w:r>
    </w:p>
    <w:p>
      <w:pPr>
        <w:spacing w:before="120"/>
        <w:jc w:val="both"/>
        <w:rPr>
          <w:rFonts w:cs="Arial"/>
        </w:rPr>
      </w:pPr>
    </w:p>
    <w:p>
      <w:pPr>
        <w:spacing w:before="120"/>
        <w:jc w:val="both"/>
        <w:rPr>
          <w:rFonts w:cs="Arial"/>
        </w:rPr>
      </w:pPr>
      <w:r>
        <w:rPr>
          <w:rFonts w:cs="Arial"/>
        </w:rPr>
        <w:t>……………………………………………………………………………………….</w:t>
      </w:r>
    </w:p>
    <w:p>
      <w:pPr>
        <w:jc w:val="both"/>
        <w:rPr>
          <w:rFonts w:cs="Arial"/>
          <w:i/>
          <w:color w:val="FF0000"/>
          <w:sz w:val="20"/>
        </w:rPr>
      </w:pPr>
      <w:r>
        <w:rPr>
          <w:rFonts w:cs="Arial"/>
          <w:i/>
          <w:color w:val="FF0000"/>
          <w:sz w:val="20"/>
        </w:rPr>
        <w:t xml:space="preserve">(Kupující doplní název, sídlo a IČO organizace) </w:t>
      </w:r>
    </w:p>
    <w:p>
      <w:pPr>
        <w:jc w:val="both"/>
        <w:rPr>
          <w:rFonts w:cs="Arial"/>
          <w:i/>
          <w:color w:val="FF0000"/>
          <w:sz w:val="20"/>
        </w:rPr>
      </w:pPr>
    </w:p>
    <w:p>
      <w:pPr>
        <w:jc w:val="both"/>
        <w:rPr>
          <w:rFonts w:cs="Arial"/>
          <w:i/>
          <w:color w:val="FF0000"/>
          <w:sz w:val="20"/>
        </w:rPr>
      </w:pPr>
    </w:p>
    <w:p>
      <w:pPr>
        <w:jc w:val="both"/>
        <w:rPr>
          <w:rFonts w:cs="Arial"/>
          <w:i/>
          <w:color w:val="FF0000"/>
          <w:sz w:val="20"/>
        </w:rPr>
      </w:pPr>
      <w:r>
        <w:rPr>
          <w:rFonts w:cs="Arial"/>
          <w:i/>
          <w:color w:val="FF0000"/>
          <w:sz w:val="20"/>
        </w:rPr>
        <w:t>……………………………………………………………………………………………………..</w:t>
      </w:r>
    </w:p>
    <w:p>
      <w:pPr>
        <w:spacing w:before="120"/>
        <w:jc w:val="both"/>
        <w:rPr>
          <w:rFonts w:cs="Arial"/>
          <w:i/>
          <w:color w:val="FF0000"/>
          <w:sz w:val="20"/>
        </w:rPr>
      </w:pPr>
      <w:r>
        <w:rPr>
          <w:rFonts w:cs="Arial"/>
          <w:i/>
          <w:color w:val="FF0000"/>
          <w:sz w:val="20"/>
        </w:rPr>
        <w:t>(Kupující doplní osobu oprávněnou k podpisu objednávky)</w:t>
      </w:r>
    </w:p>
    <w:p>
      <w:pPr>
        <w:spacing w:before="120"/>
        <w:jc w:val="both"/>
        <w:rPr>
          <w:rFonts w:cs="Arial"/>
        </w:rPr>
      </w:pPr>
    </w:p>
    <w:p>
      <w:pPr>
        <w:spacing w:before="120"/>
        <w:jc w:val="both"/>
        <w:rPr>
          <w:rFonts w:cs="Arial"/>
        </w:rPr>
      </w:pPr>
      <w:r>
        <w:rPr>
          <w:rFonts w:cs="Arial"/>
        </w:rPr>
        <w:t>Prodávající</w:t>
      </w:r>
    </w:p>
    <w:p>
      <w:pPr>
        <w:spacing w:before="120"/>
        <w:jc w:val="both"/>
        <w:rPr>
          <w:rFonts w:cs="Arial"/>
        </w:rPr>
      </w:pPr>
    </w:p>
    <w:p>
      <w:r>
        <w:rPr>
          <w:rFonts w:cs="Arial"/>
          <w:b/>
        </w:rPr>
        <w:t>OFFICE DEPOT s.r.o.</w:t>
      </w:r>
    </w:p>
    <w:p>
      <w:pPr>
        <w:spacing w:before="120"/>
        <w:jc w:val="both"/>
        <w:rPr>
          <w:rFonts w:cs="Arial"/>
          <w:lang w:eastAsia="cs-CZ"/>
        </w:rPr>
      </w:pPr>
      <w:r>
        <w:rPr>
          <w:rFonts w:cs="Arial"/>
          <w:lang w:eastAsia="cs-CZ"/>
        </w:rPr>
        <w:t xml:space="preserve">se sídlem: </w:t>
      </w:r>
      <w:r>
        <w:rPr>
          <w:rFonts w:cs="Arial"/>
          <w:lang w:eastAsia="cs-CZ"/>
        </w:rPr>
        <w:tab/>
      </w:r>
      <w:r>
        <w:rPr>
          <w:rFonts w:cs="Arial"/>
          <w:lang w:eastAsia="cs-CZ"/>
        </w:rPr>
        <w:tab/>
        <w:t>Floriánova 2461, PSČ 253 01 Hostivice</w:t>
      </w:r>
    </w:p>
    <w:p>
      <w:pPr>
        <w:jc w:val="both"/>
        <w:rPr>
          <w:rFonts w:cs="Arial"/>
          <w:lang w:eastAsia="cs-CZ"/>
        </w:rPr>
      </w:pPr>
      <w:r>
        <w:rPr>
          <w:rFonts w:cs="Arial"/>
          <w:lang w:eastAsia="cs-CZ"/>
        </w:rPr>
        <w:t>zastoupená:</w:t>
      </w:r>
      <w:r>
        <w:rPr>
          <w:rFonts w:cs="Arial"/>
          <w:lang w:eastAsia="cs-CZ"/>
        </w:rPr>
        <w:tab/>
      </w:r>
      <w:r>
        <w:rPr>
          <w:rFonts w:cs="Arial"/>
          <w:lang w:eastAsia="cs-CZ"/>
        </w:rPr>
        <w:tab/>
        <w:t>Ing. Milan Baran, MBA, jednatel</w:t>
      </w:r>
    </w:p>
    <w:p>
      <w:pPr>
        <w:jc w:val="both"/>
        <w:rPr>
          <w:rFonts w:cs="Arial"/>
          <w:lang w:eastAsia="cs-CZ"/>
        </w:rPr>
      </w:pPr>
      <w:r>
        <w:rPr>
          <w:rFonts w:cs="Arial"/>
          <w:lang w:eastAsia="cs-CZ"/>
        </w:rPr>
        <w:t xml:space="preserve">IČO: </w:t>
      </w:r>
      <w:r>
        <w:rPr>
          <w:rFonts w:cs="Arial"/>
          <w:lang w:eastAsia="cs-CZ"/>
        </w:rPr>
        <w:tab/>
      </w:r>
      <w:r>
        <w:rPr>
          <w:rFonts w:cs="Arial"/>
          <w:lang w:eastAsia="cs-CZ"/>
        </w:rPr>
        <w:tab/>
      </w:r>
      <w:r>
        <w:rPr>
          <w:rFonts w:cs="Arial"/>
          <w:lang w:eastAsia="cs-CZ"/>
        </w:rPr>
        <w:tab/>
      </w:r>
      <w:r>
        <w:rPr>
          <w:rFonts w:cs="Arial"/>
        </w:rPr>
        <w:t>64942503</w:t>
      </w:r>
    </w:p>
    <w:p>
      <w:r>
        <w:rPr>
          <w:rFonts w:cs="Arial"/>
          <w:lang w:eastAsia="cs-CZ"/>
        </w:rPr>
        <w:t xml:space="preserve">bankovní spojení: </w:t>
      </w:r>
      <w:r>
        <w:rPr>
          <w:rFonts w:cs="Arial"/>
          <w:lang w:eastAsia="cs-CZ"/>
        </w:rPr>
        <w:tab/>
      </w:r>
      <w:proofErr w:type="spellStart"/>
      <w:r>
        <w:t>xxx</w:t>
      </w:r>
      <w:proofErr w:type="spellEnd"/>
    </w:p>
    <w:p>
      <w:pPr>
        <w:jc w:val="both"/>
        <w:rPr>
          <w:rFonts w:cs="Arial"/>
          <w:lang w:eastAsia="cs-CZ"/>
        </w:rPr>
      </w:pPr>
      <w:r>
        <w:rPr>
          <w:rFonts w:cs="Arial"/>
          <w:lang w:eastAsia="cs-CZ"/>
        </w:rPr>
        <w:t xml:space="preserve">číslo účtu: </w:t>
      </w:r>
      <w:r>
        <w:rPr>
          <w:rFonts w:cs="Arial"/>
          <w:lang w:eastAsia="cs-CZ"/>
        </w:rPr>
        <w:tab/>
      </w:r>
      <w:r>
        <w:rPr>
          <w:rFonts w:cs="Arial"/>
          <w:lang w:eastAsia="cs-CZ"/>
        </w:rPr>
        <w:tab/>
      </w:r>
      <w:r>
        <w:t>xxx</w:t>
      </w:r>
      <w:bookmarkStart w:id="2" w:name="_GoBack"/>
      <w:bookmarkEnd w:id="2"/>
      <w:r>
        <w:t xml:space="preserve"> </w:t>
      </w:r>
    </w:p>
    <w:p>
      <w:pPr>
        <w:rPr>
          <w:rFonts w:cs="Arial"/>
        </w:rPr>
      </w:pPr>
    </w:p>
    <w:p>
      <w:pPr>
        <w:rPr>
          <w:rFonts w:cs="Arial"/>
        </w:rPr>
      </w:pPr>
    </w:p>
    <w:p>
      <w:pPr>
        <w:rPr>
          <w:rFonts w:cs="Arial"/>
        </w:rPr>
      </w:pPr>
      <w:r>
        <w:rPr>
          <w:rFonts w:cs="Arial"/>
        </w:rPr>
        <w:br w:type="page"/>
      </w:r>
    </w:p>
    <w:tbl>
      <w:tblPr>
        <w:tblW w:w="9120" w:type="dxa"/>
        <w:tblInd w:w="55" w:type="dxa"/>
        <w:tblCellMar>
          <w:left w:w="70" w:type="dxa"/>
          <w:right w:w="70" w:type="dxa"/>
        </w:tblCellMar>
        <w:tblLook w:val="04A0" w:firstRow="1" w:lastRow="0" w:firstColumn="1" w:lastColumn="0" w:noHBand="0" w:noVBand="1"/>
      </w:tblPr>
      <w:tblGrid>
        <w:gridCol w:w="1920"/>
        <w:gridCol w:w="1000"/>
        <w:gridCol w:w="1500"/>
        <w:gridCol w:w="1420"/>
        <w:gridCol w:w="1640"/>
        <w:gridCol w:w="1640"/>
      </w:tblGrid>
      <w:tr>
        <w:trPr>
          <w:trHeight w:val="330"/>
        </w:trPr>
        <w:tc>
          <w:tcPr>
            <w:tcW w:w="4420" w:type="dxa"/>
            <w:gridSpan w:val="3"/>
            <w:tcBorders>
              <w:top w:val="nil"/>
              <w:left w:val="nil"/>
              <w:bottom w:val="nil"/>
              <w:right w:val="nil"/>
            </w:tcBorders>
            <w:shd w:val="clear" w:color="auto" w:fill="auto"/>
            <w:vAlign w:val="bottom"/>
            <w:hideMark/>
          </w:tcPr>
          <w:p>
            <w:pPr>
              <w:rPr>
                <w:rFonts w:ascii="Calibri" w:hAnsi="Calibri" w:cs="Calibri"/>
                <w:b/>
                <w:bCs/>
                <w:u w:val="single"/>
                <w:lang w:eastAsia="cs-CZ" w:bidi="ar-SA"/>
              </w:rPr>
            </w:pPr>
            <w:r>
              <w:rPr>
                <w:rFonts w:ascii="Calibri" w:hAnsi="Calibri" w:cs="Calibri"/>
                <w:b/>
                <w:bCs/>
                <w:szCs w:val="22"/>
                <w:u w:val="single"/>
                <w:lang w:eastAsia="cs-CZ" w:bidi="ar-SA"/>
              </w:rPr>
              <w:t>Seznam objednávaného Zboží</w:t>
            </w:r>
          </w:p>
        </w:tc>
        <w:tc>
          <w:tcPr>
            <w:tcW w:w="1420" w:type="dxa"/>
            <w:tcBorders>
              <w:top w:val="nil"/>
              <w:left w:val="nil"/>
              <w:bottom w:val="nil"/>
              <w:right w:val="nil"/>
            </w:tcBorders>
            <w:shd w:val="clear" w:color="auto" w:fill="auto"/>
            <w:noWrap/>
            <w:vAlign w:val="bottom"/>
            <w:hideMark/>
          </w:tcPr>
          <w:p>
            <w:pPr>
              <w:jc w:val="center"/>
              <w:rPr>
                <w:rFonts w:ascii="Calibri" w:hAnsi="Calibri" w:cs="Calibri"/>
                <w:b/>
                <w:bCs/>
                <w:lang w:eastAsia="cs-CZ" w:bidi="ar-SA"/>
              </w:rPr>
            </w:pPr>
          </w:p>
        </w:tc>
        <w:tc>
          <w:tcPr>
            <w:tcW w:w="3280" w:type="dxa"/>
            <w:gridSpan w:val="2"/>
            <w:tcBorders>
              <w:top w:val="nil"/>
              <w:left w:val="nil"/>
              <w:bottom w:val="nil"/>
              <w:right w:val="nil"/>
            </w:tcBorders>
            <w:shd w:val="clear" w:color="auto" w:fill="auto"/>
            <w:vAlign w:val="center"/>
            <w:hideMark/>
          </w:tcPr>
          <w:p>
            <w:pPr>
              <w:jc w:val="right"/>
              <w:rPr>
                <w:rFonts w:ascii="Calibri" w:hAnsi="Calibri" w:cs="Calibri"/>
                <w:lang w:eastAsia="cs-CZ" w:bidi="ar-SA"/>
              </w:rPr>
            </w:pPr>
            <w:r>
              <w:rPr>
                <w:rFonts w:ascii="Calibri" w:hAnsi="Calibri" w:cs="Calibri"/>
                <w:szCs w:val="22"/>
                <w:lang w:eastAsia="cs-CZ" w:bidi="ar-SA"/>
              </w:rPr>
              <w:t>Příloha objednávky</w:t>
            </w:r>
          </w:p>
        </w:tc>
      </w:tr>
      <w:tr>
        <w:trPr>
          <w:trHeight w:val="330"/>
        </w:trPr>
        <w:tc>
          <w:tcPr>
            <w:tcW w:w="7480" w:type="dxa"/>
            <w:gridSpan w:val="5"/>
            <w:tcBorders>
              <w:top w:val="nil"/>
              <w:left w:val="nil"/>
              <w:bottom w:val="nil"/>
              <w:right w:val="nil"/>
            </w:tcBorders>
            <w:shd w:val="clear" w:color="auto" w:fill="auto"/>
            <w:noWrap/>
            <w:vAlign w:val="bottom"/>
            <w:hideMark/>
          </w:tcPr>
          <w:p>
            <w:pPr>
              <w:rPr>
                <w:rFonts w:ascii="Calibri" w:hAnsi="Calibri" w:cs="Calibri"/>
                <w:b/>
                <w:bCs/>
                <w:u w:val="single"/>
                <w:lang w:eastAsia="cs-CZ" w:bidi="ar-SA"/>
              </w:rPr>
            </w:pPr>
            <w:r>
              <w:rPr>
                <w:rFonts w:ascii="Calibri" w:hAnsi="Calibri" w:cs="Calibri"/>
                <w:b/>
                <w:bCs/>
                <w:szCs w:val="22"/>
                <w:u w:val="single"/>
                <w:lang w:eastAsia="cs-CZ" w:bidi="ar-SA"/>
              </w:rPr>
              <w:t xml:space="preserve">„Dodávky xerografického papíru pro resort dopravy 2019 - 2021“ </w:t>
            </w:r>
          </w:p>
        </w:tc>
        <w:tc>
          <w:tcPr>
            <w:tcW w:w="1640" w:type="dxa"/>
            <w:tcBorders>
              <w:top w:val="nil"/>
              <w:left w:val="nil"/>
              <w:bottom w:val="nil"/>
              <w:right w:val="nil"/>
            </w:tcBorders>
            <w:shd w:val="clear" w:color="auto" w:fill="auto"/>
            <w:noWrap/>
            <w:vAlign w:val="bottom"/>
            <w:hideMark/>
          </w:tcPr>
          <w:p>
            <w:pPr>
              <w:jc w:val="center"/>
              <w:rPr>
                <w:rFonts w:ascii="Calibri" w:hAnsi="Calibri" w:cs="Calibri"/>
                <w:b/>
                <w:bCs/>
                <w:lang w:eastAsia="cs-CZ" w:bidi="ar-SA"/>
              </w:rPr>
            </w:pPr>
          </w:p>
        </w:tc>
      </w:tr>
      <w:tr>
        <w:trPr>
          <w:trHeight w:val="330"/>
        </w:trPr>
        <w:tc>
          <w:tcPr>
            <w:tcW w:w="1920" w:type="dxa"/>
            <w:tcBorders>
              <w:top w:val="nil"/>
              <w:left w:val="nil"/>
              <w:bottom w:val="nil"/>
              <w:right w:val="nil"/>
            </w:tcBorders>
            <w:shd w:val="clear" w:color="auto" w:fill="auto"/>
            <w:vAlign w:val="bottom"/>
            <w:hideMark/>
          </w:tcPr>
          <w:p>
            <w:pPr>
              <w:rPr>
                <w:rFonts w:ascii="Calibri" w:hAnsi="Calibri" w:cs="Calibri"/>
                <w:b/>
                <w:bCs/>
                <w:lang w:eastAsia="cs-CZ" w:bidi="ar-SA"/>
              </w:rPr>
            </w:pPr>
          </w:p>
        </w:tc>
        <w:tc>
          <w:tcPr>
            <w:tcW w:w="1000" w:type="dxa"/>
            <w:tcBorders>
              <w:top w:val="nil"/>
              <w:left w:val="nil"/>
              <w:bottom w:val="nil"/>
              <w:right w:val="nil"/>
            </w:tcBorders>
            <w:shd w:val="clear" w:color="auto" w:fill="auto"/>
            <w:vAlign w:val="bottom"/>
            <w:hideMark/>
          </w:tcPr>
          <w:p>
            <w:pPr>
              <w:rPr>
                <w:rFonts w:ascii="Calibri" w:hAnsi="Calibri" w:cs="Calibri"/>
                <w:b/>
                <w:bCs/>
                <w:lang w:eastAsia="cs-CZ" w:bidi="ar-SA"/>
              </w:rPr>
            </w:pPr>
          </w:p>
        </w:tc>
        <w:tc>
          <w:tcPr>
            <w:tcW w:w="1500" w:type="dxa"/>
            <w:tcBorders>
              <w:top w:val="nil"/>
              <w:left w:val="nil"/>
              <w:bottom w:val="nil"/>
              <w:right w:val="nil"/>
            </w:tcBorders>
            <w:shd w:val="clear" w:color="auto" w:fill="auto"/>
            <w:noWrap/>
            <w:vAlign w:val="center"/>
            <w:hideMark/>
          </w:tcPr>
          <w:p>
            <w:pPr>
              <w:jc w:val="center"/>
              <w:rPr>
                <w:rFonts w:ascii="Calibri" w:hAnsi="Calibri" w:cs="Calibri"/>
                <w:lang w:eastAsia="cs-CZ" w:bidi="ar-SA"/>
              </w:rPr>
            </w:pPr>
          </w:p>
        </w:tc>
        <w:tc>
          <w:tcPr>
            <w:tcW w:w="1420" w:type="dxa"/>
            <w:tcBorders>
              <w:top w:val="nil"/>
              <w:left w:val="nil"/>
              <w:bottom w:val="nil"/>
              <w:right w:val="nil"/>
            </w:tcBorders>
            <w:shd w:val="clear" w:color="auto" w:fill="auto"/>
            <w:noWrap/>
            <w:vAlign w:val="bottom"/>
            <w:hideMark/>
          </w:tcPr>
          <w:p>
            <w:pPr>
              <w:rPr>
                <w:rFonts w:ascii="Calibri" w:hAnsi="Calibri" w:cs="Calibri"/>
                <w:lang w:eastAsia="cs-CZ" w:bidi="ar-SA"/>
              </w:rPr>
            </w:pPr>
          </w:p>
        </w:tc>
        <w:tc>
          <w:tcPr>
            <w:tcW w:w="1640" w:type="dxa"/>
            <w:tcBorders>
              <w:top w:val="nil"/>
              <w:left w:val="nil"/>
              <w:bottom w:val="nil"/>
              <w:right w:val="nil"/>
            </w:tcBorders>
            <w:shd w:val="clear" w:color="auto" w:fill="auto"/>
            <w:noWrap/>
            <w:vAlign w:val="bottom"/>
            <w:hideMark/>
          </w:tcPr>
          <w:p>
            <w:pPr>
              <w:rPr>
                <w:rFonts w:ascii="Calibri" w:hAnsi="Calibri" w:cs="Calibri"/>
                <w:lang w:eastAsia="cs-CZ" w:bidi="ar-SA"/>
              </w:rPr>
            </w:pPr>
          </w:p>
        </w:tc>
        <w:tc>
          <w:tcPr>
            <w:tcW w:w="1640" w:type="dxa"/>
            <w:tcBorders>
              <w:top w:val="nil"/>
              <w:left w:val="nil"/>
              <w:bottom w:val="nil"/>
              <w:right w:val="nil"/>
            </w:tcBorders>
            <w:shd w:val="clear" w:color="auto" w:fill="auto"/>
            <w:noWrap/>
            <w:vAlign w:val="bottom"/>
            <w:hideMark/>
          </w:tcPr>
          <w:p>
            <w:pPr>
              <w:rPr>
                <w:rFonts w:ascii="Calibri" w:hAnsi="Calibri" w:cs="Calibri"/>
                <w:lang w:eastAsia="cs-CZ" w:bidi="ar-SA"/>
              </w:rPr>
            </w:pPr>
          </w:p>
        </w:tc>
      </w:tr>
      <w:tr>
        <w:trPr>
          <w:trHeight w:val="450"/>
        </w:trPr>
        <w:tc>
          <w:tcPr>
            <w:tcW w:w="1920" w:type="dxa"/>
            <w:tcBorders>
              <w:top w:val="single" w:sz="4" w:space="0" w:color="auto"/>
              <w:left w:val="single" w:sz="4" w:space="0" w:color="auto"/>
              <w:bottom w:val="single" w:sz="4" w:space="0" w:color="auto"/>
              <w:right w:val="nil"/>
            </w:tcBorders>
            <w:shd w:val="clear" w:color="auto" w:fill="auto"/>
            <w:vAlign w:val="bottom"/>
            <w:hideMark/>
          </w:tcPr>
          <w:p>
            <w:pPr>
              <w:rPr>
                <w:rFonts w:ascii="Calibri" w:hAnsi="Calibri" w:cs="Calibri"/>
                <w:lang w:eastAsia="cs-CZ" w:bidi="ar-SA"/>
              </w:rPr>
            </w:pPr>
            <w:r>
              <w:rPr>
                <w:rFonts w:ascii="Calibri" w:hAnsi="Calibri" w:cs="Calibri"/>
                <w:szCs w:val="22"/>
                <w:lang w:eastAsia="cs-CZ" w:bidi="ar-SA"/>
              </w:rPr>
              <w:t>Název organizace</w:t>
            </w:r>
          </w:p>
        </w:tc>
        <w:tc>
          <w:tcPr>
            <w:tcW w:w="556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pPr>
              <w:jc w:val="center"/>
              <w:rPr>
                <w:rFonts w:ascii="Calibri" w:hAnsi="Calibri" w:cs="Calibri"/>
                <w:lang w:eastAsia="cs-CZ" w:bidi="ar-SA"/>
              </w:rPr>
            </w:pPr>
            <w:r>
              <w:rPr>
                <w:rFonts w:ascii="Calibri" w:hAnsi="Calibri" w:cs="Calibri"/>
                <w:szCs w:val="22"/>
                <w:lang w:eastAsia="cs-CZ" w:bidi="ar-SA"/>
              </w:rPr>
              <w:t> </w:t>
            </w:r>
          </w:p>
        </w:tc>
        <w:tc>
          <w:tcPr>
            <w:tcW w:w="1640" w:type="dxa"/>
            <w:tcBorders>
              <w:top w:val="nil"/>
              <w:left w:val="nil"/>
              <w:bottom w:val="nil"/>
              <w:right w:val="nil"/>
            </w:tcBorders>
            <w:shd w:val="clear" w:color="auto" w:fill="auto"/>
            <w:noWrap/>
            <w:vAlign w:val="bottom"/>
            <w:hideMark/>
          </w:tcPr>
          <w:p>
            <w:pPr>
              <w:rPr>
                <w:rFonts w:ascii="Calibri" w:hAnsi="Calibri" w:cs="Calibri"/>
                <w:lang w:eastAsia="cs-CZ" w:bidi="ar-SA"/>
              </w:rPr>
            </w:pPr>
          </w:p>
        </w:tc>
      </w:tr>
      <w:tr>
        <w:trPr>
          <w:trHeight w:val="450"/>
        </w:trPr>
        <w:tc>
          <w:tcPr>
            <w:tcW w:w="1920" w:type="dxa"/>
            <w:tcBorders>
              <w:top w:val="nil"/>
              <w:left w:val="single" w:sz="4" w:space="0" w:color="auto"/>
              <w:bottom w:val="single" w:sz="4" w:space="0" w:color="auto"/>
              <w:right w:val="nil"/>
            </w:tcBorders>
            <w:shd w:val="clear" w:color="auto" w:fill="auto"/>
            <w:noWrap/>
            <w:vAlign w:val="bottom"/>
            <w:hideMark/>
          </w:tcPr>
          <w:p>
            <w:pPr>
              <w:rPr>
                <w:rFonts w:ascii="Calibri" w:hAnsi="Calibri" w:cs="Calibri"/>
                <w:lang w:eastAsia="cs-CZ" w:bidi="ar-SA"/>
              </w:rPr>
            </w:pPr>
            <w:r>
              <w:rPr>
                <w:rFonts w:ascii="Calibri" w:hAnsi="Calibri" w:cs="Calibri"/>
                <w:szCs w:val="22"/>
                <w:lang w:eastAsia="cs-CZ" w:bidi="ar-SA"/>
              </w:rPr>
              <w:t>Číslo objednávky:</w:t>
            </w:r>
          </w:p>
        </w:tc>
        <w:tc>
          <w:tcPr>
            <w:tcW w:w="25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pPr>
              <w:rPr>
                <w:rFonts w:ascii="Calibri" w:hAnsi="Calibri" w:cs="Calibri"/>
                <w:lang w:eastAsia="cs-CZ" w:bidi="ar-SA"/>
              </w:rPr>
            </w:pPr>
            <w:r>
              <w:rPr>
                <w:rFonts w:ascii="Calibri" w:hAnsi="Calibri" w:cs="Calibri"/>
                <w:szCs w:val="22"/>
                <w:lang w:eastAsia="cs-CZ" w:bidi="ar-SA"/>
              </w:rPr>
              <w:t> </w:t>
            </w:r>
          </w:p>
        </w:tc>
        <w:tc>
          <w:tcPr>
            <w:tcW w:w="1420" w:type="dxa"/>
            <w:tcBorders>
              <w:top w:val="nil"/>
              <w:left w:val="nil"/>
              <w:bottom w:val="nil"/>
              <w:right w:val="nil"/>
            </w:tcBorders>
            <w:shd w:val="clear" w:color="auto" w:fill="auto"/>
            <w:noWrap/>
            <w:vAlign w:val="bottom"/>
            <w:hideMark/>
          </w:tcPr>
          <w:p>
            <w:pPr>
              <w:rPr>
                <w:rFonts w:ascii="Calibri" w:hAnsi="Calibri" w:cs="Calibri"/>
                <w:lang w:eastAsia="cs-CZ" w:bidi="ar-SA"/>
              </w:rPr>
            </w:pPr>
          </w:p>
        </w:tc>
        <w:tc>
          <w:tcPr>
            <w:tcW w:w="1640" w:type="dxa"/>
            <w:tcBorders>
              <w:top w:val="nil"/>
              <w:left w:val="nil"/>
              <w:bottom w:val="nil"/>
              <w:right w:val="nil"/>
            </w:tcBorders>
            <w:shd w:val="clear" w:color="auto" w:fill="auto"/>
            <w:noWrap/>
            <w:vAlign w:val="bottom"/>
            <w:hideMark/>
          </w:tcPr>
          <w:p>
            <w:pPr>
              <w:rPr>
                <w:rFonts w:ascii="Calibri" w:hAnsi="Calibri" w:cs="Calibri"/>
                <w:lang w:eastAsia="cs-CZ" w:bidi="ar-SA"/>
              </w:rPr>
            </w:pPr>
          </w:p>
        </w:tc>
        <w:tc>
          <w:tcPr>
            <w:tcW w:w="1640" w:type="dxa"/>
            <w:tcBorders>
              <w:top w:val="nil"/>
              <w:left w:val="nil"/>
              <w:bottom w:val="nil"/>
              <w:right w:val="nil"/>
            </w:tcBorders>
            <w:shd w:val="clear" w:color="auto" w:fill="auto"/>
            <w:noWrap/>
            <w:vAlign w:val="bottom"/>
            <w:hideMark/>
          </w:tcPr>
          <w:p>
            <w:pPr>
              <w:rPr>
                <w:rFonts w:ascii="Calibri" w:hAnsi="Calibri" w:cs="Calibri"/>
                <w:lang w:eastAsia="cs-CZ" w:bidi="ar-SA"/>
              </w:rPr>
            </w:pPr>
          </w:p>
        </w:tc>
      </w:tr>
      <w:tr>
        <w:trPr>
          <w:trHeight w:val="450"/>
        </w:trPr>
        <w:tc>
          <w:tcPr>
            <w:tcW w:w="1920" w:type="dxa"/>
            <w:tcBorders>
              <w:top w:val="nil"/>
              <w:left w:val="nil"/>
              <w:bottom w:val="nil"/>
              <w:right w:val="nil"/>
            </w:tcBorders>
            <w:shd w:val="clear" w:color="auto" w:fill="auto"/>
            <w:vAlign w:val="bottom"/>
            <w:hideMark/>
          </w:tcPr>
          <w:p>
            <w:pPr>
              <w:rPr>
                <w:rFonts w:ascii="Calibri" w:hAnsi="Calibri" w:cs="Calibri"/>
                <w:lang w:eastAsia="cs-CZ" w:bidi="ar-SA"/>
              </w:rPr>
            </w:pPr>
          </w:p>
        </w:tc>
        <w:tc>
          <w:tcPr>
            <w:tcW w:w="1000" w:type="dxa"/>
            <w:tcBorders>
              <w:top w:val="nil"/>
              <w:left w:val="nil"/>
              <w:bottom w:val="nil"/>
              <w:right w:val="nil"/>
            </w:tcBorders>
            <w:shd w:val="clear" w:color="auto" w:fill="auto"/>
            <w:vAlign w:val="bottom"/>
            <w:hideMark/>
          </w:tcPr>
          <w:p>
            <w:pPr>
              <w:rPr>
                <w:rFonts w:ascii="Calibri" w:hAnsi="Calibri" w:cs="Calibri"/>
                <w:lang w:eastAsia="cs-CZ" w:bidi="ar-SA"/>
              </w:rPr>
            </w:pPr>
          </w:p>
        </w:tc>
        <w:tc>
          <w:tcPr>
            <w:tcW w:w="1500" w:type="dxa"/>
            <w:tcBorders>
              <w:top w:val="nil"/>
              <w:left w:val="nil"/>
              <w:bottom w:val="nil"/>
              <w:right w:val="nil"/>
            </w:tcBorders>
            <w:shd w:val="clear" w:color="auto" w:fill="auto"/>
            <w:noWrap/>
            <w:vAlign w:val="center"/>
            <w:hideMark/>
          </w:tcPr>
          <w:p>
            <w:pPr>
              <w:rPr>
                <w:rFonts w:ascii="Calibri" w:hAnsi="Calibri" w:cs="Calibri"/>
                <w:lang w:eastAsia="cs-CZ" w:bidi="ar-SA"/>
              </w:rPr>
            </w:pPr>
          </w:p>
        </w:tc>
        <w:tc>
          <w:tcPr>
            <w:tcW w:w="1420" w:type="dxa"/>
            <w:tcBorders>
              <w:top w:val="nil"/>
              <w:left w:val="nil"/>
              <w:bottom w:val="nil"/>
              <w:right w:val="nil"/>
            </w:tcBorders>
            <w:shd w:val="clear" w:color="auto" w:fill="auto"/>
            <w:noWrap/>
            <w:vAlign w:val="center"/>
            <w:hideMark/>
          </w:tcPr>
          <w:p>
            <w:pPr>
              <w:rPr>
                <w:rFonts w:ascii="Calibri" w:hAnsi="Calibri" w:cs="Calibri"/>
                <w:lang w:eastAsia="cs-CZ" w:bidi="ar-SA"/>
              </w:rPr>
            </w:pPr>
          </w:p>
        </w:tc>
        <w:tc>
          <w:tcPr>
            <w:tcW w:w="1640" w:type="dxa"/>
            <w:tcBorders>
              <w:top w:val="nil"/>
              <w:left w:val="nil"/>
              <w:bottom w:val="nil"/>
              <w:right w:val="nil"/>
            </w:tcBorders>
            <w:shd w:val="clear" w:color="auto" w:fill="auto"/>
            <w:noWrap/>
            <w:vAlign w:val="center"/>
            <w:hideMark/>
          </w:tcPr>
          <w:p>
            <w:pPr>
              <w:rPr>
                <w:rFonts w:ascii="Calibri" w:hAnsi="Calibri" w:cs="Calibri"/>
                <w:lang w:eastAsia="cs-CZ" w:bidi="ar-SA"/>
              </w:rPr>
            </w:pPr>
          </w:p>
        </w:tc>
        <w:tc>
          <w:tcPr>
            <w:tcW w:w="1640" w:type="dxa"/>
            <w:tcBorders>
              <w:top w:val="nil"/>
              <w:left w:val="nil"/>
              <w:bottom w:val="nil"/>
              <w:right w:val="nil"/>
            </w:tcBorders>
            <w:shd w:val="clear" w:color="auto" w:fill="auto"/>
            <w:noWrap/>
            <w:vAlign w:val="center"/>
            <w:hideMark/>
          </w:tcPr>
          <w:p>
            <w:pPr>
              <w:rPr>
                <w:rFonts w:ascii="Calibri" w:hAnsi="Calibri" w:cs="Calibri"/>
                <w:lang w:eastAsia="cs-CZ" w:bidi="ar-SA"/>
              </w:rPr>
            </w:pPr>
          </w:p>
        </w:tc>
      </w:tr>
      <w:tr>
        <w:trPr>
          <w:trHeight w:val="870"/>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libri" w:hAnsi="Calibri" w:cs="Calibri"/>
                <w:lang w:eastAsia="cs-CZ" w:bidi="ar-SA"/>
              </w:rPr>
            </w:pPr>
            <w:r>
              <w:rPr>
                <w:rFonts w:ascii="Calibri" w:hAnsi="Calibri" w:cs="Calibri"/>
                <w:szCs w:val="22"/>
                <w:lang w:eastAsia="cs-CZ" w:bidi="ar-SA"/>
              </w:rPr>
              <w:t>MJ = Měrná jednotka = balení 500 listů</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Calibri" w:hAnsi="Calibri" w:cs="Calibri"/>
                <w:b/>
                <w:bCs/>
                <w:lang w:eastAsia="cs-CZ" w:bidi="ar-SA"/>
              </w:rPr>
            </w:pPr>
            <w:r>
              <w:rPr>
                <w:rFonts w:ascii="Calibri" w:hAnsi="Calibri" w:cs="Calibri"/>
                <w:b/>
                <w:bCs/>
                <w:szCs w:val="22"/>
                <w:lang w:eastAsia="cs-CZ" w:bidi="ar-SA"/>
              </w:rPr>
              <w:t>Kvalita</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Calibri" w:hAnsi="Calibri" w:cs="Calibri"/>
                <w:b/>
                <w:bCs/>
                <w:lang w:eastAsia="cs-CZ" w:bidi="ar-SA"/>
              </w:rPr>
            </w:pPr>
            <w:proofErr w:type="gramStart"/>
            <w:r>
              <w:rPr>
                <w:rFonts w:ascii="Calibri" w:hAnsi="Calibri" w:cs="Calibri"/>
                <w:b/>
                <w:bCs/>
                <w:szCs w:val="22"/>
                <w:lang w:eastAsia="cs-CZ" w:bidi="ar-SA"/>
              </w:rPr>
              <w:t>Objednáváme  počet</w:t>
            </w:r>
            <w:proofErr w:type="gramEnd"/>
            <w:r>
              <w:rPr>
                <w:rFonts w:ascii="Calibri" w:hAnsi="Calibri" w:cs="Calibri"/>
                <w:b/>
                <w:bCs/>
                <w:szCs w:val="22"/>
                <w:lang w:eastAsia="cs-CZ" w:bidi="ar-SA"/>
              </w:rPr>
              <w:t xml:space="preserve"> MJ</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Calibri" w:hAnsi="Calibri" w:cs="Calibri"/>
                <w:b/>
                <w:bCs/>
                <w:lang w:eastAsia="cs-CZ" w:bidi="ar-SA"/>
              </w:rPr>
            </w:pPr>
            <w:r>
              <w:rPr>
                <w:rFonts w:ascii="Calibri" w:hAnsi="Calibri" w:cs="Calibri"/>
                <w:b/>
                <w:bCs/>
                <w:szCs w:val="22"/>
                <w:lang w:eastAsia="cs-CZ" w:bidi="ar-SA"/>
              </w:rPr>
              <w:t>Cena za MJ</w:t>
            </w:r>
            <w:r>
              <w:rPr>
                <w:rFonts w:ascii="Calibri" w:hAnsi="Calibri" w:cs="Calibri"/>
                <w:b/>
                <w:bCs/>
                <w:szCs w:val="22"/>
                <w:lang w:eastAsia="cs-CZ" w:bidi="ar-SA"/>
              </w:rPr>
              <w:br/>
              <w:t>bez DPH</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Calibri" w:hAnsi="Calibri" w:cs="Calibri"/>
                <w:b/>
                <w:bCs/>
                <w:lang w:eastAsia="cs-CZ" w:bidi="ar-SA"/>
              </w:rPr>
            </w:pPr>
            <w:r>
              <w:rPr>
                <w:rFonts w:ascii="Calibri" w:hAnsi="Calibri" w:cs="Calibri"/>
                <w:b/>
                <w:bCs/>
                <w:szCs w:val="22"/>
                <w:lang w:eastAsia="cs-CZ" w:bidi="ar-SA"/>
              </w:rPr>
              <w:t>Cena celkem</w:t>
            </w:r>
            <w:r>
              <w:rPr>
                <w:rFonts w:ascii="Calibri" w:hAnsi="Calibri" w:cs="Calibri"/>
                <w:b/>
                <w:bCs/>
                <w:szCs w:val="22"/>
                <w:lang w:eastAsia="cs-CZ" w:bidi="ar-SA"/>
              </w:rPr>
              <w:br/>
              <w:t>(bez DPH)</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Calibri" w:hAnsi="Calibri" w:cs="Calibri"/>
                <w:b/>
                <w:bCs/>
                <w:lang w:eastAsia="cs-CZ" w:bidi="ar-SA"/>
              </w:rPr>
            </w:pPr>
            <w:r>
              <w:rPr>
                <w:rFonts w:ascii="Calibri" w:hAnsi="Calibri" w:cs="Calibri"/>
                <w:b/>
                <w:bCs/>
                <w:szCs w:val="22"/>
                <w:lang w:eastAsia="cs-CZ" w:bidi="ar-SA"/>
              </w:rPr>
              <w:t>Cena celkem</w:t>
            </w:r>
            <w:r>
              <w:rPr>
                <w:rFonts w:ascii="Calibri" w:hAnsi="Calibri" w:cs="Calibri"/>
                <w:b/>
                <w:bCs/>
                <w:szCs w:val="22"/>
                <w:lang w:eastAsia="cs-CZ" w:bidi="ar-SA"/>
              </w:rPr>
              <w:br/>
              <w:t>(s DPH)</w:t>
            </w:r>
          </w:p>
        </w:tc>
      </w:tr>
      <w:tr>
        <w:trPr>
          <w:trHeight w:val="450"/>
        </w:trPr>
        <w:tc>
          <w:tcPr>
            <w:tcW w:w="1920" w:type="dxa"/>
            <w:vMerge w:val="restart"/>
            <w:tcBorders>
              <w:top w:val="nil"/>
              <w:left w:val="single" w:sz="4" w:space="0" w:color="auto"/>
              <w:bottom w:val="single" w:sz="4" w:space="0" w:color="000000"/>
              <w:right w:val="single" w:sz="4" w:space="0" w:color="auto"/>
            </w:tcBorders>
            <w:shd w:val="clear" w:color="000000" w:fill="FDE9D9"/>
            <w:vAlign w:val="center"/>
            <w:hideMark/>
          </w:tcPr>
          <w:p>
            <w:pPr>
              <w:jc w:val="center"/>
              <w:rPr>
                <w:rFonts w:ascii="Calibri" w:hAnsi="Calibri" w:cs="Calibri"/>
                <w:b/>
                <w:bCs/>
                <w:lang w:eastAsia="cs-CZ" w:bidi="ar-SA"/>
              </w:rPr>
            </w:pPr>
            <w:r>
              <w:rPr>
                <w:rFonts w:ascii="Calibri" w:hAnsi="Calibri" w:cs="Calibri"/>
                <w:b/>
                <w:bCs/>
                <w:szCs w:val="22"/>
                <w:lang w:eastAsia="cs-CZ" w:bidi="ar-SA"/>
              </w:rPr>
              <w:t>Papír A4</w:t>
            </w:r>
          </w:p>
        </w:tc>
        <w:tc>
          <w:tcPr>
            <w:tcW w:w="1000" w:type="dxa"/>
            <w:tcBorders>
              <w:top w:val="nil"/>
              <w:left w:val="nil"/>
              <w:bottom w:val="single" w:sz="4" w:space="0" w:color="auto"/>
              <w:right w:val="single" w:sz="4" w:space="0" w:color="auto"/>
            </w:tcBorders>
            <w:shd w:val="clear" w:color="000000" w:fill="FDE9D9"/>
            <w:vAlign w:val="center"/>
            <w:hideMark/>
          </w:tcPr>
          <w:p>
            <w:pPr>
              <w:jc w:val="center"/>
              <w:rPr>
                <w:rFonts w:ascii="Calibri" w:hAnsi="Calibri" w:cs="Calibri"/>
                <w:lang w:eastAsia="cs-CZ" w:bidi="ar-SA"/>
              </w:rPr>
            </w:pPr>
            <w:r>
              <w:rPr>
                <w:rFonts w:ascii="Calibri" w:hAnsi="Calibri" w:cs="Calibri"/>
                <w:szCs w:val="22"/>
                <w:lang w:eastAsia="cs-CZ" w:bidi="ar-SA"/>
              </w:rPr>
              <w:t xml:space="preserve"> A </w:t>
            </w:r>
          </w:p>
        </w:tc>
        <w:tc>
          <w:tcPr>
            <w:tcW w:w="1500" w:type="dxa"/>
            <w:tcBorders>
              <w:top w:val="nil"/>
              <w:left w:val="nil"/>
              <w:bottom w:val="single" w:sz="4" w:space="0" w:color="auto"/>
              <w:right w:val="single" w:sz="4" w:space="0" w:color="auto"/>
            </w:tcBorders>
            <w:shd w:val="clear" w:color="000000" w:fill="FFFFCC"/>
            <w:vAlign w:val="center"/>
            <w:hideMark/>
          </w:tcPr>
          <w:p>
            <w:pPr>
              <w:jc w:val="center"/>
              <w:rPr>
                <w:rFonts w:ascii="Calibri" w:hAnsi="Calibri" w:cs="Calibri"/>
                <w:lang w:eastAsia="cs-CZ" w:bidi="ar-SA"/>
              </w:rPr>
            </w:pPr>
            <w:r>
              <w:rPr>
                <w:rFonts w:ascii="Calibri" w:hAnsi="Calibri" w:cs="Calibri"/>
                <w:szCs w:val="22"/>
                <w:lang w:eastAsia="cs-CZ" w:bidi="ar-SA"/>
              </w:rPr>
              <w:t> </w:t>
            </w:r>
          </w:p>
        </w:tc>
        <w:tc>
          <w:tcPr>
            <w:tcW w:w="1420" w:type="dxa"/>
            <w:tcBorders>
              <w:top w:val="nil"/>
              <w:left w:val="nil"/>
              <w:bottom w:val="single" w:sz="4" w:space="0" w:color="auto"/>
              <w:right w:val="single" w:sz="4" w:space="0" w:color="auto"/>
            </w:tcBorders>
            <w:shd w:val="clear" w:color="auto" w:fill="auto"/>
            <w:vAlign w:val="center"/>
            <w:hideMark/>
          </w:tcPr>
          <w:p>
            <w:pPr>
              <w:jc w:val="right"/>
              <w:rPr>
                <w:rFonts w:ascii="Calibri" w:hAnsi="Calibri" w:cs="Calibri"/>
                <w:lang w:eastAsia="cs-CZ" w:bidi="ar-SA"/>
              </w:rPr>
            </w:pPr>
            <w:r>
              <w:rPr>
                <w:rFonts w:ascii="Calibri" w:hAnsi="Calibri" w:cs="Calibri"/>
                <w:szCs w:val="22"/>
                <w:lang w:eastAsia="cs-CZ" w:bidi="ar-SA"/>
              </w:rPr>
              <w:t>65,30 Kč</w:t>
            </w:r>
          </w:p>
        </w:tc>
        <w:tc>
          <w:tcPr>
            <w:tcW w:w="1640" w:type="dxa"/>
            <w:tcBorders>
              <w:top w:val="nil"/>
              <w:left w:val="nil"/>
              <w:bottom w:val="single" w:sz="4" w:space="0" w:color="auto"/>
              <w:right w:val="single" w:sz="4" w:space="0" w:color="auto"/>
            </w:tcBorders>
            <w:shd w:val="clear" w:color="000000" w:fill="FDE9D9"/>
            <w:vAlign w:val="center"/>
            <w:hideMark/>
          </w:tcPr>
          <w:p>
            <w:pPr>
              <w:jc w:val="right"/>
              <w:rPr>
                <w:rFonts w:ascii="Calibri" w:hAnsi="Calibri" w:cs="Calibri"/>
                <w:lang w:eastAsia="cs-CZ" w:bidi="ar-SA"/>
              </w:rPr>
            </w:pPr>
            <w:r>
              <w:rPr>
                <w:rFonts w:ascii="Calibri" w:hAnsi="Calibri" w:cs="Calibri"/>
                <w:szCs w:val="22"/>
                <w:lang w:eastAsia="cs-CZ" w:bidi="ar-SA"/>
              </w:rPr>
              <w:t>0,00 Kč</w:t>
            </w:r>
          </w:p>
        </w:tc>
        <w:tc>
          <w:tcPr>
            <w:tcW w:w="1640" w:type="dxa"/>
            <w:tcBorders>
              <w:top w:val="nil"/>
              <w:left w:val="nil"/>
              <w:bottom w:val="single" w:sz="4" w:space="0" w:color="auto"/>
              <w:right w:val="single" w:sz="4" w:space="0" w:color="auto"/>
            </w:tcBorders>
            <w:shd w:val="clear" w:color="auto" w:fill="auto"/>
            <w:vAlign w:val="center"/>
            <w:hideMark/>
          </w:tcPr>
          <w:p>
            <w:pPr>
              <w:jc w:val="right"/>
              <w:rPr>
                <w:rFonts w:ascii="Calibri" w:hAnsi="Calibri" w:cs="Calibri"/>
                <w:lang w:eastAsia="cs-CZ" w:bidi="ar-SA"/>
              </w:rPr>
            </w:pPr>
            <w:r>
              <w:rPr>
                <w:rFonts w:ascii="Calibri" w:hAnsi="Calibri" w:cs="Calibri"/>
                <w:szCs w:val="22"/>
                <w:lang w:eastAsia="cs-CZ" w:bidi="ar-SA"/>
              </w:rPr>
              <w:t>0,00 Kč</w:t>
            </w:r>
          </w:p>
        </w:tc>
      </w:tr>
      <w:tr>
        <w:trPr>
          <w:trHeight w:val="450"/>
        </w:trPr>
        <w:tc>
          <w:tcPr>
            <w:tcW w:w="1920" w:type="dxa"/>
            <w:vMerge/>
            <w:tcBorders>
              <w:top w:val="nil"/>
              <w:left w:val="single" w:sz="4" w:space="0" w:color="auto"/>
              <w:bottom w:val="single" w:sz="4" w:space="0" w:color="000000"/>
              <w:right w:val="single" w:sz="4" w:space="0" w:color="auto"/>
            </w:tcBorders>
            <w:vAlign w:val="center"/>
            <w:hideMark/>
          </w:tcPr>
          <w:p>
            <w:pPr>
              <w:rPr>
                <w:rFonts w:ascii="Calibri" w:hAnsi="Calibri" w:cs="Calibri"/>
                <w:b/>
                <w:bCs/>
                <w:lang w:eastAsia="cs-CZ" w:bidi="ar-SA"/>
              </w:rPr>
            </w:pPr>
          </w:p>
        </w:tc>
        <w:tc>
          <w:tcPr>
            <w:tcW w:w="1000" w:type="dxa"/>
            <w:tcBorders>
              <w:top w:val="nil"/>
              <w:left w:val="nil"/>
              <w:bottom w:val="single" w:sz="4" w:space="0" w:color="auto"/>
              <w:right w:val="single" w:sz="4" w:space="0" w:color="auto"/>
            </w:tcBorders>
            <w:shd w:val="clear" w:color="000000" w:fill="FDE9D9"/>
            <w:vAlign w:val="center"/>
            <w:hideMark/>
          </w:tcPr>
          <w:p>
            <w:pPr>
              <w:jc w:val="center"/>
              <w:rPr>
                <w:rFonts w:ascii="Calibri" w:hAnsi="Calibri" w:cs="Calibri"/>
                <w:lang w:eastAsia="cs-CZ" w:bidi="ar-SA"/>
              </w:rPr>
            </w:pPr>
            <w:r>
              <w:rPr>
                <w:rFonts w:ascii="Calibri" w:hAnsi="Calibri" w:cs="Calibri"/>
                <w:szCs w:val="22"/>
                <w:lang w:eastAsia="cs-CZ" w:bidi="ar-SA"/>
              </w:rPr>
              <w:t xml:space="preserve"> B </w:t>
            </w:r>
          </w:p>
        </w:tc>
        <w:tc>
          <w:tcPr>
            <w:tcW w:w="1500" w:type="dxa"/>
            <w:tcBorders>
              <w:top w:val="nil"/>
              <w:left w:val="nil"/>
              <w:bottom w:val="single" w:sz="4" w:space="0" w:color="auto"/>
              <w:right w:val="single" w:sz="4" w:space="0" w:color="auto"/>
            </w:tcBorders>
            <w:shd w:val="clear" w:color="000000" w:fill="FFFFCC"/>
            <w:vAlign w:val="center"/>
            <w:hideMark/>
          </w:tcPr>
          <w:p>
            <w:pPr>
              <w:jc w:val="center"/>
              <w:rPr>
                <w:rFonts w:ascii="Calibri" w:hAnsi="Calibri" w:cs="Calibri"/>
                <w:lang w:eastAsia="cs-CZ" w:bidi="ar-SA"/>
              </w:rPr>
            </w:pPr>
            <w:r>
              <w:rPr>
                <w:rFonts w:ascii="Calibri" w:hAnsi="Calibri" w:cs="Calibri"/>
                <w:szCs w:val="22"/>
                <w:lang w:eastAsia="cs-CZ" w:bidi="ar-SA"/>
              </w:rPr>
              <w:t> </w:t>
            </w:r>
          </w:p>
        </w:tc>
        <w:tc>
          <w:tcPr>
            <w:tcW w:w="1420" w:type="dxa"/>
            <w:tcBorders>
              <w:top w:val="nil"/>
              <w:left w:val="nil"/>
              <w:bottom w:val="single" w:sz="4" w:space="0" w:color="auto"/>
              <w:right w:val="single" w:sz="4" w:space="0" w:color="auto"/>
            </w:tcBorders>
            <w:shd w:val="clear" w:color="auto" w:fill="auto"/>
            <w:vAlign w:val="center"/>
            <w:hideMark/>
          </w:tcPr>
          <w:p>
            <w:pPr>
              <w:jc w:val="right"/>
              <w:rPr>
                <w:rFonts w:ascii="Calibri" w:hAnsi="Calibri" w:cs="Calibri"/>
                <w:lang w:eastAsia="cs-CZ" w:bidi="ar-SA"/>
              </w:rPr>
            </w:pPr>
            <w:r>
              <w:rPr>
                <w:rFonts w:ascii="Calibri" w:hAnsi="Calibri" w:cs="Calibri"/>
                <w:szCs w:val="22"/>
                <w:lang w:eastAsia="cs-CZ" w:bidi="ar-SA"/>
              </w:rPr>
              <w:t>59,60 Kč</w:t>
            </w:r>
          </w:p>
        </w:tc>
        <w:tc>
          <w:tcPr>
            <w:tcW w:w="1640" w:type="dxa"/>
            <w:tcBorders>
              <w:top w:val="nil"/>
              <w:left w:val="nil"/>
              <w:bottom w:val="single" w:sz="4" w:space="0" w:color="auto"/>
              <w:right w:val="single" w:sz="4" w:space="0" w:color="auto"/>
            </w:tcBorders>
            <w:shd w:val="clear" w:color="000000" w:fill="FDE9D9"/>
            <w:vAlign w:val="center"/>
            <w:hideMark/>
          </w:tcPr>
          <w:p>
            <w:pPr>
              <w:jc w:val="right"/>
              <w:rPr>
                <w:rFonts w:ascii="Calibri" w:hAnsi="Calibri" w:cs="Calibri"/>
                <w:lang w:eastAsia="cs-CZ" w:bidi="ar-SA"/>
              </w:rPr>
            </w:pPr>
            <w:r>
              <w:rPr>
                <w:rFonts w:ascii="Calibri" w:hAnsi="Calibri" w:cs="Calibri"/>
                <w:szCs w:val="22"/>
                <w:lang w:eastAsia="cs-CZ" w:bidi="ar-SA"/>
              </w:rPr>
              <w:t>0,00 Kč</w:t>
            </w:r>
          </w:p>
        </w:tc>
        <w:tc>
          <w:tcPr>
            <w:tcW w:w="1640" w:type="dxa"/>
            <w:tcBorders>
              <w:top w:val="nil"/>
              <w:left w:val="nil"/>
              <w:bottom w:val="single" w:sz="4" w:space="0" w:color="auto"/>
              <w:right w:val="single" w:sz="4" w:space="0" w:color="auto"/>
            </w:tcBorders>
            <w:shd w:val="clear" w:color="auto" w:fill="auto"/>
            <w:vAlign w:val="center"/>
            <w:hideMark/>
          </w:tcPr>
          <w:p>
            <w:pPr>
              <w:jc w:val="right"/>
              <w:rPr>
                <w:rFonts w:ascii="Calibri" w:hAnsi="Calibri" w:cs="Calibri"/>
                <w:lang w:eastAsia="cs-CZ" w:bidi="ar-SA"/>
              </w:rPr>
            </w:pPr>
            <w:r>
              <w:rPr>
                <w:rFonts w:ascii="Calibri" w:hAnsi="Calibri" w:cs="Calibri"/>
                <w:szCs w:val="22"/>
                <w:lang w:eastAsia="cs-CZ" w:bidi="ar-SA"/>
              </w:rPr>
              <w:t>0,00 Kč</w:t>
            </w:r>
          </w:p>
        </w:tc>
      </w:tr>
      <w:tr>
        <w:trPr>
          <w:trHeight w:val="450"/>
        </w:trPr>
        <w:tc>
          <w:tcPr>
            <w:tcW w:w="1920" w:type="dxa"/>
            <w:vMerge w:val="restart"/>
            <w:tcBorders>
              <w:top w:val="nil"/>
              <w:left w:val="single" w:sz="4" w:space="0" w:color="auto"/>
              <w:bottom w:val="single" w:sz="4" w:space="0" w:color="000000"/>
              <w:right w:val="single" w:sz="4" w:space="0" w:color="auto"/>
            </w:tcBorders>
            <w:shd w:val="clear" w:color="000000" w:fill="D5F4FF"/>
            <w:vAlign w:val="center"/>
            <w:hideMark/>
          </w:tcPr>
          <w:p>
            <w:pPr>
              <w:jc w:val="center"/>
              <w:rPr>
                <w:rFonts w:ascii="Calibri" w:hAnsi="Calibri" w:cs="Calibri"/>
                <w:b/>
                <w:bCs/>
                <w:lang w:eastAsia="cs-CZ" w:bidi="ar-SA"/>
              </w:rPr>
            </w:pPr>
            <w:r>
              <w:rPr>
                <w:rFonts w:ascii="Calibri" w:hAnsi="Calibri" w:cs="Calibri"/>
                <w:b/>
                <w:bCs/>
                <w:szCs w:val="22"/>
                <w:lang w:eastAsia="cs-CZ" w:bidi="ar-SA"/>
              </w:rPr>
              <w:t>Papír A3</w:t>
            </w:r>
          </w:p>
        </w:tc>
        <w:tc>
          <w:tcPr>
            <w:tcW w:w="1000" w:type="dxa"/>
            <w:tcBorders>
              <w:top w:val="nil"/>
              <w:left w:val="nil"/>
              <w:bottom w:val="single" w:sz="4" w:space="0" w:color="auto"/>
              <w:right w:val="single" w:sz="4" w:space="0" w:color="auto"/>
            </w:tcBorders>
            <w:shd w:val="clear" w:color="000000" w:fill="D5F4FF"/>
            <w:vAlign w:val="center"/>
            <w:hideMark/>
          </w:tcPr>
          <w:p>
            <w:pPr>
              <w:jc w:val="center"/>
              <w:rPr>
                <w:rFonts w:ascii="Calibri" w:hAnsi="Calibri" w:cs="Calibri"/>
                <w:lang w:eastAsia="cs-CZ" w:bidi="ar-SA"/>
              </w:rPr>
            </w:pPr>
            <w:r>
              <w:rPr>
                <w:rFonts w:ascii="Calibri" w:hAnsi="Calibri" w:cs="Calibri"/>
                <w:szCs w:val="22"/>
                <w:lang w:eastAsia="cs-CZ" w:bidi="ar-SA"/>
              </w:rPr>
              <w:t xml:space="preserve"> A </w:t>
            </w:r>
          </w:p>
        </w:tc>
        <w:tc>
          <w:tcPr>
            <w:tcW w:w="1500" w:type="dxa"/>
            <w:tcBorders>
              <w:top w:val="nil"/>
              <w:left w:val="nil"/>
              <w:bottom w:val="single" w:sz="4" w:space="0" w:color="auto"/>
              <w:right w:val="single" w:sz="4" w:space="0" w:color="auto"/>
            </w:tcBorders>
            <w:shd w:val="clear" w:color="000000" w:fill="FFFFCC"/>
            <w:vAlign w:val="center"/>
            <w:hideMark/>
          </w:tcPr>
          <w:p>
            <w:pPr>
              <w:jc w:val="center"/>
              <w:rPr>
                <w:rFonts w:ascii="Calibri" w:hAnsi="Calibri" w:cs="Calibri"/>
                <w:lang w:eastAsia="cs-CZ" w:bidi="ar-SA"/>
              </w:rPr>
            </w:pPr>
            <w:r>
              <w:rPr>
                <w:rFonts w:ascii="Calibri" w:hAnsi="Calibri" w:cs="Calibri"/>
                <w:szCs w:val="22"/>
                <w:lang w:eastAsia="cs-CZ" w:bidi="ar-SA"/>
              </w:rPr>
              <w:t> </w:t>
            </w:r>
          </w:p>
        </w:tc>
        <w:tc>
          <w:tcPr>
            <w:tcW w:w="1420" w:type="dxa"/>
            <w:tcBorders>
              <w:top w:val="nil"/>
              <w:left w:val="nil"/>
              <w:bottom w:val="single" w:sz="4" w:space="0" w:color="auto"/>
              <w:right w:val="single" w:sz="4" w:space="0" w:color="auto"/>
            </w:tcBorders>
            <w:shd w:val="clear" w:color="auto" w:fill="auto"/>
            <w:vAlign w:val="center"/>
            <w:hideMark/>
          </w:tcPr>
          <w:p>
            <w:pPr>
              <w:jc w:val="right"/>
              <w:rPr>
                <w:rFonts w:ascii="Calibri" w:hAnsi="Calibri" w:cs="Calibri"/>
                <w:lang w:eastAsia="cs-CZ" w:bidi="ar-SA"/>
              </w:rPr>
            </w:pPr>
            <w:r>
              <w:rPr>
                <w:rFonts w:ascii="Calibri" w:hAnsi="Calibri" w:cs="Calibri"/>
                <w:szCs w:val="22"/>
                <w:lang w:eastAsia="cs-CZ" w:bidi="ar-SA"/>
              </w:rPr>
              <w:t>130,60 Kč</w:t>
            </w:r>
          </w:p>
        </w:tc>
        <w:tc>
          <w:tcPr>
            <w:tcW w:w="1640" w:type="dxa"/>
            <w:tcBorders>
              <w:top w:val="nil"/>
              <w:left w:val="nil"/>
              <w:bottom w:val="single" w:sz="4" w:space="0" w:color="auto"/>
              <w:right w:val="single" w:sz="4" w:space="0" w:color="auto"/>
            </w:tcBorders>
            <w:shd w:val="clear" w:color="000000" w:fill="D5F4FF"/>
            <w:vAlign w:val="center"/>
            <w:hideMark/>
          </w:tcPr>
          <w:p>
            <w:pPr>
              <w:jc w:val="right"/>
              <w:rPr>
                <w:rFonts w:ascii="Calibri" w:hAnsi="Calibri" w:cs="Calibri"/>
                <w:lang w:eastAsia="cs-CZ" w:bidi="ar-SA"/>
              </w:rPr>
            </w:pPr>
            <w:r>
              <w:rPr>
                <w:rFonts w:ascii="Calibri" w:hAnsi="Calibri" w:cs="Calibri"/>
                <w:szCs w:val="22"/>
                <w:lang w:eastAsia="cs-CZ" w:bidi="ar-SA"/>
              </w:rPr>
              <w:t>0,00 Kč</w:t>
            </w:r>
          </w:p>
        </w:tc>
        <w:tc>
          <w:tcPr>
            <w:tcW w:w="1640" w:type="dxa"/>
            <w:tcBorders>
              <w:top w:val="nil"/>
              <w:left w:val="nil"/>
              <w:bottom w:val="single" w:sz="4" w:space="0" w:color="auto"/>
              <w:right w:val="single" w:sz="4" w:space="0" w:color="auto"/>
            </w:tcBorders>
            <w:shd w:val="clear" w:color="auto" w:fill="auto"/>
            <w:vAlign w:val="center"/>
            <w:hideMark/>
          </w:tcPr>
          <w:p>
            <w:pPr>
              <w:jc w:val="right"/>
              <w:rPr>
                <w:rFonts w:ascii="Calibri" w:hAnsi="Calibri" w:cs="Calibri"/>
                <w:lang w:eastAsia="cs-CZ" w:bidi="ar-SA"/>
              </w:rPr>
            </w:pPr>
            <w:r>
              <w:rPr>
                <w:rFonts w:ascii="Calibri" w:hAnsi="Calibri" w:cs="Calibri"/>
                <w:szCs w:val="22"/>
                <w:lang w:eastAsia="cs-CZ" w:bidi="ar-SA"/>
              </w:rPr>
              <w:t>0,00 Kč</w:t>
            </w:r>
          </w:p>
        </w:tc>
      </w:tr>
      <w:tr>
        <w:trPr>
          <w:trHeight w:val="450"/>
        </w:trPr>
        <w:tc>
          <w:tcPr>
            <w:tcW w:w="1920" w:type="dxa"/>
            <w:vMerge/>
            <w:tcBorders>
              <w:top w:val="nil"/>
              <w:left w:val="single" w:sz="4" w:space="0" w:color="auto"/>
              <w:bottom w:val="single" w:sz="4" w:space="0" w:color="000000"/>
              <w:right w:val="single" w:sz="4" w:space="0" w:color="auto"/>
            </w:tcBorders>
            <w:vAlign w:val="center"/>
            <w:hideMark/>
          </w:tcPr>
          <w:p>
            <w:pPr>
              <w:rPr>
                <w:rFonts w:ascii="Calibri" w:hAnsi="Calibri" w:cs="Calibri"/>
                <w:b/>
                <w:bCs/>
                <w:lang w:eastAsia="cs-CZ" w:bidi="ar-SA"/>
              </w:rPr>
            </w:pPr>
          </w:p>
        </w:tc>
        <w:tc>
          <w:tcPr>
            <w:tcW w:w="1000" w:type="dxa"/>
            <w:tcBorders>
              <w:top w:val="nil"/>
              <w:left w:val="nil"/>
              <w:bottom w:val="single" w:sz="4" w:space="0" w:color="auto"/>
              <w:right w:val="single" w:sz="4" w:space="0" w:color="auto"/>
            </w:tcBorders>
            <w:shd w:val="clear" w:color="000000" w:fill="D5F4FF"/>
            <w:vAlign w:val="center"/>
            <w:hideMark/>
          </w:tcPr>
          <w:p>
            <w:pPr>
              <w:jc w:val="center"/>
              <w:rPr>
                <w:rFonts w:ascii="Calibri" w:hAnsi="Calibri" w:cs="Calibri"/>
                <w:lang w:eastAsia="cs-CZ" w:bidi="ar-SA"/>
              </w:rPr>
            </w:pPr>
            <w:r>
              <w:rPr>
                <w:rFonts w:ascii="Calibri" w:hAnsi="Calibri" w:cs="Calibri"/>
                <w:szCs w:val="22"/>
                <w:lang w:eastAsia="cs-CZ" w:bidi="ar-SA"/>
              </w:rPr>
              <w:t xml:space="preserve"> B </w:t>
            </w:r>
          </w:p>
        </w:tc>
        <w:tc>
          <w:tcPr>
            <w:tcW w:w="1500" w:type="dxa"/>
            <w:tcBorders>
              <w:top w:val="nil"/>
              <w:left w:val="nil"/>
              <w:bottom w:val="single" w:sz="4" w:space="0" w:color="auto"/>
              <w:right w:val="single" w:sz="4" w:space="0" w:color="auto"/>
            </w:tcBorders>
            <w:shd w:val="clear" w:color="000000" w:fill="FFFFCC"/>
            <w:vAlign w:val="center"/>
            <w:hideMark/>
          </w:tcPr>
          <w:p>
            <w:pPr>
              <w:jc w:val="center"/>
              <w:rPr>
                <w:rFonts w:ascii="Calibri" w:hAnsi="Calibri" w:cs="Calibri"/>
                <w:lang w:eastAsia="cs-CZ" w:bidi="ar-SA"/>
              </w:rPr>
            </w:pPr>
            <w:r>
              <w:rPr>
                <w:rFonts w:ascii="Calibri" w:hAnsi="Calibri" w:cs="Calibri"/>
                <w:szCs w:val="22"/>
                <w:lang w:eastAsia="cs-CZ" w:bidi="ar-SA"/>
              </w:rPr>
              <w:t> </w:t>
            </w:r>
          </w:p>
        </w:tc>
        <w:tc>
          <w:tcPr>
            <w:tcW w:w="1420" w:type="dxa"/>
            <w:tcBorders>
              <w:top w:val="nil"/>
              <w:left w:val="nil"/>
              <w:bottom w:val="single" w:sz="4" w:space="0" w:color="auto"/>
              <w:right w:val="single" w:sz="4" w:space="0" w:color="auto"/>
            </w:tcBorders>
            <w:shd w:val="clear" w:color="auto" w:fill="auto"/>
            <w:vAlign w:val="center"/>
            <w:hideMark/>
          </w:tcPr>
          <w:p>
            <w:pPr>
              <w:jc w:val="right"/>
              <w:rPr>
                <w:rFonts w:ascii="Calibri" w:hAnsi="Calibri" w:cs="Calibri"/>
                <w:lang w:eastAsia="cs-CZ" w:bidi="ar-SA"/>
              </w:rPr>
            </w:pPr>
            <w:r>
              <w:rPr>
                <w:rFonts w:ascii="Calibri" w:hAnsi="Calibri" w:cs="Calibri"/>
                <w:szCs w:val="22"/>
                <w:lang w:eastAsia="cs-CZ" w:bidi="ar-SA"/>
              </w:rPr>
              <w:t>119,40 Kč</w:t>
            </w:r>
          </w:p>
        </w:tc>
        <w:tc>
          <w:tcPr>
            <w:tcW w:w="1640" w:type="dxa"/>
            <w:tcBorders>
              <w:top w:val="nil"/>
              <w:left w:val="nil"/>
              <w:bottom w:val="single" w:sz="4" w:space="0" w:color="auto"/>
              <w:right w:val="single" w:sz="4" w:space="0" w:color="auto"/>
            </w:tcBorders>
            <w:shd w:val="clear" w:color="000000" w:fill="D5F4FF"/>
            <w:vAlign w:val="center"/>
            <w:hideMark/>
          </w:tcPr>
          <w:p>
            <w:pPr>
              <w:jc w:val="right"/>
              <w:rPr>
                <w:rFonts w:ascii="Calibri" w:hAnsi="Calibri" w:cs="Calibri"/>
                <w:lang w:eastAsia="cs-CZ" w:bidi="ar-SA"/>
              </w:rPr>
            </w:pPr>
            <w:r>
              <w:rPr>
                <w:rFonts w:ascii="Calibri" w:hAnsi="Calibri" w:cs="Calibri"/>
                <w:szCs w:val="22"/>
                <w:lang w:eastAsia="cs-CZ" w:bidi="ar-SA"/>
              </w:rPr>
              <w:t>0,00 Kč</w:t>
            </w:r>
          </w:p>
        </w:tc>
        <w:tc>
          <w:tcPr>
            <w:tcW w:w="1640" w:type="dxa"/>
            <w:tcBorders>
              <w:top w:val="nil"/>
              <w:left w:val="nil"/>
              <w:bottom w:val="single" w:sz="4" w:space="0" w:color="auto"/>
              <w:right w:val="single" w:sz="4" w:space="0" w:color="auto"/>
            </w:tcBorders>
            <w:shd w:val="clear" w:color="auto" w:fill="auto"/>
            <w:vAlign w:val="center"/>
            <w:hideMark/>
          </w:tcPr>
          <w:p>
            <w:pPr>
              <w:jc w:val="right"/>
              <w:rPr>
                <w:rFonts w:ascii="Calibri" w:hAnsi="Calibri" w:cs="Calibri"/>
                <w:lang w:eastAsia="cs-CZ" w:bidi="ar-SA"/>
              </w:rPr>
            </w:pPr>
            <w:r>
              <w:rPr>
                <w:rFonts w:ascii="Calibri" w:hAnsi="Calibri" w:cs="Calibri"/>
                <w:szCs w:val="22"/>
                <w:lang w:eastAsia="cs-CZ" w:bidi="ar-SA"/>
              </w:rPr>
              <w:t>0,00 Kč</w:t>
            </w:r>
          </w:p>
        </w:tc>
      </w:tr>
      <w:tr>
        <w:trPr>
          <w:trHeight w:val="450"/>
        </w:trPr>
        <w:tc>
          <w:tcPr>
            <w:tcW w:w="1920" w:type="dxa"/>
            <w:tcBorders>
              <w:top w:val="nil"/>
              <w:left w:val="single" w:sz="4" w:space="0" w:color="auto"/>
              <w:bottom w:val="double" w:sz="6" w:space="0" w:color="auto"/>
              <w:right w:val="single" w:sz="4" w:space="0" w:color="auto"/>
            </w:tcBorders>
            <w:shd w:val="clear" w:color="000000" w:fill="DFF1CB"/>
            <w:vAlign w:val="center"/>
            <w:hideMark/>
          </w:tcPr>
          <w:p>
            <w:pPr>
              <w:jc w:val="center"/>
              <w:rPr>
                <w:rFonts w:ascii="Calibri" w:hAnsi="Calibri" w:cs="Calibri"/>
                <w:b/>
                <w:bCs/>
                <w:lang w:eastAsia="cs-CZ" w:bidi="ar-SA"/>
              </w:rPr>
            </w:pPr>
            <w:r>
              <w:rPr>
                <w:rFonts w:ascii="Calibri" w:hAnsi="Calibri" w:cs="Calibri"/>
                <w:b/>
                <w:bCs/>
                <w:szCs w:val="22"/>
                <w:lang w:eastAsia="cs-CZ" w:bidi="ar-SA"/>
              </w:rPr>
              <w:t xml:space="preserve">Papír A5 </w:t>
            </w:r>
          </w:p>
        </w:tc>
        <w:tc>
          <w:tcPr>
            <w:tcW w:w="1000" w:type="dxa"/>
            <w:tcBorders>
              <w:top w:val="nil"/>
              <w:left w:val="nil"/>
              <w:bottom w:val="double" w:sz="6" w:space="0" w:color="auto"/>
              <w:right w:val="single" w:sz="4" w:space="0" w:color="auto"/>
            </w:tcBorders>
            <w:shd w:val="clear" w:color="000000" w:fill="DFF1CB"/>
            <w:vAlign w:val="center"/>
            <w:hideMark/>
          </w:tcPr>
          <w:p>
            <w:pPr>
              <w:jc w:val="center"/>
              <w:rPr>
                <w:rFonts w:ascii="Calibri" w:hAnsi="Calibri" w:cs="Calibri"/>
                <w:lang w:eastAsia="cs-CZ" w:bidi="ar-SA"/>
              </w:rPr>
            </w:pPr>
            <w:r>
              <w:rPr>
                <w:rFonts w:ascii="Calibri" w:hAnsi="Calibri" w:cs="Calibri"/>
                <w:szCs w:val="22"/>
                <w:lang w:eastAsia="cs-CZ" w:bidi="ar-SA"/>
              </w:rPr>
              <w:t xml:space="preserve"> B </w:t>
            </w:r>
          </w:p>
        </w:tc>
        <w:tc>
          <w:tcPr>
            <w:tcW w:w="1500" w:type="dxa"/>
            <w:tcBorders>
              <w:top w:val="nil"/>
              <w:left w:val="nil"/>
              <w:bottom w:val="double" w:sz="6" w:space="0" w:color="auto"/>
              <w:right w:val="single" w:sz="4" w:space="0" w:color="auto"/>
            </w:tcBorders>
            <w:shd w:val="clear" w:color="000000" w:fill="FFFFCC"/>
            <w:vAlign w:val="center"/>
            <w:hideMark/>
          </w:tcPr>
          <w:p>
            <w:pPr>
              <w:jc w:val="center"/>
              <w:rPr>
                <w:rFonts w:ascii="Calibri" w:hAnsi="Calibri" w:cs="Calibri"/>
                <w:lang w:eastAsia="cs-CZ" w:bidi="ar-SA"/>
              </w:rPr>
            </w:pPr>
            <w:r>
              <w:rPr>
                <w:rFonts w:ascii="Calibri" w:hAnsi="Calibri" w:cs="Calibri"/>
                <w:szCs w:val="22"/>
                <w:lang w:eastAsia="cs-CZ" w:bidi="ar-SA"/>
              </w:rPr>
              <w:t> </w:t>
            </w:r>
          </w:p>
        </w:tc>
        <w:tc>
          <w:tcPr>
            <w:tcW w:w="1420" w:type="dxa"/>
            <w:tcBorders>
              <w:top w:val="nil"/>
              <w:left w:val="nil"/>
              <w:bottom w:val="double" w:sz="6" w:space="0" w:color="auto"/>
              <w:right w:val="single" w:sz="4" w:space="0" w:color="auto"/>
            </w:tcBorders>
            <w:shd w:val="clear" w:color="auto" w:fill="auto"/>
            <w:vAlign w:val="center"/>
            <w:hideMark/>
          </w:tcPr>
          <w:p>
            <w:pPr>
              <w:jc w:val="right"/>
              <w:rPr>
                <w:rFonts w:ascii="Calibri" w:hAnsi="Calibri" w:cs="Calibri"/>
                <w:lang w:eastAsia="cs-CZ" w:bidi="ar-SA"/>
              </w:rPr>
            </w:pPr>
            <w:r>
              <w:rPr>
                <w:rFonts w:ascii="Calibri" w:hAnsi="Calibri" w:cs="Calibri"/>
                <w:szCs w:val="22"/>
                <w:lang w:eastAsia="cs-CZ" w:bidi="ar-SA"/>
              </w:rPr>
              <w:t>38,45 Kč</w:t>
            </w:r>
          </w:p>
        </w:tc>
        <w:tc>
          <w:tcPr>
            <w:tcW w:w="1640" w:type="dxa"/>
            <w:tcBorders>
              <w:top w:val="nil"/>
              <w:left w:val="nil"/>
              <w:bottom w:val="double" w:sz="6" w:space="0" w:color="auto"/>
              <w:right w:val="single" w:sz="4" w:space="0" w:color="auto"/>
            </w:tcBorders>
            <w:shd w:val="clear" w:color="000000" w:fill="DFF1CB"/>
            <w:vAlign w:val="center"/>
            <w:hideMark/>
          </w:tcPr>
          <w:p>
            <w:pPr>
              <w:jc w:val="right"/>
              <w:rPr>
                <w:rFonts w:ascii="Calibri" w:hAnsi="Calibri" w:cs="Calibri"/>
                <w:lang w:eastAsia="cs-CZ" w:bidi="ar-SA"/>
              </w:rPr>
            </w:pPr>
            <w:r>
              <w:rPr>
                <w:rFonts w:ascii="Calibri" w:hAnsi="Calibri" w:cs="Calibri"/>
                <w:szCs w:val="22"/>
                <w:lang w:eastAsia="cs-CZ" w:bidi="ar-SA"/>
              </w:rPr>
              <w:t>0,00 Kč</w:t>
            </w:r>
          </w:p>
        </w:tc>
        <w:tc>
          <w:tcPr>
            <w:tcW w:w="1640" w:type="dxa"/>
            <w:tcBorders>
              <w:top w:val="nil"/>
              <w:left w:val="nil"/>
              <w:bottom w:val="double" w:sz="6" w:space="0" w:color="auto"/>
              <w:right w:val="single" w:sz="4" w:space="0" w:color="auto"/>
            </w:tcBorders>
            <w:shd w:val="clear" w:color="auto" w:fill="auto"/>
            <w:vAlign w:val="center"/>
            <w:hideMark/>
          </w:tcPr>
          <w:p>
            <w:pPr>
              <w:jc w:val="right"/>
              <w:rPr>
                <w:rFonts w:ascii="Calibri" w:hAnsi="Calibri" w:cs="Calibri"/>
                <w:lang w:eastAsia="cs-CZ" w:bidi="ar-SA"/>
              </w:rPr>
            </w:pPr>
            <w:r>
              <w:rPr>
                <w:rFonts w:ascii="Calibri" w:hAnsi="Calibri" w:cs="Calibri"/>
                <w:szCs w:val="22"/>
                <w:lang w:eastAsia="cs-CZ" w:bidi="ar-SA"/>
              </w:rPr>
              <w:t>0,00 Kč</w:t>
            </w:r>
          </w:p>
        </w:tc>
      </w:tr>
      <w:tr>
        <w:trPr>
          <w:trHeight w:val="450"/>
        </w:trPr>
        <w:tc>
          <w:tcPr>
            <w:tcW w:w="5840" w:type="dxa"/>
            <w:gridSpan w:val="4"/>
            <w:tcBorders>
              <w:top w:val="nil"/>
              <w:left w:val="single" w:sz="4" w:space="0" w:color="auto"/>
              <w:bottom w:val="single" w:sz="4" w:space="0" w:color="auto"/>
              <w:right w:val="single" w:sz="4" w:space="0" w:color="auto"/>
            </w:tcBorders>
            <w:shd w:val="clear" w:color="auto" w:fill="auto"/>
            <w:vAlign w:val="center"/>
            <w:hideMark/>
          </w:tcPr>
          <w:p>
            <w:pPr>
              <w:rPr>
                <w:rFonts w:ascii="Calibri" w:hAnsi="Calibri" w:cs="Calibri"/>
                <w:b/>
                <w:bCs/>
                <w:lang w:eastAsia="cs-CZ" w:bidi="ar-SA"/>
              </w:rPr>
            </w:pPr>
            <w:r>
              <w:rPr>
                <w:rFonts w:ascii="Calibri" w:hAnsi="Calibri" w:cs="Calibri"/>
                <w:b/>
                <w:bCs/>
                <w:szCs w:val="22"/>
                <w:lang w:eastAsia="cs-CZ" w:bidi="ar-SA"/>
              </w:rPr>
              <w:t>Celkem za objednávku bez DPH</w:t>
            </w:r>
          </w:p>
        </w:tc>
        <w:tc>
          <w:tcPr>
            <w:tcW w:w="1640" w:type="dxa"/>
            <w:tcBorders>
              <w:top w:val="nil"/>
              <w:left w:val="nil"/>
              <w:bottom w:val="single" w:sz="4" w:space="0" w:color="auto"/>
              <w:right w:val="single" w:sz="4" w:space="0" w:color="auto"/>
            </w:tcBorders>
            <w:shd w:val="clear" w:color="auto" w:fill="auto"/>
            <w:vAlign w:val="center"/>
            <w:hideMark/>
          </w:tcPr>
          <w:p>
            <w:pPr>
              <w:jc w:val="right"/>
              <w:rPr>
                <w:rFonts w:ascii="Calibri" w:hAnsi="Calibri" w:cs="Calibri"/>
                <w:lang w:eastAsia="cs-CZ" w:bidi="ar-SA"/>
              </w:rPr>
            </w:pPr>
            <w:r>
              <w:rPr>
                <w:rFonts w:ascii="Calibri" w:hAnsi="Calibri" w:cs="Calibri"/>
                <w:szCs w:val="22"/>
                <w:lang w:eastAsia="cs-CZ" w:bidi="ar-SA"/>
              </w:rPr>
              <w:t>0,00 Kč</w:t>
            </w:r>
          </w:p>
        </w:tc>
        <w:tc>
          <w:tcPr>
            <w:tcW w:w="1640" w:type="dxa"/>
            <w:tcBorders>
              <w:top w:val="nil"/>
              <w:left w:val="nil"/>
              <w:bottom w:val="nil"/>
              <w:right w:val="nil"/>
            </w:tcBorders>
            <w:shd w:val="clear" w:color="auto" w:fill="auto"/>
            <w:vAlign w:val="center"/>
            <w:hideMark/>
          </w:tcPr>
          <w:p>
            <w:pPr>
              <w:rPr>
                <w:rFonts w:ascii="Calibri" w:hAnsi="Calibri" w:cs="Calibri"/>
                <w:b/>
                <w:bCs/>
                <w:lang w:eastAsia="cs-CZ" w:bidi="ar-SA"/>
              </w:rPr>
            </w:pPr>
          </w:p>
        </w:tc>
      </w:tr>
      <w:tr>
        <w:trPr>
          <w:trHeight w:val="450"/>
        </w:trPr>
        <w:tc>
          <w:tcPr>
            <w:tcW w:w="58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Calibri" w:hAnsi="Calibri" w:cs="Calibri"/>
                <w:b/>
                <w:bCs/>
                <w:lang w:eastAsia="cs-CZ" w:bidi="ar-SA"/>
              </w:rPr>
            </w:pPr>
            <w:r>
              <w:rPr>
                <w:rFonts w:ascii="Calibri" w:hAnsi="Calibri" w:cs="Calibri"/>
                <w:b/>
                <w:bCs/>
                <w:szCs w:val="22"/>
                <w:lang w:eastAsia="cs-CZ" w:bidi="ar-SA"/>
              </w:rPr>
              <w:t xml:space="preserve"> DPH</w:t>
            </w:r>
          </w:p>
        </w:tc>
        <w:tc>
          <w:tcPr>
            <w:tcW w:w="1640" w:type="dxa"/>
            <w:tcBorders>
              <w:top w:val="nil"/>
              <w:left w:val="nil"/>
              <w:bottom w:val="single" w:sz="4" w:space="0" w:color="auto"/>
              <w:right w:val="single" w:sz="4" w:space="0" w:color="auto"/>
            </w:tcBorders>
            <w:shd w:val="clear" w:color="auto" w:fill="auto"/>
            <w:vAlign w:val="center"/>
            <w:hideMark/>
          </w:tcPr>
          <w:p>
            <w:pPr>
              <w:jc w:val="right"/>
              <w:rPr>
                <w:rFonts w:ascii="Calibri" w:hAnsi="Calibri" w:cs="Calibri"/>
                <w:lang w:eastAsia="cs-CZ" w:bidi="ar-SA"/>
              </w:rPr>
            </w:pPr>
            <w:r>
              <w:rPr>
                <w:rFonts w:ascii="Calibri" w:hAnsi="Calibri" w:cs="Calibri"/>
                <w:szCs w:val="22"/>
                <w:lang w:eastAsia="cs-CZ" w:bidi="ar-SA"/>
              </w:rPr>
              <w:t>0,00 Kč</w:t>
            </w:r>
          </w:p>
        </w:tc>
        <w:tc>
          <w:tcPr>
            <w:tcW w:w="1640" w:type="dxa"/>
            <w:tcBorders>
              <w:top w:val="nil"/>
              <w:left w:val="nil"/>
              <w:bottom w:val="nil"/>
              <w:right w:val="nil"/>
            </w:tcBorders>
            <w:shd w:val="clear" w:color="auto" w:fill="auto"/>
            <w:vAlign w:val="center"/>
            <w:hideMark/>
          </w:tcPr>
          <w:p>
            <w:pPr>
              <w:rPr>
                <w:rFonts w:ascii="Calibri" w:hAnsi="Calibri" w:cs="Calibri"/>
                <w:b/>
                <w:bCs/>
                <w:lang w:eastAsia="cs-CZ" w:bidi="ar-SA"/>
              </w:rPr>
            </w:pPr>
          </w:p>
        </w:tc>
      </w:tr>
      <w:tr>
        <w:trPr>
          <w:trHeight w:val="450"/>
        </w:trPr>
        <w:tc>
          <w:tcPr>
            <w:tcW w:w="58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Calibri" w:hAnsi="Calibri" w:cs="Calibri"/>
                <w:b/>
                <w:bCs/>
                <w:lang w:eastAsia="cs-CZ" w:bidi="ar-SA"/>
              </w:rPr>
            </w:pPr>
            <w:r>
              <w:rPr>
                <w:rFonts w:ascii="Calibri" w:hAnsi="Calibri" w:cs="Calibri"/>
                <w:b/>
                <w:bCs/>
                <w:szCs w:val="22"/>
                <w:lang w:eastAsia="cs-CZ" w:bidi="ar-SA"/>
              </w:rPr>
              <w:t>Celkem za objednávku včetně DPH</w:t>
            </w:r>
          </w:p>
        </w:tc>
        <w:tc>
          <w:tcPr>
            <w:tcW w:w="1640" w:type="dxa"/>
            <w:tcBorders>
              <w:top w:val="nil"/>
              <w:left w:val="nil"/>
              <w:bottom w:val="single" w:sz="4" w:space="0" w:color="auto"/>
              <w:right w:val="single" w:sz="4" w:space="0" w:color="auto"/>
            </w:tcBorders>
            <w:shd w:val="clear" w:color="auto" w:fill="auto"/>
            <w:vAlign w:val="center"/>
            <w:hideMark/>
          </w:tcPr>
          <w:p>
            <w:pPr>
              <w:jc w:val="right"/>
              <w:rPr>
                <w:rFonts w:ascii="Calibri" w:hAnsi="Calibri" w:cs="Calibri"/>
                <w:lang w:eastAsia="cs-CZ" w:bidi="ar-SA"/>
              </w:rPr>
            </w:pPr>
            <w:r>
              <w:rPr>
                <w:rFonts w:ascii="Calibri" w:hAnsi="Calibri" w:cs="Calibri"/>
                <w:szCs w:val="22"/>
                <w:lang w:eastAsia="cs-CZ" w:bidi="ar-SA"/>
              </w:rPr>
              <w:t>0,00 Kč</w:t>
            </w:r>
          </w:p>
        </w:tc>
        <w:tc>
          <w:tcPr>
            <w:tcW w:w="1640" w:type="dxa"/>
            <w:tcBorders>
              <w:top w:val="nil"/>
              <w:left w:val="nil"/>
              <w:bottom w:val="nil"/>
              <w:right w:val="nil"/>
            </w:tcBorders>
            <w:shd w:val="clear" w:color="auto" w:fill="auto"/>
            <w:vAlign w:val="center"/>
            <w:hideMark/>
          </w:tcPr>
          <w:p>
            <w:pPr>
              <w:rPr>
                <w:rFonts w:ascii="Calibri" w:hAnsi="Calibri" w:cs="Calibri"/>
                <w:b/>
                <w:bCs/>
                <w:lang w:eastAsia="cs-CZ" w:bidi="ar-SA"/>
              </w:rPr>
            </w:pPr>
          </w:p>
        </w:tc>
      </w:tr>
    </w:tbl>
    <w:p/>
    <w:sectPr>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BE3B65" w15:done="0"/>
  <w15:commentEx w15:paraId="36F973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048254"/>
      <w:docPartObj>
        <w:docPartGallery w:val="Page Numbers (Bottom of Page)"/>
        <w:docPartUnique/>
      </w:docPartObj>
    </w:sdtPr>
    <w:sdtContent>
      <w:p>
        <w:pPr>
          <w:pStyle w:val="Zpat"/>
          <w:jc w:val="center"/>
        </w:pPr>
        <w:r>
          <w:fldChar w:fldCharType="begin"/>
        </w:r>
        <w:r>
          <w:instrText>PAGE   \* MERGEFORMAT</w:instrText>
        </w:r>
        <w:r>
          <w:fldChar w:fldCharType="separate"/>
        </w:r>
        <w:r>
          <w:rPr>
            <w:noProof/>
          </w:rPr>
          <w:t>18</w:t>
        </w:r>
        <w:r>
          <w:rPr>
            <w:noProof/>
          </w:rPr>
          <w:fldChar w:fldCharType="end"/>
        </w:r>
      </w:p>
    </w:sdtContent>
  </w:sdt>
  <w:p>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498174"/>
      <w:docPartObj>
        <w:docPartGallery w:val="Page Numbers (Bottom of Page)"/>
        <w:docPartUnique/>
      </w:docPartObj>
    </w:sdtPr>
    <w:sdtContent>
      <w:p>
        <w:pPr>
          <w:pStyle w:val="Zpat"/>
          <w:jc w:val="center"/>
        </w:pPr>
        <w:r>
          <w:fldChar w:fldCharType="begin"/>
        </w:r>
        <w:r>
          <w:instrText>PAGE   \* MERGEFORMAT</w:instrText>
        </w:r>
        <w:r>
          <w:fldChar w:fldCharType="separate"/>
        </w:r>
        <w:r>
          <w:rPr>
            <w:noProof/>
          </w:rPr>
          <w:t>16</w:t>
        </w:r>
        <w:r>
          <w:rPr>
            <w:noProof/>
          </w:rPr>
          <w:fldChar w:fldCharType="end"/>
        </w:r>
      </w:p>
    </w:sdtContent>
  </w:sdt>
  <w:p>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jc w:val="center"/>
    </w:pPr>
    <w:r>
      <w:rPr>
        <w:noProof/>
        <w:lang w:eastAsia="cs-CZ" w:bidi="ar-SA"/>
      </w:rPr>
      <w:drawing>
        <wp:inline distT="0" distB="0" distL="0" distR="0">
          <wp:extent cx="5753100" cy="923925"/>
          <wp:effectExtent l="0" t="0" r="0" b="9525"/>
          <wp:docPr id="1" name="Obrázek 1" descr="loga EU_MD+OPD+SFDI"/>
          <wp:cNvGraphicFramePr/>
          <a:graphic xmlns:a="http://schemas.openxmlformats.org/drawingml/2006/main">
            <a:graphicData uri="http://schemas.openxmlformats.org/drawingml/2006/picture">
              <pic:pic xmlns:pic="http://schemas.openxmlformats.org/drawingml/2006/picture">
                <pic:nvPicPr>
                  <pic:cNvPr id="2" name="Obrázek 2" descr="loga EU_MD+OPD+SFDI"/>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6B808FE4"/>
    <w:name w:val="WW8Num3"/>
    <w:lvl w:ilvl="0">
      <w:start w:val="1"/>
      <w:numFmt w:val="upperRoman"/>
      <w:lvlText w:val="%1."/>
      <w:lvlJc w:val="right"/>
      <w:pPr>
        <w:tabs>
          <w:tab w:val="num" w:pos="0"/>
        </w:tabs>
        <w:ind w:left="360" w:hanging="360"/>
      </w:pPr>
      <w:rPr>
        <w:b/>
      </w:rPr>
    </w:lvl>
    <w:lvl w:ilvl="1">
      <w:start w:val="1"/>
      <w:numFmt w:val="decimal"/>
      <w:lvlText w:val="%2)"/>
      <w:lvlJc w:val="left"/>
      <w:pPr>
        <w:tabs>
          <w:tab w:val="num" w:pos="0"/>
        </w:tabs>
        <w:ind w:left="720" w:hanging="360"/>
      </w:pPr>
      <w:rPr>
        <w:b w:val="0"/>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7"/>
    <w:multiLevelType w:val="singleLevel"/>
    <w:tmpl w:val="04050011"/>
    <w:lvl w:ilvl="0">
      <w:start w:val="1"/>
      <w:numFmt w:val="decimal"/>
      <w:lvlText w:val="%1)"/>
      <w:lvlJc w:val="left"/>
      <w:pPr>
        <w:ind w:left="720" w:hanging="360"/>
      </w:pPr>
    </w:lvl>
  </w:abstractNum>
  <w:abstractNum w:abstractNumId="2">
    <w:nsid w:val="02AC3785"/>
    <w:multiLevelType w:val="multilevel"/>
    <w:tmpl w:val="351499A4"/>
    <w:lvl w:ilvl="0">
      <w:start w:val="2"/>
      <w:numFmt w:val="decimal"/>
      <w:lvlText w:val="%1"/>
      <w:lvlJc w:val="left"/>
      <w:pPr>
        <w:ind w:left="360" w:hanging="360"/>
      </w:pPr>
    </w:lvl>
    <w:lvl w:ilvl="1">
      <w:start w:val="1"/>
      <w:numFmt w:val="decimal"/>
      <w:lvlText w:val="4.%2"/>
      <w:lvlJc w:val="left"/>
      <w:pPr>
        <w:ind w:left="2912"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93200CC"/>
    <w:multiLevelType w:val="hybridMultilevel"/>
    <w:tmpl w:val="A22CE262"/>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
    <w:nsid w:val="0BD4033A"/>
    <w:multiLevelType w:val="multilevel"/>
    <w:tmpl w:val="14429354"/>
    <w:lvl w:ilvl="0">
      <w:start w:val="1"/>
      <w:numFmt w:val="lowerLetter"/>
      <w:lvlText w:val="%1)"/>
      <w:lvlJc w:val="left"/>
      <w:pPr>
        <w:ind w:left="927" w:hanging="360"/>
      </w:pPr>
      <w:rPr>
        <w:rFonts w:ascii="Arial" w:hAnsi="Arial"/>
        <w:b w:val="0"/>
        <w:i w:val="0"/>
        <w:sz w:val="22"/>
        <w:szCs w:val="22"/>
      </w:rPr>
    </w:lvl>
    <w:lvl w:ilvl="1">
      <w:start w:val="1"/>
      <w:numFmt w:val="decimal"/>
      <w:lvlText w:val="4.%2"/>
      <w:lvlJc w:val="left"/>
      <w:pPr>
        <w:ind w:left="927" w:hanging="360"/>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nsid w:val="0BDD3C92"/>
    <w:multiLevelType w:val="multilevel"/>
    <w:tmpl w:val="91923C52"/>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EC1D76"/>
    <w:multiLevelType w:val="multilevel"/>
    <w:tmpl w:val="64EAF63A"/>
    <w:lvl w:ilvl="0">
      <w:start w:val="2"/>
      <w:numFmt w:val="decimal"/>
      <w:lvlText w:val="%1"/>
      <w:lvlJc w:val="left"/>
      <w:pPr>
        <w:ind w:left="360" w:hanging="360"/>
      </w:pPr>
      <w:rPr>
        <w:rFonts w:hint="default"/>
      </w:rPr>
    </w:lvl>
    <w:lvl w:ilvl="1">
      <w:start w:val="1"/>
      <w:numFmt w:val="decimal"/>
      <w:lvlText w:val="7.%2"/>
      <w:lvlJc w:val="left"/>
      <w:pPr>
        <w:ind w:left="360" w:hanging="36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220A70"/>
    <w:multiLevelType w:val="multilevel"/>
    <w:tmpl w:val="F88833EC"/>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C8F31E8"/>
    <w:multiLevelType w:val="hybridMultilevel"/>
    <w:tmpl w:val="96D26990"/>
    <w:lvl w:ilvl="0" w:tplc="39ACECF6">
      <w:start w:val="1"/>
      <w:numFmt w:val="bullet"/>
      <w:lvlText w:val="•"/>
      <w:lvlJc w:val="left"/>
      <w:pPr>
        <w:tabs>
          <w:tab w:val="num" w:pos="720"/>
        </w:tabs>
        <w:ind w:left="720" w:hanging="360"/>
      </w:pPr>
      <w:rPr>
        <w:rFonts w:ascii="Times New Roman" w:hAnsi="Times New Roman" w:hint="default"/>
      </w:rPr>
    </w:lvl>
    <w:lvl w:ilvl="1" w:tplc="2AE2ABE4" w:tentative="1">
      <w:start w:val="1"/>
      <w:numFmt w:val="bullet"/>
      <w:lvlText w:val="•"/>
      <w:lvlJc w:val="left"/>
      <w:pPr>
        <w:tabs>
          <w:tab w:val="num" w:pos="1440"/>
        </w:tabs>
        <w:ind w:left="1440" w:hanging="360"/>
      </w:pPr>
      <w:rPr>
        <w:rFonts w:ascii="Times New Roman" w:hAnsi="Times New Roman" w:hint="default"/>
      </w:rPr>
    </w:lvl>
    <w:lvl w:ilvl="2" w:tplc="D1928EF6">
      <w:start w:val="1"/>
      <w:numFmt w:val="bullet"/>
      <w:lvlText w:val="•"/>
      <w:lvlJc w:val="left"/>
      <w:pPr>
        <w:tabs>
          <w:tab w:val="num" w:pos="2160"/>
        </w:tabs>
        <w:ind w:left="2160" w:hanging="360"/>
      </w:pPr>
      <w:rPr>
        <w:rFonts w:ascii="Times New Roman" w:hAnsi="Times New Roman" w:hint="default"/>
      </w:rPr>
    </w:lvl>
    <w:lvl w:ilvl="3" w:tplc="0698693E" w:tentative="1">
      <w:start w:val="1"/>
      <w:numFmt w:val="bullet"/>
      <w:lvlText w:val="•"/>
      <w:lvlJc w:val="left"/>
      <w:pPr>
        <w:tabs>
          <w:tab w:val="num" w:pos="2880"/>
        </w:tabs>
        <w:ind w:left="2880" w:hanging="360"/>
      </w:pPr>
      <w:rPr>
        <w:rFonts w:ascii="Times New Roman" w:hAnsi="Times New Roman" w:hint="default"/>
      </w:rPr>
    </w:lvl>
    <w:lvl w:ilvl="4" w:tplc="CA80038C" w:tentative="1">
      <w:start w:val="1"/>
      <w:numFmt w:val="bullet"/>
      <w:lvlText w:val="•"/>
      <w:lvlJc w:val="left"/>
      <w:pPr>
        <w:tabs>
          <w:tab w:val="num" w:pos="3600"/>
        </w:tabs>
        <w:ind w:left="3600" w:hanging="360"/>
      </w:pPr>
      <w:rPr>
        <w:rFonts w:ascii="Times New Roman" w:hAnsi="Times New Roman" w:hint="default"/>
      </w:rPr>
    </w:lvl>
    <w:lvl w:ilvl="5" w:tplc="6EFE7F24" w:tentative="1">
      <w:start w:val="1"/>
      <w:numFmt w:val="bullet"/>
      <w:lvlText w:val="•"/>
      <w:lvlJc w:val="left"/>
      <w:pPr>
        <w:tabs>
          <w:tab w:val="num" w:pos="4320"/>
        </w:tabs>
        <w:ind w:left="4320" w:hanging="360"/>
      </w:pPr>
      <w:rPr>
        <w:rFonts w:ascii="Times New Roman" w:hAnsi="Times New Roman" w:hint="default"/>
      </w:rPr>
    </w:lvl>
    <w:lvl w:ilvl="6" w:tplc="FAA650D8" w:tentative="1">
      <w:start w:val="1"/>
      <w:numFmt w:val="bullet"/>
      <w:lvlText w:val="•"/>
      <w:lvlJc w:val="left"/>
      <w:pPr>
        <w:tabs>
          <w:tab w:val="num" w:pos="5040"/>
        </w:tabs>
        <w:ind w:left="5040" w:hanging="360"/>
      </w:pPr>
      <w:rPr>
        <w:rFonts w:ascii="Times New Roman" w:hAnsi="Times New Roman" w:hint="default"/>
      </w:rPr>
    </w:lvl>
    <w:lvl w:ilvl="7" w:tplc="FF7271F6" w:tentative="1">
      <w:start w:val="1"/>
      <w:numFmt w:val="bullet"/>
      <w:lvlText w:val="•"/>
      <w:lvlJc w:val="left"/>
      <w:pPr>
        <w:tabs>
          <w:tab w:val="num" w:pos="5760"/>
        </w:tabs>
        <w:ind w:left="5760" w:hanging="360"/>
      </w:pPr>
      <w:rPr>
        <w:rFonts w:ascii="Times New Roman" w:hAnsi="Times New Roman" w:hint="default"/>
      </w:rPr>
    </w:lvl>
    <w:lvl w:ilvl="8" w:tplc="50AC5BC6" w:tentative="1">
      <w:start w:val="1"/>
      <w:numFmt w:val="bullet"/>
      <w:lvlText w:val="•"/>
      <w:lvlJc w:val="left"/>
      <w:pPr>
        <w:tabs>
          <w:tab w:val="num" w:pos="6480"/>
        </w:tabs>
        <w:ind w:left="6480" w:hanging="360"/>
      </w:pPr>
      <w:rPr>
        <w:rFonts w:ascii="Times New Roman" w:hAnsi="Times New Roman" w:hint="default"/>
      </w:rPr>
    </w:lvl>
  </w:abstractNum>
  <w:abstractNum w:abstractNumId="9">
    <w:nsid w:val="2CDE769B"/>
    <w:multiLevelType w:val="hybridMultilevel"/>
    <w:tmpl w:val="E38896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1C3519F"/>
    <w:multiLevelType w:val="multilevel"/>
    <w:tmpl w:val="C56C59D0"/>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813A91"/>
    <w:multiLevelType w:val="multilevel"/>
    <w:tmpl w:val="0478CA60"/>
    <w:lvl w:ilvl="0">
      <w:start w:val="1"/>
      <w:numFmt w:val="decimal"/>
      <w:lvlText w:val="%1"/>
      <w:lvlJc w:val="left"/>
      <w:pPr>
        <w:ind w:left="360" w:hanging="360"/>
      </w:pPr>
    </w:lvl>
    <w:lvl w:ilvl="1">
      <w:start w:val="1"/>
      <w:numFmt w:val="decimal"/>
      <w:lvlText w:val="2.%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3A1C7A7A"/>
    <w:multiLevelType w:val="hybridMultilevel"/>
    <w:tmpl w:val="C9A205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A340D16"/>
    <w:multiLevelType w:val="hybridMultilevel"/>
    <w:tmpl w:val="9AA41BF6"/>
    <w:lvl w:ilvl="0" w:tplc="27CAE576">
      <w:start w:val="5"/>
      <w:numFmt w:val="bullet"/>
      <w:lvlText w:val="•"/>
      <w:lvlJc w:val="left"/>
      <w:pPr>
        <w:ind w:left="644" w:hanging="360"/>
      </w:pPr>
      <w:rPr>
        <w:rFonts w:ascii="Times New Roman" w:eastAsia="Times New Roman" w:hAnsi="Times New Roman" w:hint="default"/>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4">
    <w:nsid w:val="55FF5C14"/>
    <w:multiLevelType w:val="multilevel"/>
    <w:tmpl w:val="EA4621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82A0C46"/>
    <w:multiLevelType w:val="hybridMultilevel"/>
    <w:tmpl w:val="A6C4260C"/>
    <w:lvl w:ilvl="0" w:tplc="04050017">
      <w:start w:val="1"/>
      <w:numFmt w:val="lowerLetter"/>
      <w:lvlText w:val="%1)"/>
      <w:lvlJc w:val="left"/>
      <w:pPr>
        <w:ind w:left="720" w:hanging="360"/>
      </w:pPr>
    </w:lvl>
    <w:lvl w:ilvl="1" w:tplc="F198F8BE">
      <w:start w:val="2"/>
      <w:numFmt w:val="bullet"/>
      <w:lvlText w:val=""/>
      <w:lvlJc w:val="left"/>
      <w:pPr>
        <w:ind w:left="1440" w:hanging="360"/>
      </w:pPr>
      <w:rPr>
        <w:rFonts w:ascii="Symbol" w:eastAsiaTheme="minorHAns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FAB7A96"/>
    <w:multiLevelType w:val="multilevel"/>
    <w:tmpl w:val="DC204ECE"/>
    <w:lvl w:ilvl="0">
      <w:start w:val="2"/>
      <w:numFmt w:val="decimal"/>
      <w:lvlText w:val="%1"/>
      <w:lvlJc w:val="left"/>
      <w:pPr>
        <w:ind w:left="360" w:hanging="360"/>
      </w:pPr>
    </w:lvl>
    <w:lvl w:ilvl="1">
      <w:start w:val="1"/>
      <w:numFmt w:val="decimal"/>
      <w:lvlText w:val="5.%2"/>
      <w:lvlJc w:val="left"/>
      <w:pPr>
        <w:ind w:left="360"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624C4DF6"/>
    <w:multiLevelType w:val="multilevel"/>
    <w:tmpl w:val="964ECD3E"/>
    <w:lvl w:ilvl="0">
      <w:start w:val="1"/>
      <w:numFmt w:val="lowerLetter"/>
      <w:lvlText w:val="%1)"/>
      <w:lvlJc w:val="left"/>
      <w:pPr>
        <w:ind w:left="927" w:hanging="360"/>
      </w:pPr>
      <w:rPr>
        <w:rFonts w:hint="default"/>
        <w:b w:val="0"/>
        <w:i w:val="0"/>
        <w:sz w:val="22"/>
        <w:szCs w:val="22"/>
      </w:rPr>
    </w:lvl>
    <w:lvl w:ilvl="1">
      <w:start w:val="1"/>
      <w:numFmt w:val="decimal"/>
      <w:lvlText w:val="4.%2"/>
      <w:lvlJc w:val="left"/>
      <w:pPr>
        <w:ind w:left="927"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18">
    <w:nsid w:val="64630067"/>
    <w:multiLevelType w:val="hybridMultilevel"/>
    <w:tmpl w:val="F0BE2A08"/>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nsid w:val="6BFF75CF"/>
    <w:multiLevelType w:val="multilevel"/>
    <w:tmpl w:val="8E62C70E"/>
    <w:lvl w:ilvl="0">
      <w:start w:val="1"/>
      <w:numFmt w:val="lowerLetter"/>
      <w:lvlText w:val="%1)"/>
      <w:lvlJc w:val="left"/>
      <w:pPr>
        <w:ind w:left="927" w:hanging="360"/>
      </w:pPr>
      <w:rPr>
        <w:rFonts w:ascii="Arial" w:hAnsi="Arial" w:cs="Arial" w:hint="default"/>
        <w:b w:val="0"/>
        <w:i w:val="0"/>
        <w:sz w:val="22"/>
        <w:szCs w:val="22"/>
      </w:rPr>
    </w:lvl>
    <w:lvl w:ilvl="1">
      <w:start w:val="1"/>
      <w:numFmt w:val="decimal"/>
      <w:lvlText w:val="4.%2"/>
      <w:lvlJc w:val="left"/>
      <w:pPr>
        <w:ind w:left="927"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20">
    <w:nsid w:val="782319EB"/>
    <w:multiLevelType w:val="multilevel"/>
    <w:tmpl w:val="4F562B28"/>
    <w:lvl w:ilvl="0">
      <w:start w:val="2"/>
      <w:numFmt w:val="decimal"/>
      <w:lvlText w:val="%1"/>
      <w:lvlJc w:val="left"/>
      <w:pPr>
        <w:ind w:left="360" w:hanging="360"/>
      </w:pPr>
      <w:rPr>
        <w:rFonts w:hint="default"/>
      </w:rPr>
    </w:lvl>
    <w:lvl w:ilvl="1">
      <w:start w:val="1"/>
      <w:numFmt w:val="decimal"/>
      <w:lvlText w:val="4.%2"/>
      <w:lvlJc w:val="left"/>
      <w:pPr>
        <w:ind w:left="360" w:hanging="36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83C6173"/>
    <w:multiLevelType w:val="multilevel"/>
    <w:tmpl w:val="994092F8"/>
    <w:lvl w:ilvl="0">
      <w:start w:val="2"/>
      <w:numFmt w:val="decimal"/>
      <w:lvlText w:val="%1"/>
      <w:lvlJc w:val="left"/>
      <w:pPr>
        <w:ind w:left="360" w:hanging="360"/>
      </w:pPr>
      <w:rPr>
        <w:rFonts w:hint="default"/>
      </w:rPr>
    </w:lvl>
    <w:lvl w:ilvl="1">
      <w:start w:val="1"/>
      <w:numFmt w:val="decimal"/>
      <w:lvlText w:val="8.%2"/>
      <w:lvlJc w:val="left"/>
      <w:pPr>
        <w:ind w:left="360" w:hanging="36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9F15271"/>
    <w:multiLevelType w:val="multilevel"/>
    <w:tmpl w:val="BA643A20"/>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C6B6D99"/>
    <w:multiLevelType w:val="multilevel"/>
    <w:tmpl w:val="FC0E7122"/>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0"/>
  </w:num>
  <w:num w:numId="3">
    <w:abstractNumId w:val="1"/>
  </w:num>
  <w:num w:numId="4">
    <w:abstractNumId w:val="14"/>
  </w:num>
  <w:num w:numId="5">
    <w:abstractNumId w:val="20"/>
  </w:num>
  <w:num w:numId="6">
    <w:abstractNumId w:val="7"/>
  </w:num>
  <w:num w:numId="7">
    <w:abstractNumId w:val="22"/>
  </w:num>
  <w:num w:numId="8">
    <w:abstractNumId w:val="5"/>
  </w:num>
  <w:num w:numId="9">
    <w:abstractNumId w:val="12"/>
  </w:num>
  <w:num w:numId="10">
    <w:abstractNumId w:val="10"/>
  </w:num>
  <w:num w:numId="11">
    <w:abstractNumId w:val="9"/>
  </w:num>
  <w:num w:numId="12">
    <w:abstractNumId w:val="21"/>
  </w:num>
  <w:num w:numId="13">
    <w:abstractNumId w:val="17"/>
  </w:num>
  <w:num w:numId="14">
    <w:abstractNumId w:val="19"/>
  </w:num>
  <w:num w:numId="15">
    <w:abstractNumId w:val="23"/>
  </w:num>
  <w:num w:numId="16">
    <w:abstractNumId w:val="18"/>
  </w:num>
  <w:num w:numId="17">
    <w:abstractNumId w:val="3"/>
  </w:num>
  <w:num w:numId="18">
    <w:abstractNumId w:val="13"/>
  </w:num>
  <w:num w:numId="1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6"/>
  </w:num>
  <w:num w:numId="22">
    <w:abstractNumId w:val="4"/>
  </w:num>
  <w:num w:numId="23">
    <w:abstractNumId w:val="11"/>
  </w:num>
  <w:num w:numId="2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šková Lucie Mgr. Bc.">
    <w15:presenceInfo w15:providerId="AD" w15:userId="S-1-5-21-2013546996-1368335440-1734353810-185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formsDesign/>
  <w:defaultTabStop w:val="708"/>
  <w:hyphenationZone w:val="425"/>
  <w:characterSpacingControl w:val="doNotCompress"/>
  <w:hdrShapeDefaults>
    <o:shapedefaults v:ext="edit" spidmax="122881"/>
  </w:hdrShapeDefaults>
  <w:footnotePr>
    <w:footnote w:id="-1"/>
    <w:footnote w:id="0"/>
    <w:footnote w:id="1"/>
  </w:footnotePr>
  <w:endnotePr>
    <w:endnote w:id="-1"/>
    <w:endnote w:id="0"/>
    <w:endnote w:id="1"/>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rFonts w:ascii="Arial" w:eastAsia="Times New Roman" w:hAnsi="Arial" w:cs="Times New Roman"/>
      <w:szCs w:val="24"/>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nhideWhenUsed/>
    <w:pPr>
      <w:tabs>
        <w:tab w:val="center" w:pos="4536"/>
        <w:tab w:val="right" w:pos="9072"/>
      </w:tabs>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character" w:customStyle="1" w:styleId="Poznmkapodarou">
    <w:name w:val="Poznámka pod čarou_"/>
    <w:basedOn w:val="Standardnpsmoodstavce"/>
    <w:link w:val="Poznmkapodarou0"/>
    <w:rPr>
      <w:rFonts w:ascii="Book Antiqua" w:eastAsia="Book Antiqua" w:hAnsi="Book Antiqua" w:cs="Book Antiqua"/>
      <w:sz w:val="14"/>
      <w:szCs w:val="14"/>
      <w:shd w:val="clear" w:color="auto" w:fill="FFFFFF"/>
    </w:rPr>
  </w:style>
  <w:style w:type="character" w:customStyle="1" w:styleId="Poznmkapodarou2">
    <w:name w:val="Poznámka pod čarou (2)_"/>
    <w:basedOn w:val="Standardnpsmoodstavce"/>
    <w:link w:val="Poznmkapodarou20"/>
    <w:rPr>
      <w:rFonts w:ascii="Book Antiqua" w:eastAsia="Book Antiqua" w:hAnsi="Book Antiqua" w:cs="Book Antiqua"/>
      <w:sz w:val="19"/>
      <w:szCs w:val="19"/>
      <w:shd w:val="clear" w:color="auto" w:fill="FFFFFF"/>
    </w:rPr>
  </w:style>
  <w:style w:type="character" w:customStyle="1" w:styleId="Zkladntext2">
    <w:name w:val="Základní text (2)_"/>
    <w:basedOn w:val="Standardnpsmoodstavce"/>
    <w:rPr>
      <w:rFonts w:ascii="Book Antiqua" w:eastAsia="Book Antiqua" w:hAnsi="Book Antiqua" w:cs="Book Antiqua"/>
      <w:b w:val="0"/>
      <w:bCs w:val="0"/>
      <w:i w:val="0"/>
      <w:iCs w:val="0"/>
      <w:smallCaps w:val="0"/>
      <w:strike w:val="0"/>
      <w:sz w:val="19"/>
      <w:szCs w:val="19"/>
      <w:u w:val="none"/>
    </w:rPr>
  </w:style>
  <w:style w:type="character" w:customStyle="1" w:styleId="Zkladntext20">
    <w:name w:val="Základní text (2)"/>
    <w:basedOn w:val="Zkladntext2"/>
    <w:rPr>
      <w:rFonts w:ascii="Book Antiqua" w:eastAsia="Book Antiqua" w:hAnsi="Book Antiqua" w:cs="Book Antiqua"/>
      <w:b w:val="0"/>
      <w:bCs w:val="0"/>
      <w:i w:val="0"/>
      <w:iCs w:val="0"/>
      <w:smallCaps w:val="0"/>
      <w:strike w:val="0"/>
      <w:color w:val="000000"/>
      <w:spacing w:val="0"/>
      <w:w w:val="100"/>
      <w:position w:val="0"/>
      <w:sz w:val="19"/>
      <w:szCs w:val="19"/>
      <w:u w:val="none"/>
      <w:lang w:val="cs-CZ" w:eastAsia="cs-CZ" w:bidi="cs-CZ"/>
    </w:rPr>
  </w:style>
  <w:style w:type="character" w:customStyle="1" w:styleId="Zkladntext2Kurzva">
    <w:name w:val="Základní text (2) + Kurzíva"/>
    <w:basedOn w:val="Zkladntext2"/>
    <w:rPr>
      <w:rFonts w:ascii="Book Antiqua" w:eastAsia="Book Antiqua" w:hAnsi="Book Antiqua" w:cs="Book Antiqua"/>
      <w:b w:val="0"/>
      <w:bCs w:val="0"/>
      <w:i/>
      <w:iCs/>
      <w:smallCaps w:val="0"/>
      <w:strike w:val="0"/>
      <w:color w:val="000000"/>
      <w:spacing w:val="0"/>
      <w:w w:val="100"/>
      <w:position w:val="0"/>
      <w:sz w:val="19"/>
      <w:szCs w:val="19"/>
      <w:u w:val="none"/>
      <w:lang w:val="cs-CZ" w:eastAsia="cs-CZ" w:bidi="cs-CZ"/>
    </w:rPr>
  </w:style>
  <w:style w:type="character" w:customStyle="1" w:styleId="Titulektabulky">
    <w:name w:val="Titulek tabulky_"/>
    <w:basedOn w:val="Standardnpsmoodstavce"/>
    <w:link w:val="Titulektabulky0"/>
    <w:rPr>
      <w:rFonts w:ascii="Book Antiqua" w:eastAsia="Book Antiqua" w:hAnsi="Book Antiqua" w:cs="Book Antiqua"/>
      <w:i/>
      <w:iCs/>
      <w:sz w:val="19"/>
      <w:szCs w:val="19"/>
      <w:shd w:val="clear" w:color="auto" w:fill="FFFFFF"/>
    </w:rPr>
  </w:style>
  <w:style w:type="paragraph" w:customStyle="1" w:styleId="Poznmkapodarou0">
    <w:name w:val="Poznámka pod čarou"/>
    <w:basedOn w:val="Normln"/>
    <w:link w:val="Poznmkapodarou"/>
    <w:pPr>
      <w:widowControl w:val="0"/>
      <w:shd w:val="clear" w:color="auto" w:fill="FFFFFF"/>
      <w:spacing w:line="216" w:lineRule="exact"/>
      <w:jc w:val="both"/>
    </w:pPr>
    <w:rPr>
      <w:rFonts w:ascii="Book Antiqua" w:eastAsia="Book Antiqua" w:hAnsi="Book Antiqua" w:cs="Book Antiqua"/>
      <w:sz w:val="14"/>
      <w:szCs w:val="14"/>
    </w:rPr>
  </w:style>
  <w:style w:type="paragraph" w:customStyle="1" w:styleId="Poznmkapodarou20">
    <w:name w:val="Poznámka pod čarou (2)"/>
    <w:basedOn w:val="Normln"/>
    <w:link w:val="Poznmkapodarou2"/>
    <w:pPr>
      <w:widowControl w:val="0"/>
      <w:shd w:val="clear" w:color="auto" w:fill="FFFFFF"/>
      <w:spacing w:after="120" w:line="269" w:lineRule="exact"/>
      <w:jc w:val="both"/>
    </w:pPr>
    <w:rPr>
      <w:rFonts w:ascii="Book Antiqua" w:eastAsia="Book Antiqua" w:hAnsi="Book Antiqua" w:cs="Book Antiqua"/>
      <w:sz w:val="19"/>
      <w:szCs w:val="19"/>
    </w:rPr>
  </w:style>
  <w:style w:type="paragraph" w:customStyle="1" w:styleId="Titulektabulky0">
    <w:name w:val="Titulek tabulky"/>
    <w:basedOn w:val="Normln"/>
    <w:link w:val="Titulektabulky"/>
    <w:pPr>
      <w:widowControl w:val="0"/>
      <w:shd w:val="clear" w:color="auto" w:fill="FFFFFF"/>
      <w:spacing w:line="228" w:lineRule="exact"/>
    </w:pPr>
    <w:rPr>
      <w:rFonts w:ascii="Book Antiqua" w:eastAsia="Book Antiqua" w:hAnsi="Book Antiqua" w:cs="Book Antiqua"/>
      <w:i/>
      <w:iCs/>
      <w:sz w:val="19"/>
      <w:szCs w:val="19"/>
    </w:rPr>
  </w:style>
  <w:style w:type="table" w:styleId="Mkatabulky">
    <w:name w:val="Table Grid"/>
    <w:basedOn w:val="Normlntabul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Pr>
      <w:color w:val="0000FF" w:themeColor="hyperlink"/>
      <w:u w:val="single"/>
    </w:rPr>
  </w:style>
  <w:style w:type="character" w:customStyle="1" w:styleId="detail">
    <w:name w:val="detail"/>
    <w:basedOn w:val="Standardnpsmoodstavce"/>
  </w:style>
  <w:style w:type="paragraph" w:styleId="Odstavecseseznamem">
    <w:name w:val="List Paragraph"/>
    <w:basedOn w:val="Normln"/>
    <w:uiPriority w:val="99"/>
    <w:qFormat/>
    <w:pPr>
      <w:spacing w:before="120"/>
      <w:ind w:firstLine="567"/>
      <w:jc w:val="both"/>
    </w:pPr>
    <w:rPr>
      <w:rFonts w:ascii="Times New Roman" w:hAnsi="Times New Roman"/>
      <w:sz w:val="24"/>
      <w:lang w:eastAsia="cs-CZ"/>
    </w:rPr>
  </w:style>
  <w:style w:type="paragraph" w:styleId="Nzev">
    <w:name w:val="Title"/>
    <w:basedOn w:val="Normln"/>
    <w:next w:val="Normln"/>
    <w:link w:val="NzevChar"/>
    <w:uiPriority w:val="10"/>
    <w:qFormat/>
    <w:pPr>
      <w:spacing w:before="240" w:after="60"/>
      <w:jc w:val="center"/>
      <w:outlineLvl w:val="0"/>
    </w:pPr>
    <w:rPr>
      <w:rFonts w:ascii="Cambria" w:hAnsi="Cambria"/>
      <w:b/>
      <w:bCs/>
      <w:kern w:val="28"/>
      <w:sz w:val="32"/>
      <w:szCs w:val="32"/>
      <w:lang w:bidi="ar-SA"/>
    </w:rPr>
  </w:style>
  <w:style w:type="character" w:customStyle="1" w:styleId="NzevChar">
    <w:name w:val="Název Char"/>
    <w:basedOn w:val="Standardnpsmoodstavce"/>
    <w:link w:val="Nzev"/>
    <w:uiPriority w:val="10"/>
    <w:rPr>
      <w:rFonts w:ascii="Cambria" w:eastAsia="Times New Roman" w:hAnsi="Cambria" w:cs="Times New Roman"/>
      <w:b/>
      <w:bCs/>
      <w:kern w:val="28"/>
      <w:sz w:val="32"/>
      <w:szCs w:val="32"/>
    </w:rPr>
  </w:style>
  <w:style w:type="paragraph" w:customStyle="1" w:styleId="Nadpis1IMP">
    <w:name w:val="Nadpis 1_IMP"/>
    <w:basedOn w:val="Normln"/>
    <w:pPr>
      <w:suppressAutoHyphens/>
      <w:spacing w:line="276" w:lineRule="auto"/>
      <w:jc w:val="center"/>
    </w:pPr>
    <w:rPr>
      <w:rFonts w:ascii="Times New Roman" w:hAnsi="Times New Roman"/>
      <w:sz w:val="56"/>
      <w:szCs w:val="20"/>
      <w:lang w:eastAsia="cs-CZ" w:bidi="ar-SA"/>
    </w:rPr>
  </w:style>
  <w:style w:type="character" w:styleId="Odkaznakoment">
    <w:name w:val="annotation reference"/>
    <w:uiPriority w:val="99"/>
    <w:semiHidden/>
    <w:unhideWhenUsed/>
    <w:rPr>
      <w:sz w:val="16"/>
      <w:szCs w:val="16"/>
    </w:rPr>
  </w:style>
  <w:style w:type="paragraph" w:styleId="Textkomente">
    <w:name w:val="annotation text"/>
    <w:basedOn w:val="Normln"/>
    <w:link w:val="TextkomenteChar"/>
    <w:uiPriority w:val="99"/>
    <w:unhideWhenUsed/>
    <w:rPr>
      <w:rFonts w:ascii="Calibri" w:hAnsi="Calibri"/>
      <w:sz w:val="20"/>
      <w:szCs w:val="20"/>
    </w:rPr>
  </w:style>
  <w:style w:type="character" w:customStyle="1" w:styleId="TextkomenteChar">
    <w:name w:val="Text komentáře Char"/>
    <w:basedOn w:val="Standardnpsmoodstavce"/>
    <w:link w:val="Textkomente"/>
    <w:uiPriority w:val="99"/>
    <w:rPr>
      <w:rFonts w:ascii="Calibri" w:eastAsia="Times New Roman" w:hAnsi="Calibri" w:cs="Times New Roman"/>
      <w:sz w:val="20"/>
      <w:szCs w:val="20"/>
      <w:lang w:bidi="en-US"/>
    </w:rPr>
  </w:style>
  <w:style w:type="character" w:customStyle="1" w:styleId="apple-style-span">
    <w:name w:val="apple-style-span"/>
    <w:basedOn w:val="Standardnpsmoodstavce"/>
  </w:style>
  <w:style w:type="character" w:customStyle="1" w:styleId="preformatted">
    <w:name w:val="preformatted"/>
    <w:basedOn w:val="Standardnpsmoodstavce"/>
  </w:style>
  <w:style w:type="paragraph" w:styleId="Zkladntext">
    <w:name w:val="Body Text"/>
    <w:basedOn w:val="Normln"/>
    <w:link w:val="ZkladntextChar"/>
    <w:pPr>
      <w:jc w:val="both"/>
    </w:pPr>
    <w:rPr>
      <w:rFonts w:ascii="Times New Roman" w:hAnsi="Times New Roman"/>
      <w:sz w:val="24"/>
      <w:lang w:bidi="ar-SA"/>
    </w:rPr>
  </w:style>
  <w:style w:type="character" w:customStyle="1" w:styleId="ZkladntextChar">
    <w:name w:val="Základní text Char"/>
    <w:basedOn w:val="Standardnpsmoodstavce"/>
    <w:link w:val="Zkladntext"/>
    <w:rPr>
      <w:rFonts w:ascii="Times New Roman" w:eastAsia="Times New Roman" w:hAnsi="Times New Roman" w:cs="Times New Roman"/>
      <w:sz w:val="24"/>
      <w:szCs w:val="24"/>
    </w:rPr>
  </w:style>
  <w:style w:type="paragraph" w:styleId="Textpoznpodarou">
    <w:name w:val="footnote text"/>
    <w:basedOn w:val="Normln"/>
    <w:link w:val="TextpoznpodarouChar"/>
    <w:pPr>
      <w:spacing w:after="200" w:line="276" w:lineRule="auto"/>
    </w:pPr>
    <w:rPr>
      <w:rFonts w:ascii="Cambria" w:eastAsia="Calibri" w:hAnsi="Cambria"/>
      <w:sz w:val="20"/>
      <w:szCs w:val="20"/>
      <w:lang w:val="en-US" w:bidi="ar-SA"/>
    </w:rPr>
  </w:style>
  <w:style w:type="character" w:customStyle="1" w:styleId="TextpoznpodarouChar">
    <w:name w:val="Text pozn. pod čarou Char"/>
    <w:basedOn w:val="Standardnpsmoodstavce"/>
    <w:link w:val="Textpoznpodarou"/>
    <w:rPr>
      <w:rFonts w:ascii="Cambria" w:eastAsia="Calibri" w:hAnsi="Cambria" w:cs="Times New Roman"/>
      <w:sz w:val="20"/>
      <w:szCs w:val="20"/>
      <w:lang w:val="en-US"/>
    </w:rPr>
  </w:style>
  <w:style w:type="character" w:styleId="Znakapoznpodarou">
    <w:name w:val="footnote reference"/>
    <w:rPr>
      <w:vertAlign w:val="superscript"/>
    </w:rPr>
  </w:style>
  <w:style w:type="paragraph" w:styleId="Pedmtkomente">
    <w:name w:val="annotation subject"/>
    <w:basedOn w:val="Textkomente"/>
    <w:next w:val="Textkomente"/>
    <w:link w:val="PedmtkomenteChar"/>
    <w:uiPriority w:val="99"/>
    <w:semiHidden/>
    <w:unhideWhenUsed/>
    <w:rPr>
      <w:rFonts w:ascii="Arial" w:hAnsi="Arial"/>
      <w:b/>
      <w:bCs/>
    </w:rPr>
  </w:style>
  <w:style w:type="character" w:customStyle="1" w:styleId="PedmtkomenteChar">
    <w:name w:val="Předmět komentáře Char"/>
    <w:basedOn w:val="TextkomenteChar"/>
    <w:link w:val="Pedmtkomente"/>
    <w:uiPriority w:val="99"/>
    <w:semiHidden/>
    <w:rPr>
      <w:rFonts w:ascii="Arial" w:eastAsia="Times New Roman" w:hAnsi="Arial" w:cs="Times New Roman"/>
      <w:b/>
      <w:bCs/>
      <w:sz w:val="20"/>
      <w:szCs w:val="20"/>
      <w:lang w:bidi="en-US"/>
    </w:rPr>
  </w:style>
  <w:style w:type="paragraph" w:styleId="Revize">
    <w:name w:val="Revision"/>
    <w:hidden/>
    <w:uiPriority w:val="99"/>
    <w:semiHidden/>
    <w:pPr>
      <w:spacing w:after="0" w:line="240" w:lineRule="auto"/>
    </w:pPr>
    <w:rPr>
      <w:rFonts w:ascii="Arial" w:eastAsia="Times New Roman" w:hAnsi="Arial" w:cs="Times New Roman"/>
      <w:szCs w:val="24"/>
      <w:lang w:bidi="en-US"/>
    </w:rPr>
  </w:style>
  <w:style w:type="paragraph" w:customStyle="1" w:styleId="Styl1">
    <w:name w:val="Styl1"/>
    <w:basedOn w:val="Normln"/>
    <w:pPr>
      <w:overflowPunct w:val="0"/>
      <w:autoSpaceDE w:val="0"/>
      <w:autoSpaceDN w:val="0"/>
      <w:adjustRightInd w:val="0"/>
      <w:jc w:val="both"/>
    </w:pPr>
    <w:rPr>
      <w:rFonts w:ascii="Times New Roman" w:hAnsi="Times New Roman"/>
      <w:sz w:val="24"/>
      <w:szCs w:val="20"/>
      <w:lang w:eastAsia="cs-CZ" w:bidi="ar-SA"/>
    </w:rPr>
  </w:style>
  <w:style w:type="character" w:styleId="Sledovanodkaz">
    <w:name w:val="FollowedHyperlink"/>
    <w:basedOn w:val="Standardnpsmoodstavce"/>
    <w:uiPriority w:val="99"/>
    <w:semiHidden/>
    <w:unhideWhenUsed/>
    <w:rPr>
      <w:color w:val="800080" w:themeColor="followedHyperlink"/>
      <w:u w:val="single"/>
    </w:rPr>
  </w:style>
  <w:style w:type="paragraph" w:styleId="Textvysvtlivek">
    <w:name w:val="endnote text"/>
    <w:basedOn w:val="Normln"/>
    <w:link w:val="TextvysvtlivekChar"/>
    <w:uiPriority w:val="99"/>
    <w:semiHidden/>
    <w:unhideWhenUsed/>
    <w:rPr>
      <w:sz w:val="20"/>
      <w:szCs w:val="20"/>
    </w:rPr>
  </w:style>
  <w:style w:type="character" w:customStyle="1" w:styleId="TextvysvtlivekChar">
    <w:name w:val="Text vysvětlivek Char"/>
    <w:basedOn w:val="Standardnpsmoodstavce"/>
    <w:link w:val="Textvysvtlivek"/>
    <w:uiPriority w:val="99"/>
    <w:semiHidden/>
    <w:rPr>
      <w:rFonts w:ascii="Arial" w:eastAsia="Times New Roman" w:hAnsi="Arial" w:cs="Times New Roman"/>
      <w:sz w:val="20"/>
      <w:szCs w:val="20"/>
      <w:lang w:bidi="en-US"/>
    </w:rPr>
  </w:style>
  <w:style w:type="character" w:styleId="Odkaznavysvtlivky">
    <w:name w:val="endnote reference"/>
    <w:basedOn w:val="Standardnpsmoodstavce"/>
    <w:uiPriority w:val="99"/>
    <w:semiHidden/>
    <w:unhideWhenUsed/>
    <w:rPr>
      <w:vertAlign w:val="superscript"/>
    </w:rPr>
  </w:style>
  <w:style w:type="paragraph" w:customStyle="1" w:styleId="MDSR">
    <w:name w:val="MDS ČR"/>
    <w:basedOn w:val="Normln"/>
    <w:pPr>
      <w:suppressAutoHyphens/>
      <w:overflowPunct w:val="0"/>
      <w:autoSpaceDE w:val="0"/>
      <w:autoSpaceDN w:val="0"/>
      <w:adjustRightInd w:val="0"/>
      <w:spacing w:before="120"/>
      <w:ind w:firstLine="567"/>
      <w:jc w:val="both"/>
    </w:pPr>
    <w:rPr>
      <w:rFonts w:ascii="Times New Roman" w:hAnsi="Times New Roman"/>
      <w:sz w:val="24"/>
      <w:szCs w:val="20"/>
      <w:lang w:eastAsia="cs-CZ" w:bidi="ar-SA"/>
    </w:rPr>
  </w:style>
  <w:style w:type="paragraph" w:customStyle="1" w:styleId="ZZZEsster10">
    <w:name w:val="ZZZEsster10"/>
    <w:basedOn w:val="Normln"/>
    <w:pPr>
      <w:suppressAutoHyphens/>
      <w:jc w:val="both"/>
    </w:pPr>
    <w:rPr>
      <w:rFonts w:ascii="Times New Roman" w:hAnsi="Times New Roman"/>
      <w:sz w:val="20"/>
      <w:szCs w:val="20"/>
      <w:lang w:eastAsia="cs-CZ" w:bidi="ar-SA"/>
    </w:rPr>
  </w:style>
  <w:style w:type="paragraph" w:customStyle="1" w:styleId="ZZZEsster10B">
    <w:name w:val="ZZZEsster10B"/>
    <w:basedOn w:val="Normln"/>
    <w:pPr>
      <w:tabs>
        <w:tab w:val="left" w:pos="4962"/>
      </w:tabs>
      <w:overflowPunct w:val="0"/>
      <w:autoSpaceDE w:val="0"/>
      <w:autoSpaceDN w:val="0"/>
      <w:adjustRightInd w:val="0"/>
    </w:pPr>
    <w:rPr>
      <w:rFonts w:ascii="Times New Roman" w:hAnsi="Times New Roman"/>
      <w:b/>
      <w:sz w:val="20"/>
      <w:szCs w:val="20"/>
      <w:lang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243234">
      <w:bodyDiv w:val="1"/>
      <w:marLeft w:val="0"/>
      <w:marRight w:val="0"/>
      <w:marTop w:val="0"/>
      <w:marBottom w:val="0"/>
      <w:divBdr>
        <w:top w:val="none" w:sz="0" w:space="0" w:color="auto"/>
        <w:left w:val="none" w:sz="0" w:space="0" w:color="auto"/>
        <w:bottom w:val="none" w:sz="0" w:space="0" w:color="auto"/>
        <w:right w:val="none" w:sz="0" w:space="0" w:color="auto"/>
      </w:divBdr>
    </w:div>
    <w:div w:id="648100657">
      <w:bodyDiv w:val="1"/>
      <w:marLeft w:val="0"/>
      <w:marRight w:val="0"/>
      <w:marTop w:val="0"/>
      <w:marBottom w:val="0"/>
      <w:divBdr>
        <w:top w:val="none" w:sz="0" w:space="0" w:color="auto"/>
        <w:left w:val="none" w:sz="0" w:space="0" w:color="auto"/>
        <w:bottom w:val="none" w:sz="0" w:space="0" w:color="auto"/>
        <w:right w:val="none" w:sz="0" w:space="0" w:color="auto"/>
      </w:divBdr>
    </w:div>
    <w:div w:id="815493945">
      <w:bodyDiv w:val="1"/>
      <w:marLeft w:val="0"/>
      <w:marRight w:val="0"/>
      <w:marTop w:val="0"/>
      <w:marBottom w:val="0"/>
      <w:divBdr>
        <w:top w:val="none" w:sz="0" w:space="0" w:color="auto"/>
        <w:left w:val="none" w:sz="0" w:space="0" w:color="auto"/>
        <w:bottom w:val="none" w:sz="0" w:space="0" w:color="auto"/>
        <w:right w:val="none" w:sz="0" w:space="0" w:color="auto"/>
      </w:divBdr>
    </w:div>
    <w:div w:id="905070460">
      <w:bodyDiv w:val="1"/>
      <w:marLeft w:val="0"/>
      <w:marRight w:val="0"/>
      <w:marTop w:val="0"/>
      <w:marBottom w:val="0"/>
      <w:divBdr>
        <w:top w:val="none" w:sz="0" w:space="0" w:color="auto"/>
        <w:left w:val="none" w:sz="0" w:space="0" w:color="auto"/>
        <w:bottom w:val="none" w:sz="0" w:space="0" w:color="auto"/>
        <w:right w:val="none" w:sz="0" w:space="0" w:color="auto"/>
      </w:divBdr>
    </w:div>
    <w:div w:id="1037119368">
      <w:bodyDiv w:val="1"/>
      <w:marLeft w:val="0"/>
      <w:marRight w:val="0"/>
      <w:marTop w:val="0"/>
      <w:marBottom w:val="0"/>
      <w:divBdr>
        <w:top w:val="none" w:sz="0" w:space="0" w:color="auto"/>
        <w:left w:val="none" w:sz="0" w:space="0" w:color="auto"/>
        <w:bottom w:val="none" w:sz="0" w:space="0" w:color="auto"/>
        <w:right w:val="none" w:sz="0" w:space="0" w:color="auto"/>
      </w:divBdr>
    </w:div>
    <w:div w:id="1207985890">
      <w:bodyDiv w:val="1"/>
      <w:marLeft w:val="0"/>
      <w:marRight w:val="0"/>
      <w:marTop w:val="0"/>
      <w:marBottom w:val="450"/>
      <w:divBdr>
        <w:top w:val="none" w:sz="0" w:space="0" w:color="auto"/>
        <w:left w:val="none" w:sz="0" w:space="0" w:color="auto"/>
        <w:bottom w:val="none" w:sz="0" w:space="0" w:color="auto"/>
        <w:right w:val="none" w:sz="0" w:space="0" w:color="auto"/>
      </w:divBdr>
      <w:divsChild>
        <w:div w:id="429356999">
          <w:marLeft w:val="0"/>
          <w:marRight w:val="0"/>
          <w:marTop w:val="0"/>
          <w:marBottom w:val="0"/>
          <w:divBdr>
            <w:top w:val="none" w:sz="0" w:space="0" w:color="auto"/>
            <w:left w:val="none" w:sz="0" w:space="0" w:color="auto"/>
            <w:bottom w:val="none" w:sz="0" w:space="0" w:color="auto"/>
            <w:right w:val="none" w:sz="0" w:space="0" w:color="auto"/>
          </w:divBdr>
          <w:divsChild>
            <w:div w:id="1849444087">
              <w:marLeft w:val="0"/>
              <w:marRight w:val="0"/>
              <w:marTop w:val="0"/>
              <w:marBottom w:val="0"/>
              <w:divBdr>
                <w:top w:val="none" w:sz="0" w:space="0" w:color="auto"/>
                <w:left w:val="none" w:sz="0" w:space="0" w:color="auto"/>
                <w:bottom w:val="none" w:sz="0" w:space="0" w:color="auto"/>
                <w:right w:val="none" w:sz="0" w:space="0" w:color="auto"/>
              </w:divBdr>
              <w:divsChild>
                <w:div w:id="2009597305">
                  <w:marLeft w:val="-225"/>
                  <w:marRight w:val="-225"/>
                  <w:marTop w:val="0"/>
                  <w:marBottom w:val="0"/>
                  <w:divBdr>
                    <w:top w:val="none" w:sz="0" w:space="0" w:color="auto"/>
                    <w:left w:val="none" w:sz="0" w:space="0" w:color="auto"/>
                    <w:bottom w:val="none" w:sz="0" w:space="0" w:color="auto"/>
                    <w:right w:val="none" w:sz="0" w:space="0" w:color="auto"/>
                  </w:divBdr>
                  <w:divsChild>
                    <w:div w:id="37181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534827">
      <w:bodyDiv w:val="1"/>
      <w:marLeft w:val="0"/>
      <w:marRight w:val="0"/>
      <w:marTop w:val="0"/>
      <w:marBottom w:val="0"/>
      <w:divBdr>
        <w:top w:val="none" w:sz="0" w:space="0" w:color="auto"/>
        <w:left w:val="none" w:sz="0" w:space="0" w:color="auto"/>
        <w:bottom w:val="none" w:sz="0" w:space="0" w:color="auto"/>
        <w:right w:val="none" w:sz="0" w:space="0" w:color="auto"/>
      </w:divBdr>
    </w:div>
    <w:div w:id="1534879232">
      <w:bodyDiv w:val="1"/>
      <w:marLeft w:val="0"/>
      <w:marRight w:val="0"/>
      <w:marTop w:val="0"/>
      <w:marBottom w:val="0"/>
      <w:divBdr>
        <w:top w:val="none" w:sz="0" w:space="0" w:color="auto"/>
        <w:left w:val="none" w:sz="0" w:space="0" w:color="auto"/>
        <w:bottom w:val="none" w:sz="0" w:space="0" w:color="auto"/>
        <w:right w:val="none" w:sz="0" w:space="0" w:color="auto"/>
      </w:divBdr>
    </w:div>
    <w:div w:id="1555582971">
      <w:bodyDiv w:val="1"/>
      <w:marLeft w:val="0"/>
      <w:marRight w:val="0"/>
      <w:marTop w:val="0"/>
      <w:marBottom w:val="0"/>
      <w:divBdr>
        <w:top w:val="none" w:sz="0" w:space="0" w:color="auto"/>
        <w:left w:val="none" w:sz="0" w:space="0" w:color="auto"/>
        <w:bottom w:val="none" w:sz="0" w:space="0" w:color="auto"/>
        <w:right w:val="none" w:sz="0" w:space="0" w:color="auto"/>
      </w:divBdr>
    </w:div>
    <w:div w:id="2100061363">
      <w:bodyDiv w:val="1"/>
      <w:marLeft w:val="0"/>
      <w:marRight w:val="0"/>
      <w:marTop w:val="0"/>
      <w:marBottom w:val="0"/>
      <w:divBdr>
        <w:top w:val="none" w:sz="0" w:space="0" w:color="auto"/>
        <w:left w:val="none" w:sz="0" w:space="0" w:color="auto"/>
        <w:bottom w:val="none" w:sz="0" w:space="0" w:color="auto"/>
        <w:right w:val="none" w:sz="0" w:space="0" w:color="auto"/>
      </w:divBdr>
    </w:div>
    <w:div w:id="211848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fdi.cz/gdp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sczvz@sfdi.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estnikverejnychzakazek.cz/SearchForm/SearchContract?contractNumber=Z2019-017869" TargetMode="External"/><Relationship Id="rId5" Type="http://schemas.openxmlformats.org/officeDocument/2006/relationships/settings" Target="settings.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hyperlink" Target="mailto:rsczvz@sfdi.cz"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petra.grabmullerova@sfdi.cz" TargetMode="External"/><Relationship Id="rId14" Type="http://schemas.openxmlformats.org/officeDocument/2006/relationships/header" Target="header1.xml"/><Relationship Id="rId22"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4D186-3E11-4F3D-B497-B14F2AC06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5447</Words>
  <Characters>32144</Characters>
  <Application>Microsoft Office Word</Application>
  <DocSecurity>0</DocSecurity>
  <Lines>267</Lines>
  <Paragraphs>75</Paragraphs>
  <ScaleCrop>false</ScaleCrop>
  <Company/>
  <LinksUpToDate>false</LinksUpToDate>
  <CharactersWithSpaces>37516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2019-08-20T09:44:00Z</dcterms:created>
  <dcterms:modified xsi:type="dcterms:W3CDTF">2019-08-20T09:46:00Z</dcterms:modified>
</cp:coreProperties>
</file>