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AA" w:rsidRPr="00217236" w:rsidRDefault="00217236" w:rsidP="000F6CA5">
      <w:pPr>
        <w:suppressAutoHyphens w:val="0"/>
        <w:spacing w:after="22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:rsidR="00F979AA" w:rsidRPr="00217236" w:rsidRDefault="00217236" w:rsidP="000F6CA5">
      <w:pPr>
        <w:suppressAutoHyphens w:val="0"/>
        <w:spacing w:after="6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:rsidR="00F979AA" w:rsidRPr="00217236" w:rsidRDefault="00217236" w:rsidP="000F6CA5">
      <w:pPr>
        <w:spacing w:before="48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Sídlo:</w:t>
      </w:r>
      <w:r w:rsidRPr="00217236">
        <w:rPr>
          <w:rFonts w:cs="Arial"/>
        </w:rPr>
        <w:tab/>
      </w:r>
      <w:r w:rsidR="00F62F4E">
        <w:t>Jugoslávských partyzánů 1580/3, 160 00 Praha 6 - Dejvice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DIČ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CZ68407700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Zastoupená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 xml:space="preserve">prof. </w:t>
      </w:r>
      <w:r w:rsidR="003B567D">
        <w:rPr>
          <w:rFonts w:cs="Arial"/>
        </w:rPr>
        <w:t xml:space="preserve">Mgr. Petr </w:t>
      </w:r>
      <w:proofErr w:type="spellStart"/>
      <w:r w:rsidR="003B567D">
        <w:rPr>
          <w:rFonts w:cs="Arial"/>
        </w:rPr>
        <w:t>Páta</w:t>
      </w:r>
      <w:proofErr w:type="spellEnd"/>
      <w:r w:rsidR="003B567D">
        <w:rPr>
          <w:rFonts w:cs="Arial"/>
        </w:rPr>
        <w:t>, Ph.D.</w:t>
      </w:r>
      <w:r w:rsidRPr="00217236">
        <w:rPr>
          <w:rFonts w:cs="Arial"/>
        </w:rPr>
        <w:t xml:space="preserve">, </w:t>
      </w:r>
      <w:r w:rsidR="006461D0">
        <w:rPr>
          <w:rFonts w:cs="Arial"/>
        </w:rPr>
        <w:t>děkan</w:t>
      </w:r>
    </w:p>
    <w:p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Bankovní spojení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Komerční banka, Praha 6</w:t>
      </w:r>
    </w:p>
    <w:p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Číslo účtu</w:t>
      </w:r>
      <w:r w:rsidRPr="00217236">
        <w:rPr>
          <w:rFonts w:cs="Arial"/>
        </w:rPr>
        <w:t>.:</w:t>
      </w:r>
      <w:r w:rsidRPr="00217236">
        <w:rPr>
          <w:rFonts w:cs="Arial"/>
        </w:rPr>
        <w:tab/>
        <w:t xml:space="preserve">19-5504540257/0100 </w:t>
      </w:r>
    </w:p>
    <w:p w:rsidR="00F979AA" w:rsidRPr="00217236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 w:rsidR="006461D0"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:rsidR="00AC6BD4" w:rsidRPr="00217236" w:rsidRDefault="00BF351A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bookmarkStart w:id="0" w:name="_Hlk4067689"/>
      <w:r>
        <w:rPr>
          <w:rFonts w:cs="Arial"/>
          <w:b/>
        </w:rPr>
        <w:t>OPTOVIT s.r.o.</w:t>
      </w:r>
    </w:p>
    <w:bookmarkEnd w:id="0"/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Sídlo:</w:t>
      </w:r>
      <w:r w:rsidRPr="00217236">
        <w:rPr>
          <w:rFonts w:cs="Arial"/>
        </w:rPr>
        <w:tab/>
      </w:r>
      <w:bookmarkStart w:id="1" w:name="_Hlk4067695"/>
      <w:r w:rsidR="00BF351A" w:rsidRPr="00BF351A">
        <w:rPr>
          <w:rFonts w:cs="Arial"/>
        </w:rPr>
        <w:t>Jasanová 418/2, 58601 Jihlava</w:t>
      </w:r>
      <w:bookmarkEnd w:id="1"/>
    </w:p>
    <w:p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IČ:</w:t>
      </w:r>
      <w:r w:rsidRPr="00217236">
        <w:rPr>
          <w:rFonts w:cs="Arial"/>
        </w:rPr>
        <w:tab/>
      </w:r>
      <w:bookmarkStart w:id="2" w:name="_Hlk4067700"/>
      <w:r w:rsidR="00BF351A">
        <w:rPr>
          <w:rFonts w:cs="Arial"/>
        </w:rPr>
        <w:t>25589610</w:t>
      </w:r>
      <w:bookmarkEnd w:id="2"/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bookmarkStart w:id="3" w:name="_Hlk4067706"/>
      <w:r w:rsidR="00BF351A">
        <w:rPr>
          <w:rFonts w:cs="Arial"/>
        </w:rPr>
        <w:t>CZ25589610</w:t>
      </w:r>
      <w:bookmarkEnd w:id="3"/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031A81" w:rsidRPr="00217236" w:rsidRDefault="00AC6BD4" w:rsidP="00BF351A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bookmarkStart w:id="4" w:name="_Hlk4067729"/>
      <w:r w:rsidR="00BF351A">
        <w:rPr>
          <w:rFonts w:cs="Arial"/>
        </w:rPr>
        <w:t>v Obchodním rejstříku vedeného u Krajského soudu v Brně, vložka C36223</w:t>
      </w:r>
    </w:p>
    <w:bookmarkEnd w:id="4"/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AC6BD4" w:rsidRPr="003B567D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  <w:sz w:val="24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:rsidR="006461D0" w:rsidRPr="00217236" w:rsidRDefault="006461D0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:rsidR="00F979AA" w:rsidRDefault="006461D0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:rsidR="006461D0" w:rsidRDefault="0049180B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>ání veřejných zakázek</w:t>
      </w:r>
      <w:r w:rsidR="00161E46">
        <w:rPr>
          <w:rFonts w:ascii="Arial" w:hAnsi="Arial" w:cs="Arial"/>
          <w:lang w:val="cs-CZ"/>
        </w:rPr>
        <w:t>, ve znění pozdějších předpisů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:rsidR="00F979AA" w:rsidRDefault="00E452BC" w:rsidP="00E452B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:rsidR="00E452BC" w:rsidRDefault="00E452BC" w:rsidP="00E452B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Nabídka </w:t>
      </w:r>
      <w:proofErr w:type="spellStart"/>
      <w:r>
        <w:rPr>
          <w:rFonts w:ascii="Arial" w:hAnsi="Arial" w:cs="Arial"/>
          <w:lang w:val="cs-CZ"/>
        </w:rPr>
        <w:t>Prodávajího</w:t>
      </w:r>
      <w:proofErr w:type="spellEnd"/>
      <w:r>
        <w:rPr>
          <w:rFonts w:ascii="Arial" w:hAnsi="Arial" w:cs="Arial"/>
          <w:lang w:val="cs-CZ"/>
        </w:rPr>
        <w:t xml:space="preserve"> podaná v rámci veřejné zakázky s názvem </w:t>
      </w:r>
      <w:r w:rsidRPr="005408D7">
        <w:rPr>
          <w:rFonts w:ascii="Arial" w:hAnsi="Arial" w:cs="Arial"/>
          <w:b/>
          <w:lang w:val="cs-CZ"/>
        </w:rPr>
        <w:t>„</w:t>
      </w:r>
      <w:r w:rsidR="005408D7" w:rsidRPr="005408D7">
        <w:rPr>
          <w:rFonts w:ascii="Arial" w:hAnsi="Arial" w:cs="Arial"/>
          <w:b/>
          <w:lang w:val="cs-CZ"/>
        </w:rPr>
        <w:t>SPEKTROMETRY</w:t>
      </w:r>
      <w:r w:rsidRPr="005408D7">
        <w:rPr>
          <w:rFonts w:ascii="Arial" w:hAnsi="Arial" w:cs="Arial"/>
          <w:b/>
          <w:lang w:val="cs-CZ"/>
        </w:rPr>
        <w:t>“</w:t>
      </w:r>
      <w:r>
        <w:rPr>
          <w:rFonts w:ascii="Arial" w:hAnsi="Arial" w:cs="Arial"/>
          <w:lang w:val="cs-CZ"/>
        </w:rPr>
        <w:t>,</w:t>
      </w:r>
      <w:r w:rsidR="00AB02C8">
        <w:rPr>
          <w:rFonts w:ascii="Arial" w:hAnsi="Arial" w:cs="Arial"/>
          <w:lang w:val="cs-CZ"/>
        </w:rPr>
        <w:t xml:space="preserve"> části 3 –</w:t>
      </w:r>
      <w:r w:rsidR="00AB02C8" w:rsidRPr="00AB02C8">
        <w:rPr>
          <w:rFonts w:ascii="Arial" w:hAnsi="Arial" w:cs="Arial"/>
          <w:lang w:val="cs-CZ"/>
        </w:rPr>
        <w:t xml:space="preserve"> „</w:t>
      </w:r>
      <w:proofErr w:type="spellStart"/>
      <w:r w:rsidR="00AB02C8" w:rsidRPr="00AB02C8">
        <w:rPr>
          <w:rFonts w:ascii="Arial" w:hAnsi="Arial" w:cs="Arial"/>
          <w:b/>
        </w:rPr>
        <w:t>Optický</w:t>
      </w:r>
      <w:proofErr w:type="spellEnd"/>
      <w:r w:rsidR="00AB02C8" w:rsidRPr="00AB02C8">
        <w:rPr>
          <w:rFonts w:ascii="Arial" w:hAnsi="Arial" w:cs="Arial"/>
          <w:b/>
        </w:rPr>
        <w:t xml:space="preserve"> </w:t>
      </w:r>
      <w:proofErr w:type="spellStart"/>
      <w:r w:rsidR="00AB02C8" w:rsidRPr="00AB02C8">
        <w:rPr>
          <w:rFonts w:ascii="Arial" w:hAnsi="Arial" w:cs="Arial"/>
          <w:b/>
        </w:rPr>
        <w:t>spektrální</w:t>
      </w:r>
      <w:proofErr w:type="spellEnd"/>
      <w:r w:rsidR="00AB02C8" w:rsidRPr="00AB02C8">
        <w:rPr>
          <w:rFonts w:ascii="Arial" w:hAnsi="Arial" w:cs="Arial"/>
          <w:b/>
        </w:rPr>
        <w:t xml:space="preserve"> </w:t>
      </w:r>
      <w:proofErr w:type="spellStart"/>
      <w:r w:rsidR="00AB02C8" w:rsidRPr="00AB02C8">
        <w:rPr>
          <w:rFonts w:ascii="Arial" w:hAnsi="Arial" w:cs="Arial"/>
          <w:b/>
        </w:rPr>
        <w:t>analyzátor</w:t>
      </w:r>
      <w:proofErr w:type="spellEnd"/>
      <w:r w:rsidR="00AB02C8" w:rsidRPr="00AB02C8">
        <w:rPr>
          <w:rFonts w:ascii="Arial" w:hAnsi="Arial" w:cs="Arial"/>
          <w:b/>
        </w:rPr>
        <w:t>”</w:t>
      </w:r>
      <w:r w:rsidR="00AB02C8" w:rsidRPr="00AB02C8">
        <w:rPr>
          <w:rFonts w:ascii="Arial" w:hAnsi="Arial" w:cs="Arial"/>
        </w:rPr>
        <w:t>,</w:t>
      </w:r>
      <w:r w:rsidRPr="00AB02C8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jejímž cílem bylo vybrat</w:t>
      </w:r>
      <w:r w:rsidR="00B80591">
        <w:rPr>
          <w:rFonts w:ascii="Arial" w:hAnsi="Arial" w:cs="Arial"/>
          <w:lang w:val="cs-CZ"/>
        </w:rPr>
        <w:t xml:space="preserve"> dodavatele</w:t>
      </w:r>
      <w:r>
        <w:rPr>
          <w:rFonts w:ascii="Arial" w:hAnsi="Arial" w:cs="Arial"/>
          <w:lang w:val="cs-CZ"/>
        </w:rPr>
        <w:t xml:space="preserve"> předmět</w:t>
      </w:r>
      <w:r w:rsidR="00B80591">
        <w:rPr>
          <w:rFonts w:ascii="Arial" w:hAnsi="Arial" w:cs="Arial"/>
          <w:lang w:val="cs-CZ"/>
        </w:rPr>
        <w:t>u</w:t>
      </w:r>
      <w:r>
        <w:rPr>
          <w:rFonts w:ascii="Arial" w:hAnsi="Arial" w:cs="Arial"/>
          <w:lang w:val="cs-CZ"/>
        </w:rPr>
        <w:t xml:space="preserve"> smlouvy (</w:t>
      </w:r>
      <w:r w:rsidRPr="00E452BC">
        <w:rPr>
          <w:rFonts w:ascii="Arial" w:hAnsi="Arial" w:cs="Arial"/>
          <w:b/>
          <w:lang w:val="cs-CZ"/>
        </w:rPr>
        <w:t>„Veřejná zakázka“</w:t>
      </w:r>
      <w:r>
        <w:rPr>
          <w:rFonts w:ascii="Arial" w:hAnsi="Arial" w:cs="Arial"/>
          <w:lang w:val="cs-CZ"/>
        </w:rPr>
        <w:t xml:space="preserve">), byla Kupujícím vyhodnocena jako </w:t>
      </w:r>
      <w:r w:rsidR="00161E46">
        <w:rPr>
          <w:rFonts w:ascii="Arial" w:hAnsi="Arial" w:cs="Arial"/>
          <w:lang w:val="cs-CZ"/>
        </w:rPr>
        <w:t xml:space="preserve">ekonomicky </w:t>
      </w:r>
      <w:r>
        <w:rPr>
          <w:rFonts w:ascii="Arial" w:hAnsi="Arial" w:cs="Arial"/>
          <w:lang w:val="cs-CZ"/>
        </w:rPr>
        <w:t>nejvýhodnější.</w:t>
      </w:r>
    </w:p>
    <w:p w:rsidR="00E452BC" w:rsidRPr="00E452BC" w:rsidRDefault="00E452BC" w:rsidP="00E452BC">
      <w:pPr>
        <w:pStyle w:val="Normln-sted"/>
        <w:numPr>
          <w:ilvl w:val="0"/>
          <w:numId w:val="0"/>
        </w:numPr>
        <w:spacing w:before="240" w:after="110" w:line="240" w:lineRule="auto"/>
        <w:rPr>
          <w:rFonts w:ascii="Arial" w:hAnsi="Arial" w:cs="Arial"/>
          <w:b/>
          <w:lang w:val="cs-CZ"/>
        </w:rPr>
      </w:pPr>
      <w:r w:rsidRPr="00E452BC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>.</w:t>
      </w:r>
    </w:p>
    <w:p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bookmarkStart w:id="5" w:name="_GoBack"/>
      <w:bookmarkEnd w:id="5"/>
      <w:r w:rsidRPr="00217236">
        <w:rPr>
          <w:rFonts w:cs="Arial"/>
          <w:b/>
        </w:rPr>
        <w:br w:type="page"/>
      </w:r>
      <w:r w:rsidRPr="00217236">
        <w:rPr>
          <w:rFonts w:cs="Arial"/>
          <w:b/>
        </w:rPr>
        <w:lastRenderedPageBreak/>
        <w:t>I.</w:t>
      </w:r>
    </w:p>
    <w:p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:rsidR="00E452BC" w:rsidRDefault="00E452BC" w:rsidP="00961A8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Kupujícímu Zboží, </w:t>
      </w:r>
      <w:r>
        <w:rPr>
          <w:rFonts w:ascii="Arial" w:hAnsi="Arial" w:cs="Arial"/>
          <w:b w:val="0"/>
          <w:color w:val="auto"/>
          <w:sz w:val="22"/>
        </w:rPr>
        <w:t>které splňuje požadavky uvedené v</w:t>
      </w:r>
      <w:r w:rsidRPr="00E452BC">
        <w:rPr>
          <w:rFonts w:ascii="Arial" w:hAnsi="Arial" w:cs="Arial"/>
          <w:b w:val="0"/>
          <w:color w:val="auto"/>
          <w:sz w:val="22"/>
        </w:rPr>
        <w:t> </w:t>
      </w:r>
      <w:r w:rsidRPr="00BD4E13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E452BC">
        <w:rPr>
          <w:rFonts w:ascii="Arial" w:hAnsi="Arial" w:cs="Arial"/>
          <w:b w:val="0"/>
          <w:color w:val="auto"/>
          <w:sz w:val="22"/>
        </w:rPr>
        <w:t xml:space="preserve"> této Smlouvy</w:t>
      </w:r>
      <w:r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>
        <w:rPr>
          <w:rFonts w:ascii="Arial" w:hAnsi="Arial" w:cs="Arial"/>
          <w:b w:val="0"/>
          <w:color w:val="auto"/>
          <w:sz w:val="22"/>
        </w:rPr>
        <w:t>)</w:t>
      </w:r>
      <w:r w:rsidRPr="00E452BC">
        <w:rPr>
          <w:rFonts w:ascii="Arial" w:hAnsi="Arial" w:cs="Arial"/>
          <w:b w:val="0"/>
          <w:color w:val="auto"/>
          <w:sz w:val="22"/>
        </w:rPr>
        <w:t>, která tvoří její nedílnou součást</w:t>
      </w:r>
      <w:r>
        <w:rPr>
          <w:rFonts w:ascii="Arial" w:hAnsi="Arial" w:cs="Arial"/>
          <w:b w:val="0"/>
          <w:color w:val="auto"/>
          <w:sz w:val="22"/>
        </w:rPr>
        <w:t xml:space="preserve">, a </w:t>
      </w:r>
      <w:r w:rsidRPr="00E452BC">
        <w:rPr>
          <w:rFonts w:ascii="Arial" w:hAnsi="Arial" w:cs="Arial"/>
          <w:b w:val="0"/>
          <w:color w:val="auto"/>
          <w:sz w:val="22"/>
        </w:rPr>
        <w:t xml:space="preserve">zavazuje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E452BC">
        <w:rPr>
          <w:rFonts w:ascii="Arial" w:hAnsi="Arial" w:cs="Arial"/>
          <w:b w:val="0"/>
          <w:color w:val="auto"/>
          <w:sz w:val="22"/>
        </w:rPr>
        <w:t>převést na Kupujícího vlastnické právo ke Zboží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E452BC">
        <w:rPr>
          <w:rFonts w:ascii="Arial" w:hAnsi="Arial" w:cs="Arial"/>
          <w:b w:val="0"/>
          <w:color w:val="auto"/>
          <w:sz w:val="22"/>
        </w:rPr>
        <w:t xml:space="preserve"> Kupující se zavazuje </w:t>
      </w:r>
      <w:r>
        <w:rPr>
          <w:rFonts w:ascii="Arial" w:hAnsi="Arial" w:cs="Arial"/>
          <w:b w:val="0"/>
          <w:color w:val="auto"/>
          <w:sz w:val="22"/>
        </w:rPr>
        <w:t xml:space="preserve">převzít Zboží a </w:t>
      </w:r>
      <w:r w:rsidRPr="00E452BC">
        <w:rPr>
          <w:rFonts w:ascii="Arial" w:hAnsi="Arial" w:cs="Arial"/>
          <w:b w:val="0"/>
          <w:color w:val="auto"/>
          <w:sz w:val="22"/>
        </w:rPr>
        <w:t>uhradit kupní cenu za Zboží</w:t>
      </w:r>
      <w:r>
        <w:rPr>
          <w:rFonts w:ascii="Arial" w:hAnsi="Arial" w:cs="Arial"/>
          <w:b w:val="0"/>
          <w:color w:val="auto"/>
          <w:sz w:val="22"/>
        </w:rPr>
        <w:t xml:space="preserve"> (specifikovanou níže) dle pravidel a podmínek uvedených v této Smlouvě.</w:t>
      </w:r>
    </w:p>
    <w:p w:rsidR="00BD4E13" w:rsidRPr="00BD4E13" w:rsidRDefault="00BD4E13" w:rsidP="00BD4E13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(</w:t>
      </w:r>
      <w:r w:rsidRPr="00BD4E13"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:rsidR="00BD4E13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vypracovat a předat Kupujícímu provozní, instalační a servisní manuál ke Zboží a další dokumenty, které jsou nezbytné pro správné převzetí a užití Zboží v anglickém jazyce, a to v rozsahu Zboží specifikovaného v </w:t>
      </w:r>
      <w:r w:rsidRPr="005408D7">
        <w:rPr>
          <w:rFonts w:ascii="Arial" w:hAnsi="Arial" w:cs="Arial"/>
          <w:i w:val="0"/>
          <w:color w:val="auto"/>
          <w:u w:val="single"/>
        </w:rPr>
        <w:t>Příloze č. 2</w:t>
      </w:r>
      <w:r w:rsidRPr="005408D7">
        <w:rPr>
          <w:rFonts w:ascii="Arial" w:hAnsi="Arial" w:cs="Arial"/>
          <w:i w:val="0"/>
          <w:color w:val="auto"/>
        </w:rPr>
        <w:t xml:space="preserve"> (</w:t>
      </w:r>
      <w:r w:rsidRPr="005408D7">
        <w:rPr>
          <w:rFonts w:ascii="Arial" w:hAnsi="Arial" w:cs="Arial"/>
          <w:color w:val="auto"/>
        </w:rPr>
        <w:t>Technická specifikace</w:t>
      </w:r>
      <w:r w:rsidRPr="005408D7">
        <w:rPr>
          <w:rFonts w:ascii="Arial" w:hAnsi="Arial" w:cs="Arial"/>
          <w:i w:val="0"/>
          <w:color w:val="auto"/>
        </w:rPr>
        <w:t>);</w:t>
      </w:r>
    </w:p>
    <w:p w:rsidR="00F979AA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předat Kupujícímu ke Zboží prohlášení o shodě s příslušnými normami;</w:t>
      </w:r>
    </w:p>
    <w:p w:rsidR="00F979AA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vypracovat seznam konkrétních položek Zboží pro účely kontroly</w:t>
      </w:r>
      <w:r w:rsidR="0033126A" w:rsidRPr="005408D7">
        <w:rPr>
          <w:rFonts w:ascii="Arial" w:hAnsi="Arial" w:cs="Arial"/>
          <w:i w:val="0"/>
          <w:color w:val="auto"/>
        </w:rPr>
        <w:t>;</w:t>
      </w:r>
    </w:p>
    <w:p w:rsidR="005A7B30" w:rsidRPr="005408D7" w:rsidRDefault="00BD4E13" w:rsidP="005408D7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line="276" w:lineRule="auto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 xml:space="preserve">poskytnout </w:t>
      </w:r>
      <w:r w:rsidR="005408D7" w:rsidRPr="005408D7">
        <w:rPr>
          <w:rFonts w:ascii="Arial" w:hAnsi="Arial" w:cs="Arial"/>
          <w:i w:val="0"/>
          <w:color w:val="auto"/>
        </w:rPr>
        <w:t>min. jedno</w:t>
      </w:r>
      <w:r w:rsidRPr="005408D7">
        <w:rPr>
          <w:rFonts w:ascii="Arial" w:hAnsi="Arial" w:cs="Arial"/>
          <w:i w:val="0"/>
          <w:color w:val="auto"/>
        </w:rPr>
        <w:t xml:space="preserve">denní školení </w:t>
      </w:r>
      <w:r w:rsidR="003B7F61" w:rsidRPr="005408D7">
        <w:rPr>
          <w:rFonts w:ascii="Arial" w:hAnsi="Arial" w:cs="Arial"/>
          <w:i w:val="0"/>
          <w:color w:val="auto"/>
        </w:rPr>
        <w:t xml:space="preserve">v místě instalace pro </w:t>
      </w:r>
      <w:r w:rsidR="005408D7" w:rsidRPr="005408D7">
        <w:rPr>
          <w:rFonts w:ascii="Arial" w:hAnsi="Arial" w:cs="Arial"/>
          <w:i w:val="0"/>
          <w:color w:val="auto"/>
        </w:rPr>
        <w:t xml:space="preserve">min. </w:t>
      </w:r>
      <w:r w:rsidR="003B7F61" w:rsidRPr="005408D7">
        <w:rPr>
          <w:rFonts w:ascii="Arial" w:hAnsi="Arial" w:cs="Arial"/>
          <w:i w:val="0"/>
          <w:color w:val="auto"/>
        </w:rPr>
        <w:t>3 osoby</w:t>
      </w:r>
      <w:r w:rsidR="0033126A" w:rsidRPr="005408D7">
        <w:rPr>
          <w:rFonts w:ascii="Arial" w:hAnsi="Arial" w:cs="Arial"/>
          <w:i w:val="0"/>
          <w:color w:val="auto"/>
        </w:rPr>
        <w:t>;</w:t>
      </w:r>
    </w:p>
    <w:p w:rsidR="005408D7" w:rsidRPr="005408D7" w:rsidRDefault="005408D7" w:rsidP="005408D7">
      <w:pPr>
        <w:rPr>
          <w:highlight w:val="green"/>
        </w:rPr>
      </w:pPr>
    </w:p>
    <w:p w:rsidR="00F979AA" w:rsidRPr="00F02E8B" w:rsidRDefault="00F02E8B" w:rsidP="00F02E8B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:rsidR="00F02E8B" w:rsidRDefault="00F02E8B" w:rsidP="00857F16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F02E8B">
        <w:rPr>
          <w:rFonts w:cs="Arial"/>
        </w:rPr>
        <w:t xml:space="preserve">Prodávající se zavazuje, že dodá Kupujícímu Zboží a splní veškeré povinnosti dle čl. I. této smlouvy </w:t>
      </w:r>
      <w:r w:rsidRPr="005408D7">
        <w:rPr>
          <w:rFonts w:cs="Arial"/>
        </w:rPr>
        <w:t xml:space="preserve">nejpozději do </w:t>
      </w:r>
      <w:r w:rsidR="00717183">
        <w:rPr>
          <w:rFonts w:cs="Arial"/>
          <w:b/>
        </w:rPr>
        <w:t>9</w:t>
      </w:r>
      <w:r w:rsidR="003D0B6B" w:rsidRPr="005408D7">
        <w:rPr>
          <w:rFonts w:cs="Arial"/>
          <w:b/>
        </w:rPr>
        <w:t xml:space="preserve"> týdnů</w:t>
      </w:r>
      <w:r w:rsidRPr="005408D7">
        <w:rPr>
          <w:rFonts w:cs="Arial"/>
          <w:b/>
        </w:rPr>
        <w:t xml:space="preserve"> </w:t>
      </w:r>
      <w:r w:rsidR="001762A9" w:rsidRPr="005408D7">
        <w:rPr>
          <w:rFonts w:cs="Arial"/>
        </w:rPr>
        <w:t xml:space="preserve">od </w:t>
      </w:r>
      <w:r w:rsidR="00161E46" w:rsidRPr="005408D7">
        <w:rPr>
          <w:rFonts w:cs="Arial"/>
        </w:rPr>
        <w:t xml:space="preserve">nabytí </w:t>
      </w:r>
      <w:r w:rsidR="001762A9" w:rsidRPr="005408D7">
        <w:rPr>
          <w:rFonts w:cs="Arial"/>
        </w:rPr>
        <w:t>účinnosti smlouvy</w:t>
      </w:r>
      <w:r w:rsidRPr="005408D7">
        <w:rPr>
          <w:rFonts w:cs="Arial"/>
        </w:rPr>
        <w:t>.</w:t>
      </w:r>
    </w:p>
    <w:p w:rsidR="00F979AA" w:rsidRPr="005408D7" w:rsidRDefault="00F02E8B" w:rsidP="003B567D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Prodávající je odpovědný za dodání Zboží do místa plnění. Místem plnění je následující adresa</w:t>
      </w:r>
      <w:r w:rsidRPr="005408D7">
        <w:rPr>
          <w:rFonts w:cs="Arial"/>
        </w:rPr>
        <w:t xml:space="preserve">: </w:t>
      </w:r>
      <w:r w:rsidR="00717183" w:rsidRPr="00717183">
        <w:rPr>
          <w:rFonts w:cs="Arial"/>
        </w:rPr>
        <w:t xml:space="preserve">ČVUT v Praze, Fakulta elektrotechnická, katedra elektromagnetického pole, </w:t>
      </w:r>
      <w:proofErr w:type="spellStart"/>
      <w:r w:rsidR="00B62F67">
        <w:rPr>
          <w:rFonts w:cs="Arial"/>
        </w:rPr>
        <w:t>xxxxxxxxxxxxxxxxxxxxxxxxxxxxxx</w:t>
      </w:r>
      <w:proofErr w:type="spellEnd"/>
      <w:r w:rsidR="00B62F67">
        <w:rPr>
          <w:rFonts w:cs="Arial"/>
        </w:rPr>
        <w:t>.</w:t>
      </w:r>
    </w:p>
    <w:p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:rsidR="00F979AA" w:rsidRPr="00F02E8B" w:rsidRDefault="00F02E8B" w:rsidP="00F02E8B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</w:rPr>
      </w:pPr>
      <w:r w:rsidRPr="00F02E8B">
        <w:rPr>
          <w:rFonts w:cs="Arial"/>
        </w:rPr>
        <w:t>Vlastnické právo 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4966CC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>protokolu</w:t>
      </w:r>
      <w:r w:rsidR="004966CC">
        <w:rPr>
          <w:rFonts w:cs="Arial"/>
        </w:rPr>
        <w:t xml:space="preserve"> (dodacího listu)</w:t>
      </w:r>
      <w:r w:rsidRPr="00F02E8B">
        <w:rPr>
          <w:rFonts w:cs="Arial"/>
        </w:rPr>
        <w:t xml:space="preserve"> oběma stranami.</w:t>
      </w:r>
    </w:p>
    <w:p w:rsidR="00F62F4E" w:rsidRDefault="00F62F4E">
      <w:pPr>
        <w:suppressAutoHyphens w:val="0"/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IV.</w:t>
      </w:r>
    </w:p>
    <w:p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je </w:t>
      </w:r>
      <w:r w:rsidR="000F0ACE" w:rsidRPr="001919FA">
        <w:rPr>
          <w:rFonts w:ascii="Calibri" w:hAnsi="Calibri" w:cs="Calibri"/>
          <w:color w:val="000000"/>
          <w:lang w:eastAsia="cs-CZ"/>
        </w:rPr>
        <w:t>2</w:t>
      </w:r>
      <w:r w:rsidR="003B567D">
        <w:rPr>
          <w:rFonts w:ascii="Calibri" w:hAnsi="Calibri" w:cs="Calibri"/>
          <w:color w:val="000000"/>
          <w:lang w:eastAsia="cs-CZ"/>
        </w:rPr>
        <w:t> </w:t>
      </w:r>
      <w:r w:rsidR="000F0ACE" w:rsidRPr="001919FA">
        <w:rPr>
          <w:rFonts w:ascii="Calibri" w:hAnsi="Calibri" w:cs="Calibri"/>
          <w:color w:val="000000"/>
          <w:lang w:eastAsia="cs-CZ"/>
        </w:rPr>
        <w:t>036</w:t>
      </w:r>
      <w:r w:rsidR="003B567D">
        <w:rPr>
          <w:rFonts w:ascii="Calibri" w:hAnsi="Calibri" w:cs="Calibri"/>
          <w:color w:val="000000"/>
          <w:lang w:eastAsia="cs-CZ"/>
        </w:rPr>
        <w:t> </w:t>
      </w:r>
      <w:r w:rsidR="000F0ACE" w:rsidRPr="001919FA">
        <w:rPr>
          <w:rFonts w:ascii="Calibri" w:hAnsi="Calibri" w:cs="Calibri"/>
          <w:color w:val="000000"/>
          <w:lang w:eastAsia="cs-CZ"/>
        </w:rPr>
        <w:t>354</w:t>
      </w:r>
      <w:r w:rsidR="003B567D">
        <w:rPr>
          <w:rFonts w:ascii="Calibri" w:hAnsi="Calibri" w:cs="Calibri"/>
          <w:color w:val="000000"/>
          <w:lang w:eastAsia="cs-CZ"/>
        </w:rPr>
        <w:t xml:space="preserve"> Kč</w:t>
      </w:r>
      <w:r w:rsidR="000F0ACE">
        <w:rPr>
          <w:rFonts w:ascii="Calibri" w:hAnsi="Calibri" w:cs="Calibri"/>
          <w:color w:val="000000"/>
          <w:lang w:eastAsia="cs-CZ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a s DPH ve výši 21 % činí</w:t>
      </w:r>
      <w:r w:rsidR="000F0ACE">
        <w:rPr>
          <w:rFonts w:ascii="Arial" w:hAnsi="Arial" w:cs="Arial"/>
          <w:b w:val="0"/>
          <w:color w:val="auto"/>
          <w:sz w:val="22"/>
        </w:rPr>
        <w:t xml:space="preserve"> </w:t>
      </w:r>
      <w:r w:rsidR="000F0ACE" w:rsidRPr="001919FA">
        <w:rPr>
          <w:rFonts w:ascii="Calibri" w:hAnsi="Calibri" w:cs="Calibri"/>
          <w:color w:val="000000"/>
          <w:lang w:eastAsia="cs-CZ"/>
        </w:rPr>
        <w:t>2</w:t>
      </w:r>
      <w:r w:rsidR="003B567D">
        <w:rPr>
          <w:rFonts w:ascii="Calibri" w:hAnsi="Calibri" w:cs="Calibri"/>
          <w:color w:val="000000"/>
          <w:lang w:eastAsia="cs-CZ"/>
        </w:rPr>
        <w:t> </w:t>
      </w:r>
      <w:r w:rsidR="000F0ACE" w:rsidRPr="001919FA">
        <w:rPr>
          <w:rFonts w:ascii="Calibri" w:hAnsi="Calibri" w:cs="Calibri"/>
          <w:color w:val="000000"/>
          <w:lang w:eastAsia="cs-CZ"/>
        </w:rPr>
        <w:t>463</w:t>
      </w:r>
      <w:r w:rsidR="003B567D">
        <w:rPr>
          <w:rFonts w:ascii="Calibri" w:hAnsi="Calibri" w:cs="Calibri"/>
          <w:color w:val="000000"/>
          <w:lang w:eastAsia="cs-CZ"/>
        </w:rPr>
        <w:t xml:space="preserve"> </w:t>
      </w:r>
      <w:r w:rsidR="000F0ACE" w:rsidRPr="001919FA">
        <w:rPr>
          <w:rFonts w:ascii="Calibri" w:hAnsi="Calibri" w:cs="Calibri"/>
          <w:color w:val="000000"/>
          <w:lang w:eastAsia="cs-CZ"/>
        </w:rPr>
        <w:t>988,34</w:t>
      </w:r>
      <w:r w:rsidR="003B567D">
        <w:rPr>
          <w:rFonts w:ascii="Calibri" w:hAnsi="Calibri" w:cs="Calibri"/>
          <w:color w:val="000000"/>
          <w:lang w:eastAsia="cs-CZ"/>
        </w:rPr>
        <w:t xml:space="preserve"> Kč</w:t>
      </w:r>
      <w:r w:rsidR="000F0ACE" w:rsidRPr="00217236">
        <w:rPr>
          <w:rFonts w:ascii="Arial" w:hAnsi="Arial" w:cs="Arial"/>
          <w:b w:val="0"/>
          <w:color w:val="auto"/>
          <w:sz w:val="22"/>
        </w:rPr>
        <w:t xml:space="preserve"> </w:t>
      </w:r>
      <w:r w:rsidR="00F979AA" w:rsidRPr="00217236">
        <w:rPr>
          <w:rFonts w:ascii="Arial" w:hAnsi="Arial" w:cs="Arial"/>
          <w:b w:val="0"/>
          <w:color w:val="auto"/>
          <w:sz w:val="22"/>
        </w:rPr>
        <w:t>(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 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</w:t>
      </w:r>
      <w:proofErr w:type="spellStart"/>
      <w:r>
        <w:rPr>
          <w:rFonts w:ascii="Arial" w:hAnsi="Arial" w:cs="Arial"/>
          <w:b w:val="0"/>
          <w:color w:val="auto"/>
          <w:sz w:val="22"/>
        </w:rPr>
        <w:t>mimojiné</w:t>
      </w:r>
      <w:proofErr w:type="spellEnd"/>
      <w:r>
        <w:rPr>
          <w:rFonts w:ascii="Arial" w:hAnsi="Arial" w:cs="Arial"/>
          <w:b w:val="0"/>
          <w:color w:val="auto"/>
          <w:sz w:val="22"/>
        </w:rPr>
        <w:t xml:space="preserve">, všechny náklady spojené s převzetím Zboží a provedením Souvisejících činností,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veškeré další náklady a výdaje </w:t>
      </w:r>
      <w:r>
        <w:rPr>
          <w:rFonts w:ascii="Arial" w:hAnsi="Arial" w:cs="Arial"/>
          <w:b w:val="0"/>
          <w:color w:val="auto"/>
          <w:sz w:val="22"/>
        </w:rPr>
        <w:t>spojené</w:t>
      </w:r>
      <w:r w:rsidRPr="007A2D2F">
        <w:rPr>
          <w:rFonts w:ascii="Arial" w:hAnsi="Arial" w:cs="Arial"/>
          <w:b w:val="0"/>
          <w:color w:val="auto"/>
          <w:sz w:val="22"/>
        </w:rPr>
        <w:t xml:space="preserve"> s plněním této smlouvy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proofErr w:type="gramStart"/>
      <w:r>
        <w:rPr>
          <w:rFonts w:ascii="Arial" w:hAnsi="Arial" w:cs="Arial"/>
          <w:b w:val="0"/>
          <w:color w:val="auto"/>
          <w:sz w:val="22"/>
        </w:rPr>
        <w:t>se</w:t>
      </w:r>
      <w:proofErr w:type="gramEnd"/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:rsidR="007A2D2F" w:rsidRPr="005408D7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Kupní cena </w:t>
      </w:r>
      <w:r>
        <w:rPr>
          <w:rFonts w:ascii="Arial" w:hAnsi="Arial" w:cs="Arial"/>
          <w:b w:val="0"/>
          <w:color w:val="auto"/>
          <w:sz w:val="22"/>
        </w:rPr>
        <w:t>za Zboží</w:t>
      </w:r>
      <w:r w:rsidRPr="007A2D2F">
        <w:rPr>
          <w:rFonts w:ascii="Arial" w:hAnsi="Arial" w:cs="Arial"/>
          <w:b w:val="0"/>
          <w:color w:val="auto"/>
          <w:sz w:val="22"/>
        </w:rPr>
        <w:t xml:space="preserve"> bude </w:t>
      </w:r>
      <w:r w:rsidRPr="005408D7">
        <w:rPr>
          <w:rFonts w:ascii="Arial" w:hAnsi="Arial" w:cs="Arial"/>
          <w:b w:val="0"/>
          <w:color w:val="auto"/>
          <w:sz w:val="22"/>
        </w:rPr>
        <w:t xml:space="preserve">uhrazena v </w:t>
      </w:r>
      <w:r w:rsidR="0096550C" w:rsidRPr="005408D7">
        <w:rPr>
          <w:rFonts w:ascii="Arial" w:hAnsi="Arial" w:cs="Arial"/>
          <w:b w:val="0"/>
          <w:color w:val="auto"/>
          <w:sz w:val="22"/>
        </w:rPr>
        <w:t>Kč</w:t>
      </w:r>
      <w:r w:rsidRPr="005408D7">
        <w:rPr>
          <w:rFonts w:ascii="Arial" w:hAnsi="Arial" w:cs="Arial"/>
          <w:b w:val="0"/>
          <w:color w:val="auto"/>
          <w:sz w:val="22"/>
        </w:rPr>
        <w:t xml:space="preserve"> na základě daňových dokladů - faktur, na účet Prodávajícího určeného na faktuře.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vystavených faktur do </w:t>
      </w:r>
      <w:r w:rsidRPr="0096550C">
        <w:rPr>
          <w:rFonts w:ascii="Arial" w:hAnsi="Arial" w:cs="Arial"/>
          <w:b w:val="0"/>
          <w:color w:val="auto"/>
          <w:sz w:val="22"/>
        </w:rPr>
        <w:t>15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jejich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předmět plnění (zahrnující odkaz na tuto smlouvu),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:rsidR="00161E46" w:rsidRPr="005408D7" w:rsidRDefault="00161E46" w:rsidP="00161E46">
      <w:pPr>
        <w:pStyle w:val="Odstavecseseznamem"/>
        <w:numPr>
          <w:ilvl w:val="0"/>
          <w:numId w:val="29"/>
        </w:numPr>
        <w:spacing w:before="0" w:after="0"/>
      </w:pPr>
      <w:r w:rsidRPr="005408D7">
        <w:t>identifikaci projektu, na jehož základě je tato smlouva realizována, tj. projekt č.:</w:t>
      </w:r>
    </w:p>
    <w:p w:rsidR="00161E46" w:rsidRPr="005408D7" w:rsidRDefault="005408D7" w:rsidP="005408D7">
      <w:pPr>
        <w:ind w:left="1287"/>
      </w:pPr>
      <w:r w:rsidRPr="005408D7">
        <w:t>CZ.02.1.01/0.0/0.0/16_017/0002280</w:t>
      </w:r>
    </w:p>
    <w:p w:rsidR="002370E0" w:rsidRDefault="002370E0" w:rsidP="002370E0">
      <w:pPr>
        <w:spacing w:before="240"/>
        <w:rPr>
          <w:b/>
        </w:rPr>
      </w:pPr>
      <w:r w:rsidRPr="002370E0">
        <w:t>a musí splňovat případně dohody o zamezení dvojímu zdanění.</w:t>
      </w:r>
    </w:p>
    <w:p w:rsidR="00056FDD" w:rsidRDefault="00056FDD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lastRenderedPageBreak/>
        <w:t>V případě, že faktura neobsahuje výše uvedené informace,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>platné právní (např. bezpečnostní), technické a kvalitativní normy. Prodávající prokáže shodu s platnými bezpečnostními normami a normami EMI / EMC min. prohlášením o shodě CE.</w:t>
      </w:r>
    </w:p>
    <w:p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:rsidR="00F979AA" w:rsidRPr="00C13E2C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:rsidR="000B79E2" w:rsidRDefault="003B7F61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B7F61">
        <w:rPr>
          <w:rFonts w:ascii="Arial" w:hAnsi="Arial" w:cs="Arial"/>
          <w:b w:val="0"/>
          <w:color w:val="auto"/>
          <w:sz w:val="22"/>
        </w:rPr>
        <w:t>Prodávající poskytuje na Zboží</w:t>
      </w:r>
      <w:r w:rsidR="00FE146C">
        <w:rPr>
          <w:rFonts w:ascii="Arial" w:hAnsi="Arial" w:cs="Arial"/>
          <w:b w:val="0"/>
          <w:color w:val="auto"/>
          <w:sz w:val="22"/>
        </w:rPr>
        <w:t xml:space="preserve"> </w:t>
      </w:r>
      <w:r w:rsidRPr="003B7F61">
        <w:rPr>
          <w:rFonts w:ascii="Arial" w:hAnsi="Arial" w:cs="Arial"/>
          <w:b w:val="0"/>
          <w:color w:val="auto"/>
          <w:sz w:val="22"/>
        </w:rPr>
        <w:t xml:space="preserve">záruku za jakost v délce </w:t>
      </w:r>
      <w:r w:rsidR="009C20C1">
        <w:rPr>
          <w:rFonts w:ascii="Arial" w:hAnsi="Arial" w:cs="Arial"/>
          <w:b w:val="0"/>
          <w:color w:val="auto"/>
          <w:sz w:val="22"/>
        </w:rPr>
        <w:t>24měsíců</w:t>
      </w:r>
      <w:r w:rsidRPr="003B7F61">
        <w:rPr>
          <w:rFonts w:ascii="Arial" w:hAnsi="Arial" w:cs="Arial"/>
          <w:b w:val="0"/>
          <w:color w:val="auto"/>
          <w:sz w:val="22"/>
        </w:rPr>
        <w:t xml:space="preserve">. 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Pokud je </w:t>
      </w:r>
      <w:r w:rsidR="000B79E2">
        <w:rPr>
          <w:rFonts w:ascii="Arial" w:hAnsi="Arial" w:cs="Arial"/>
          <w:b w:val="0"/>
          <w:color w:val="auto"/>
          <w:sz w:val="22"/>
        </w:rPr>
        <w:t xml:space="preserve">na </w:t>
      </w:r>
      <w:r w:rsidR="000B79E2" w:rsidRPr="000B79E2">
        <w:rPr>
          <w:rFonts w:ascii="Arial" w:hAnsi="Arial" w:cs="Arial"/>
          <w:b w:val="0"/>
          <w:color w:val="auto"/>
          <w:sz w:val="22"/>
        </w:rPr>
        <w:t>záruční</w:t>
      </w:r>
      <w:r w:rsidR="000B79E2">
        <w:rPr>
          <w:rFonts w:ascii="Arial" w:hAnsi="Arial" w:cs="Arial"/>
          <w:b w:val="0"/>
          <w:color w:val="auto"/>
          <w:sz w:val="22"/>
        </w:rPr>
        <w:t>m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 list</w:t>
      </w:r>
      <w:r w:rsidR="000B79E2">
        <w:rPr>
          <w:rFonts w:ascii="Arial" w:hAnsi="Arial" w:cs="Arial"/>
          <w:b w:val="0"/>
          <w:color w:val="auto"/>
          <w:sz w:val="22"/>
        </w:rPr>
        <w:t>u nebo jiném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 dokument</w:t>
      </w:r>
      <w:r w:rsidR="000B79E2">
        <w:rPr>
          <w:rFonts w:ascii="Arial" w:hAnsi="Arial" w:cs="Arial"/>
          <w:b w:val="0"/>
          <w:color w:val="auto"/>
          <w:sz w:val="22"/>
        </w:rPr>
        <w:t>u uvedena delší záruční lhůta</w:t>
      </w:r>
      <w:r w:rsidR="000B79E2" w:rsidRPr="000B79E2">
        <w:rPr>
          <w:rFonts w:ascii="Arial" w:hAnsi="Arial" w:cs="Arial"/>
          <w:b w:val="0"/>
          <w:color w:val="auto"/>
          <w:sz w:val="22"/>
        </w:rPr>
        <w:t>, má tato delší záruční lhůta přednos</w:t>
      </w:r>
      <w:r w:rsidR="000B79E2">
        <w:rPr>
          <w:rFonts w:ascii="Arial" w:hAnsi="Arial" w:cs="Arial"/>
          <w:b w:val="0"/>
          <w:color w:val="auto"/>
          <w:sz w:val="22"/>
        </w:rPr>
        <w:t xml:space="preserve">t před </w:t>
      </w:r>
      <w:r w:rsidR="0021517A">
        <w:rPr>
          <w:rFonts w:ascii="Arial" w:hAnsi="Arial" w:cs="Arial"/>
          <w:b w:val="0"/>
          <w:color w:val="auto"/>
          <w:sz w:val="22"/>
        </w:rPr>
        <w:t>d</w:t>
      </w:r>
      <w:r w:rsidR="00807F4D">
        <w:rPr>
          <w:rFonts w:ascii="Arial" w:hAnsi="Arial" w:cs="Arial"/>
          <w:b w:val="0"/>
          <w:color w:val="auto"/>
          <w:sz w:val="22"/>
        </w:rPr>
        <w:t>é</w:t>
      </w:r>
      <w:r w:rsidR="0021517A">
        <w:rPr>
          <w:rFonts w:ascii="Arial" w:hAnsi="Arial" w:cs="Arial"/>
          <w:b w:val="0"/>
          <w:color w:val="auto"/>
          <w:sz w:val="22"/>
        </w:rPr>
        <w:t xml:space="preserve">lkou záruční lhůty </w:t>
      </w:r>
      <w:r w:rsidR="00A66CA2">
        <w:rPr>
          <w:rFonts w:ascii="Arial" w:hAnsi="Arial" w:cs="Arial"/>
          <w:b w:val="0"/>
          <w:color w:val="auto"/>
          <w:sz w:val="22"/>
        </w:rPr>
        <w:t xml:space="preserve">uvedené </w:t>
      </w:r>
      <w:r w:rsidR="000B79E2">
        <w:rPr>
          <w:rFonts w:ascii="Arial" w:hAnsi="Arial" w:cs="Arial"/>
          <w:b w:val="0"/>
          <w:color w:val="auto"/>
          <w:sz w:val="22"/>
        </w:rPr>
        <w:t>v této S</w:t>
      </w:r>
      <w:r w:rsidR="000B79E2" w:rsidRPr="000B79E2">
        <w:rPr>
          <w:rFonts w:ascii="Arial" w:hAnsi="Arial" w:cs="Arial"/>
          <w:b w:val="0"/>
          <w:color w:val="auto"/>
          <w:sz w:val="22"/>
        </w:rPr>
        <w:t>mlouvě.</w:t>
      </w:r>
    </w:p>
    <w:p w:rsidR="000B79E2" w:rsidRDefault="00C13E2C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C13E2C">
        <w:rPr>
          <w:rFonts w:ascii="Arial" w:hAnsi="Arial" w:cs="Arial"/>
          <w:b w:val="0"/>
          <w:color w:val="auto"/>
          <w:sz w:val="22"/>
        </w:rPr>
        <w:t xml:space="preserve">Záruční doba počíná běžet dnem </w:t>
      </w:r>
      <w:r w:rsidR="0017255F">
        <w:rPr>
          <w:rFonts w:ascii="Arial" w:hAnsi="Arial" w:cs="Arial"/>
          <w:b w:val="0"/>
          <w:color w:val="auto"/>
          <w:sz w:val="22"/>
        </w:rPr>
        <w:t>uvedení Zboží do provozu.</w:t>
      </w:r>
    </w:p>
    <w:p w:rsidR="000B79E2" w:rsidRP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:rsidR="00F979AA" w:rsidRPr="00217236" w:rsidRDefault="000B79E2" w:rsidP="00B62F67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</w:t>
      </w:r>
      <w:r w:rsidR="0017255F">
        <w:rPr>
          <w:rFonts w:ascii="Arial" w:hAnsi="Arial" w:cs="Arial"/>
          <w:b w:val="0"/>
          <w:color w:val="auto"/>
          <w:sz w:val="22"/>
        </w:rPr>
        <w:t xml:space="preserve">telefonicky, </w:t>
      </w:r>
      <w:r>
        <w:rPr>
          <w:rFonts w:ascii="Arial" w:hAnsi="Arial" w:cs="Arial"/>
          <w:b w:val="0"/>
          <w:color w:val="auto"/>
          <w:sz w:val="22"/>
        </w:rPr>
        <w:t>písemně</w:t>
      </w:r>
      <w:r w:rsidR="0017255F">
        <w:rPr>
          <w:rFonts w:ascii="Arial" w:hAnsi="Arial" w:cs="Arial"/>
          <w:b w:val="0"/>
          <w:color w:val="auto"/>
          <w:sz w:val="22"/>
        </w:rPr>
        <w:t xml:space="preserve"> nebo</w:t>
      </w:r>
      <w:r>
        <w:rPr>
          <w:rFonts w:ascii="Arial" w:hAnsi="Arial" w:cs="Arial"/>
          <w:b w:val="0"/>
          <w:color w:val="auto"/>
          <w:sz w:val="22"/>
        </w:rPr>
        <w:t xml:space="preserve"> prostřednictvím e-mailu. Prodávající akceptuje upozornění na záruční vady prostřednictvím e-mailové adresy: </w:t>
      </w:r>
      <w:proofErr w:type="spellStart"/>
      <w:r w:rsidR="00B62F67" w:rsidRPr="00B62F67">
        <w:rPr>
          <w:rFonts w:ascii="Arial" w:hAnsi="Arial" w:cs="Arial"/>
          <w:b w:val="0"/>
          <w:color w:val="auto"/>
          <w:sz w:val="22"/>
        </w:rPr>
        <w:t>xxxxxxxxxxxxxxxxxxxxxxxxxxxxxx</w:t>
      </w:r>
      <w:proofErr w:type="spellEnd"/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0B79E2">
        <w:rPr>
          <w:rFonts w:ascii="Arial" w:hAnsi="Arial" w:cs="Arial"/>
          <w:b w:val="0"/>
          <w:color w:val="auto"/>
          <w:sz w:val="22"/>
        </w:rPr>
        <w:t>Prodávající zahájí reklamační řízení nejpozději 3 dny po nahlášení závady Kupujícím</w:t>
      </w:r>
      <w:r w:rsidR="00DD3A7E">
        <w:rPr>
          <w:rFonts w:ascii="Arial" w:hAnsi="Arial" w:cs="Arial"/>
          <w:b w:val="0"/>
          <w:color w:val="auto"/>
          <w:sz w:val="22"/>
        </w:rPr>
        <w:t xml:space="preserve"> tak, že </w:t>
      </w:r>
      <w:proofErr w:type="spellStart"/>
      <w:r w:rsidR="00DD3A7E">
        <w:rPr>
          <w:rFonts w:ascii="Arial" w:hAnsi="Arial" w:cs="Arial"/>
          <w:b w:val="0"/>
          <w:color w:val="auto"/>
          <w:sz w:val="22"/>
        </w:rPr>
        <w:t>informomuje</w:t>
      </w:r>
      <w:proofErr w:type="spellEnd"/>
      <w:r w:rsidR="00DD3A7E">
        <w:rPr>
          <w:rFonts w:ascii="Arial" w:hAnsi="Arial" w:cs="Arial"/>
          <w:b w:val="0"/>
          <w:color w:val="auto"/>
          <w:sz w:val="22"/>
        </w:rPr>
        <w:t xml:space="preserve"> kupujícího o převzetí požadavku a návrhu jeho řešení včetně termínu odstranění vady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 hlášení o záruční vadě popíše Kupující vadu </w:t>
      </w:r>
      <w:r w:rsidRPr="000B79E2">
        <w:rPr>
          <w:rFonts w:ascii="Arial" w:hAnsi="Arial" w:cs="Arial"/>
          <w:b w:val="0"/>
          <w:color w:val="auto"/>
          <w:sz w:val="22"/>
        </w:rPr>
        <w:t>a způsob odstranění vady. Kupující má právo: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požádat o odstranění vady dodáním nového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nebo jeho jednotlivých částí nebo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odstranění vady opravou nebo</w:t>
      </w:r>
    </w:p>
    <w:p w:rsidR="000B79E2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přiměřené snížení kupní ceny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693E16" w:rsidRDefault="00693E16" w:rsidP="00693E16">
      <w:pPr>
        <w:ind w:left="567"/>
      </w:pPr>
    </w:p>
    <w:p w:rsidR="00A00819" w:rsidRPr="000B79E2" w:rsidRDefault="00A00819" w:rsidP="00693E16">
      <w:pPr>
        <w:spacing w:after="240"/>
        <w:ind w:left="567"/>
      </w:pPr>
      <w:r w:rsidRPr="00A00819">
        <w:t>Vý</w:t>
      </w:r>
      <w:r>
        <w:t>běr výše uvedených práv náleží K</w:t>
      </w:r>
      <w:r w:rsidRPr="00A00819">
        <w:t xml:space="preserve">upujícímu. Kupující má také nárok na odstoupení od této </w:t>
      </w:r>
      <w:r>
        <w:t>S</w:t>
      </w:r>
      <w:r w:rsidRPr="00A00819">
        <w:t xml:space="preserve">mlouvy, pokud je </w:t>
      </w:r>
      <w:r>
        <w:t>tato S</w:t>
      </w:r>
      <w:r w:rsidRPr="00A00819">
        <w:t xml:space="preserve">mlouva dodáním </w:t>
      </w:r>
      <w:r>
        <w:t>Zboží</w:t>
      </w:r>
      <w:r w:rsidRPr="00A00819">
        <w:t xml:space="preserve"> s vadami podstatně porušena. Smlouva bude také podstatně porušena v případě, že se stejná </w:t>
      </w:r>
      <w:r>
        <w:t>závada opakovaně vyskytla, tj. v</w:t>
      </w:r>
      <w:r w:rsidRPr="00A00819">
        <w:t>íce než třikrát.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Prodávající, pokud se strany nedohodnou jinak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A00819">
        <w:rPr>
          <w:rFonts w:ascii="Arial" w:hAnsi="Arial" w:cs="Arial"/>
          <w:b w:val="0"/>
          <w:color w:val="auto"/>
          <w:sz w:val="22"/>
        </w:rPr>
        <w:t xml:space="preserve"> odstraní vadu do 14 dnů od jejího oznámení.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Prodávající odstraní vadu v souladu s podmínkami stanovenými v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A00819">
        <w:rPr>
          <w:rFonts w:ascii="Arial" w:hAnsi="Arial" w:cs="Arial"/>
          <w:b w:val="0"/>
          <w:color w:val="auto"/>
          <w:sz w:val="22"/>
        </w:rPr>
        <w:t xml:space="preserve">mlouvě, a to i v případě, že oznámení o závadě je podle jeho názoru neodůvodněné. V takovém případě má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nárok na náhradu nákladů na odstranění vady. Pokud se strany nedohodnou, zda je oznámení o vadě opodstatněné nebo ne,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požádá odborníka o </w:t>
      </w:r>
      <w:r>
        <w:rPr>
          <w:rFonts w:ascii="Arial" w:hAnsi="Arial" w:cs="Arial"/>
          <w:b w:val="0"/>
          <w:color w:val="auto"/>
          <w:sz w:val="22"/>
        </w:rPr>
        <w:t>odborný posudek</w:t>
      </w:r>
      <w:r w:rsidRPr="00A00819">
        <w:rPr>
          <w:rFonts w:ascii="Arial" w:hAnsi="Arial" w:cs="Arial"/>
          <w:b w:val="0"/>
          <w:color w:val="auto"/>
          <w:sz w:val="22"/>
        </w:rPr>
        <w:t xml:space="preserve">, který určí, zda oznámení o závadě bylo nebo nebylo oprávněné. V případě, že odborník považuje oznámení za oprávněné,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hradí náklady na vyjádření znalce. Pokud se odborník domnívá, že oznámení je neoprávněné, pak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uhradí </w:t>
      </w:r>
      <w:r>
        <w:rPr>
          <w:rFonts w:ascii="Arial" w:hAnsi="Arial" w:cs="Arial"/>
          <w:b w:val="0"/>
          <w:color w:val="auto"/>
          <w:sz w:val="22"/>
        </w:rPr>
        <w:t>Prodávajícímu</w:t>
      </w:r>
      <w:r w:rsidRPr="00A00819">
        <w:rPr>
          <w:rFonts w:ascii="Arial" w:hAnsi="Arial" w:cs="Arial"/>
          <w:b w:val="0"/>
          <w:color w:val="auto"/>
          <w:sz w:val="22"/>
        </w:rPr>
        <w:t xml:space="preserve"> ověřitelné a skutečně vynaložené náklady na odstranění vady.</w:t>
      </w:r>
    </w:p>
    <w:p w:rsidR="00F979AA" w:rsidRPr="00217236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Strany </w:t>
      </w:r>
      <w:r>
        <w:rPr>
          <w:rFonts w:ascii="Arial" w:hAnsi="Arial" w:cs="Arial"/>
          <w:b w:val="0"/>
          <w:color w:val="auto"/>
          <w:sz w:val="22"/>
        </w:rPr>
        <w:t>vyhotoví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protokol o odstranění závady, který obsahuje popis závady a potvrzení, že závada byla odstraněna. </w:t>
      </w:r>
      <w:r w:rsidR="0017255F" w:rsidRPr="0017255F">
        <w:rPr>
          <w:rFonts w:ascii="Arial" w:hAnsi="Arial" w:cs="Arial"/>
          <w:b w:val="0"/>
          <w:iCs/>
          <w:color w:val="auto"/>
          <w:sz w:val="22"/>
        </w:rPr>
        <w:t>V případě opravy v záruční době se tato prodlužuje o dobu od oznámení závady Kupujícím po její odstranění Prodávajícím.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</w:t>
      </w:r>
      <w:r w:rsidR="004E7841">
        <w:rPr>
          <w:rFonts w:ascii="Arial" w:hAnsi="Arial" w:cs="Arial"/>
          <w:b w:val="0"/>
          <w:color w:val="auto"/>
          <w:sz w:val="22"/>
        </w:rPr>
        <w:t>obdrží fakturu od kupujícího</w:t>
      </w:r>
      <w:r w:rsidRPr="00A00819">
        <w:rPr>
          <w:rFonts w:ascii="Arial" w:hAnsi="Arial" w:cs="Arial"/>
          <w:b w:val="0"/>
          <w:color w:val="auto"/>
          <w:sz w:val="22"/>
        </w:rPr>
        <w:t>.</w:t>
      </w:r>
    </w:p>
    <w:p w:rsidR="00741B5F" w:rsidRDefault="00741B5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41B5F">
        <w:rPr>
          <w:rFonts w:ascii="Arial" w:hAnsi="Arial" w:cs="Arial"/>
          <w:b w:val="0"/>
          <w:color w:val="auto"/>
          <w:sz w:val="22"/>
        </w:rPr>
        <w:t xml:space="preserve">Záruka se nevztahuje na vady způsobené </w:t>
      </w:r>
      <w:r w:rsidR="0054516F">
        <w:rPr>
          <w:rFonts w:ascii="Arial" w:hAnsi="Arial" w:cs="Arial"/>
          <w:b w:val="0"/>
          <w:color w:val="auto"/>
          <w:sz w:val="22"/>
        </w:rPr>
        <w:t>neodbornou</w:t>
      </w:r>
      <w:r w:rsidRPr="00741B5F">
        <w:rPr>
          <w:rFonts w:ascii="Arial" w:hAnsi="Arial" w:cs="Arial"/>
          <w:b w:val="0"/>
          <w:color w:val="auto"/>
          <w:sz w:val="22"/>
        </w:rPr>
        <w:t xml:space="preserve"> manipulací nebo nedodržením pokynů </w:t>
      </w:r>
      <w:r w:rsidR="0054516F">
        <w:rPr>
          <w:rFonts w:ascii="Arial" w:hAnsi="Arial" w:cs="Arial"/>
          <w:b w:val="0"/>
          <w:color w:val="auto"/>
          <w:sz w:val="22"/>
        </w:rPr>
        <w:t>P</w:t>
      </w:r>
      <w:r w:rsidRPr="00741B5F">
        <w:rPr>
          <w:rFonts w:ascii="Arial" w:hAnsi="Arial" w:cs="Arial"/>
          <w:b w:val="0"/>
          <w:color w:val="auto"/>
          <w:sz w:val="22"/>
        </w:rPr>
        <w:t xml:space="preserve">rodávajícího pro provoz a údržbu </w:t>
      </w:r>
      <w:r w:rsidR="0054516F">
        <w:rPr>
          <w:rFonts w:ascii="Arial" w:hAnsi="Arial" w:cs="Arial"/>
          <w:b w:val="0"/>
          <w:color w:val="auto"/>
          <w:sz w:val="22"/>
        </w:rPr>
        <w:t>Zboží</w:t>
      </w:r>
      <w:r w:rsidRPr="00741B5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217236" w:rsidRDefault="0054516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1925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POKUTY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Pr="0054516F">
        <w:rPr>
          <w:rFonts w:ascii="Arial" w:hAnsi="Arial" w:cs="Arial"/>
          <w:b w:val="0"/>
          <w:color w:val="auto"/>
          <w:sz w:val="22"/>
        </w:rPr>
        <w:t xml:space="preserve"> za každý (dokonce započatý) den prodlení.</w:t>
      </w:r>
    </w:p>
    <w:p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 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5C1F61">
        <w:rPr>
          <w:rFonts w:ascii="Arial" w:hAnsi="Arial" w:cs="Arial"/>
          <w:b w:val="0"/>
          <w:color w:val="auto"/>
          <w:sz w:val="22"/>
        </w:rPr>
        <w:t>);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:rsidR="0055718C" w:rsidRDefault="0055718C">
      <w:pPr>
        <w:suppressAutoHyphens w:val="0"/>
        <w:rPr>
          <w:rFonts w:eastAsia="Batang" w:cs="Arial"/>
          <w:b/>
          <w:szCs w:val="22"/>
          <w:lang w:eastAsia="en-GB"/>
        </w:rPr>
      </w:pPr>
      <w:r>
        <w:rPr>
          <w:rFonts w:cs="Arial"/>
          <w:b/>
        </w:rPr>
        <w:br w:type="page"/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546D2F" w:rsidRPr="00E5711B" w:rsidRDefault="005C1F61" w:rsidP="00BF351A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174F32" w:rsidRPr="00E5711B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:rsidR="00492CD6" w:rsidRPr="005408D7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5408D7">
        <w:rPr>
          <w:rFonts w:cs="Arial"/>
        </w:rPr>
        <w:t xml:space="preserve">Jméno a příjmení: </w:t>
      </w:r>
      <w:r w:rsidRPr="005408D7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492CD6" w:rsidRPr="00217236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5408D7">
        <w:rPr>
          <w:rFonts w:cs="Arial"/>
          <w:bCs/>
        </w:rPr>
        <w:t>E-mail:</w:t>
      </w:r>
      <w:r w:rsidRPr="005408D7">
        <w:rPr>
          <w:rFonts w:cs="Arial"/>
          <w:bCs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174F32" w:rsidRPr="00217236" w:rsidRDefault="00174F32">
      <w:pPr>
        <w:suppressAutoHyphens w:val="0"/>
        <w:rPr>
          <w:rFonts w:eastAsia="Batang" w:cs="Arial"/>
          <w:b/>
          <w:szCs w:val="22"/>
          <w:lang w:eastAsia="en-GB"/>
        </w:rPr>
      </w:pPr>
    </w:p>
    <w:p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:rsidR="00B0259A" w:rsidRPr="00217236" w:rsidRDefault="00492CD6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>Strany souhlasí se zveřejněním této smlouvy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O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smluv. </w:t>
      </w:r>
      <w:r>
        <w:rPr>
          <w:rFonts w:ascii="Arial" w:hAnsi="Arial" w:cs="Arial"/>
          <w:b w:val="0"/>
          <w:color w:val="auto"/>
          <w:sz w:val="22"/>
        </w:rPr>
        <w:t>Zveřejnění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zajišťuje ČVUT v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>Praze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2CD6">
        <w:rPr>
          <w:rFonts w:ascii="Arial" w:hAnsi="Arial" w:cs="Arial"/>
          <w:b w:val="0"/>
          <w:color w:val="auto"/>
          <w:sz w:val="22"/>
        </w:rPr>
        <w:t xml:space="preserve">okud jedna ze stran </w:t>
      </w:r>
      <w:r>
        <w:rPr>
          <w:rFonts w:ascii="Arial" w:hAnsi="Arial" w:cs="Arial"/>
          <w:b w:val="0"/>
          <w:color w:val="auto"/>
          <w:sz w:val="22"/>
        </w:rPr>
        <w:t xml:space="preserve">považuje </w:t>
      </w:r>
      <w:r w:rsidRPr="00492CD6">
        <w:rPr>
          <w:rFonts w:ascii="Arial" w:hAnsi="Arial" w:cs="Arial"/>
          <w:b w:val="0"/>
          <w:color w:val="auto"/>
          <w:sz w:val="22"/>
        </w:rPr>
        <w:t xml:space="preserve">některé informace uvedené ve smlouvě </w:t>
      </w:r>
      <w:r>
        <w:rPr>
          <w:rFonts w:ascii="Arial" w:hAnsi="Arial" w:cs="Arial"/>
          <w:b w:val="0"/>
          <w:color w:val="auto"/>
          <w:sz w:val="22"/>
        </w:rPr>
        <w:t xml:space="preserve">za </w:t>
      </w:r>
      <w:r w:rsidRPr="00492CD6">
        <w:rPr>
          <w:rFonts w:ascii="Arial" w:hAnsi="Arial" w:cs="Arial"/>
          <w:b w:val="0"/>
          <w:color w:val="auto"/>
          <w:sz w:val="22"/>
        </w:rPr>
        <w:t>osobní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4E7841">
        <w:rPr>
          <w:rFonts w:ascii="Arial" w:hAnsi="Arial" w:cs="Arial"/>
          <w:b w:val="0"/>
          <w:color w:val="auto"/>
          <w:sz w:val="22"/>
        </w:rPr>
        <w:t xml:space="preserve">údaje </w:t>
      </w:r>
      <w:r>
        <w:rPr>
          <w:rFonts w:ascii="Arial" w:hAnsi="Arial" w:cs="Arial"/>
          <w:b w:val="0"/>
          <w:color w:val="auto"/>
          <w:sz w:val="22"/>
        </w:rPr>
        <w:t>nebo obchodní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tajemství, které </w:t>
      </w:r>
      <w:r>
        <w:rPr>
          <w:rFonts w:ascii="Arial" w:hAnsi="Arial" w:cs="Arial"/>
          <w:b w:val="0"/>
          <w:color w:val="auto"/>
          <w:sz w:val="22"/>
        </w:rPr>
        <w:t>ne</w:t>
      </w:r>
      <w:r w:rsidRPr="00492CD6">
        <w:rPr>
          <w:rFonts w:ascii="Arial" w:hAnsi="Arial" w:cs="Arial"/>
          <w:b w:val="0"/>
          <w:color w:val="auto"/>
          <w:sz w:val="22"/>
        </w:rPr>
        <w:t xml:space="preserve">mohou být zveřejněny podle zákona, musí být tyto informace výslovně označeny během uzavírání </w:t>
      </w:r>
      <w:r w:rsidR="008A4737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>ml</w:t>
      </w:r>
      <w:r w:rsidR="008A4737">
        <w:rPr>
          <w:rFonts w:ascii="Arial" w:hAnsi="Arial" w:cs="Arial"/>
          <w:b w:val="0"/>
          <w:color w:val="auto"/>
          <w:sz w:val="22"/>
        </w:rPr>
        <w:t>o</w:t>
      </w:r>
      <w:r w:rsidRPr="00492CD6">
        <w:rPr>
          <w:rFonts w:ascii="Arial" w:hAnsi="Arial" w:cs="Arial"/>
          <w:b w:val="0"/>
          <w:color w:val="auto"/>
          <w:sz w:val="22"/>
        </w:rPr>
        <w:t>uv</w:t>
      </w:r>
      <w:r w:rsidR="008A4737">
        <w:rPr>
          <w:rFonts w:ascii="Arial" w:hAnsi="Arial" w:cs="Arial"/>
          <w:b w:val="0"/>
          <w:color w:val="auto"/>
          <w:sz w:val="22"/>
        </w:rPr>
        <w:t>y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:rsidR="00F979AA" w:rsidRPr="00217236" w:rsidRDefault="00D216BA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Tato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Smlouva </w:t>
      </w:r>
      <w:r>
        <w:rPr>
          <w:rFonts w:ascii="Arial" w:hAnsi="Arial" w:cs="Arial"/>
          <w:b w:val="0"/>
          <w:color w:val="auto"/>
          <w:sz w:val="22"/>
        </w:rPr>
        <w:t>je sepsána v českém jazyce v jednom (1) vyhotove</w:t>
      </w:r>
      <w:r w:rsidR="00CA3EDA">
        <w:rPr>
          <w:rFonts w:ascii="Arial" w:hAnsi="Arial" w:cs="Arial"/>
          <w:b w:val="0"/>
          <w:color w:val="auto"/>
          <w:sz w:val="22"/>
        </w:rPr>
        <w:t>n</w:t>
      </w:r>
      <w:r>
        <w:rPr>
          <w:rFonts w:ascii="Arial" w:hAnsi="Arial" w:cs="Arial"/>
          <w:b w:val="0"/>
          <w:color w:val="auto"/>
          <w:sz w:val="22"/>
        </w:rPr>
        <w:t xml:space="preserve">í v elektronické podobě a ve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4 (čtyřech) </w:t>
      </w:r>
      <w:r>
        <w:rPr>
          <w:rFonts w:ascii="Arial" w:hAnsi="Arial" w:cs="Arial"/>
          <w:b w:val="0"/>
          <w:color w:val="auto"/>
          <w:sz w:val="22"/>
        </w:rPr>
        <w:t>vyhotoveních v listinné podobě, z nichž každé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vyhotovení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má platnost originálu. Každá ze </w:t>
      </w:r>
      <w:r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2 (dvou) </w:t>
      </w:r>
      <w:r>
        <w:rPr>
          <w:rFonts w:ascii="Arial" w:hAnsi="Arial" w:cs="Arial"/>
          <w:b w:val="0"/>
          <w:color w:val="auto"/>
          <w:sz w:val="22"/>
        </w:rPr>
        <w:t>vyhotoveních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>.</w:t>
      </w:r>
    </w:p>
    <w:p w:rsidR="008A4737" w:rsidRPr="008A4737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je </w:t>
      </w:r>
      <w:r w:rsidRPr="008A4737">
        <w:rPr>
          <w:rFonts w:ascii="Arial" w:hAnsi="Arial" w:cs="Arial"/>
          <w:b w:val="0"/>
          <w:color w:val="auto"/>
          <w:sz w:val="22"/>
          <w:u w:val="single"/>
        </w:rPr>
        <w:t>Příloha č. 1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) a </w:t>
      </w:r>
      <w:r w:rsidRPr="008A4737">
        <w:rPr>
          <w:rFonts w:ascii="Arial" w:hAnsi="Arial" w:cs="Arial"/>
          <w:b w:val="0"/>
          <w:color w:val="auto"/>
          <w:sz w:val="22"/>
          <w:u w:val="single"/>
        </w:rPr>
        <w:t>Příloha č. 2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Technická specifikace</w:t>
      </w:r>
      <w:r w:rsidRPr="008A4737">
        <w:rPr>
          <w:rFonts w:ascii="Arial" w:hAnsi="Arial" w:cs="Arial"/>
          <w:b w:val="0"/>
          <w:color w:val="auto"/>
          <w:sz w:val="22"/>
        </w:rPr>
        <w:t>)</w:t>
      </w:r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8A4737">
        <w:rPr>
          <w:rFonts w:ascii="Arial" w:hAnsi="Arial" w:cs="Arial"/>
          <w:b w:val="0"/>
          <w:color w:val="auto"/>
          <w:sz w:val="22"/>
        </w:rPr>
        <w:t xml:space="preserve">V případě jakéhokoli nesouladu mezi ustanoveními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ustanoveními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8A4737">
        <w:rPr>
          <w:rFonts w:ascii="Arial" w:hAnsi="Arial" w:cs="Arial"/>
          <w:b w:val="0"/>
          <w:color w:val="auto"/>
          <w:sz w:val="22"/>
        </w:rPr>
        <w:t xml:space="preserve">řílohy </w:t>
      </w:r>
      <w:r>
        <w:rPr>
          <w:rFonts w:ascii="Arial" w:hAnsi="Arial" w:cs="Arial"/>
          <w:b w:val="0"/>
          <w:color w:val="auto"/>
          <w:sz w:val="22"/>
        </w:rPr>
        <w:t xml:space="preserve">č. </w:t>
      </w:r>
      <w:r w:rsidRPr="008A4737">
        <w:rPr>
          <w:rFonts w:ascii="Arial" w:hAnsi="Arial" w:cs="Arial"/>
          <w:b w:val="0"/>
          <w:color w:val="auto"/>
          <w:sz w:val="22"/>
        </w:rPr>
        <w:t>1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8A4737">
        <w:rPr>
          <w:rFonts w:ascii="Arial" w:hAnsi="Arial" w:cs="Arial"/>
          <w:b w:val="0"/>
          <w:color w:val="auto"/>
          <w:sz w:val="22"/>
        </w:rPr>
        <w:t>) budou mít přednost ustanove</w:t>
      </w:r>
      <w:r>
        <w:rPr>
          <w:rFonts w:ascii="Arial" w:hAnsi="Arial" w:cs="Arial"/>
          <w:b w:val="0"/>
          <w:color w:val="auto"/>
          <w:sz w:val="22"/>
        </w:rPr>
        <w:t>ní této S</w:t>
      </w:r>
      <w:r w:rsidRPr="008A4737">
        <w:rPr>
          <w:rFonts w:ascii="Arial" w:hAnsi="Arial" w:cs="Arial"/>
          <w:b w:val="0"/>
          <w:color w:val="auto"/>
          <w:sz w:val="22"/>
        </w:rPr>
        <w:t>mlouvy.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D216BA">
        <w:rPr>
          <w:rFonts w:ascii="Arial" w:hAnsi="Arial" w:cs="Arial"/>
          <w:b w:val="0"/>
          <w:color w:val="auto"/>
          <w:sz w:val="22"/>
        </w:rPr>
        <w:t xml:space="preserve"> a účinná jejím uveřejněním v registru smluv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8A4737" w:rsidRPr="008A4737" w:rsidRDefault="008A4737" w:rsidP="008A4737"/>
    <w:p w:rsidR="00F979AA" w:rsidRPr="00E5711B" w:rsidRDefault="008A4737" w:rsidP="00825C53">
      <w:pPr>
        <w:keepNext/>
        <w:tabs>
          <w:tab w:val="left" w:pos="4536"/>
        </w:tabs>
        <w:suppressAutoHyphens w:val="0"/>
        <w:spacing w:after="160"/>
        <w:ind w:left="4536" w:hanging="4536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F979AA" w:rsidRPr="00217236">
        <w:rPr>
          <w:rFonts w:cs="Arial"/>
        </w:rPr>
        <w:tab/>
      </w:r>
      <w:bookmarkStart w:id="6" w:name="_Hlk4071256"/>
      <w:r w:rsidRPr="00E5711B">
        <w:rPr>
          <w:rFonts w:cs="Arial"/>
        </w:rPr>
        <w:t>V</w:t>
      </w:r>
      <w:r w:rsidR="00BF351A">
        <w:rPr>
          <w:rFonts w:cs="Arial"/>
        </w:rPr>
        <w:t> Jihlavě</w:t>
      </w:r>
      <w:r w:rsidR="00F979AA" w:rsidRPr="00E5711B">
        <w:rPr>
          <w:rFonts w:cs="Arial"/>
          <w:szCs w:val="20"/>
          <w:lang w:eastAsia="cs-CZ"/>
        </w:rPr>
        <w:t>,</w:t>
      </w:r>
      <w:bookmarkEnd w:id="6"/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Pr="00E5711B">
        <w:rPr>
          <w:rFonts w:cs="Arial"/>
          <w:sz w:val="20"/>
        </w:rPr>
        <w:tab/>
        <w:t>……………………………………..</w:t>
      </w:r>
    </w:p>
    <w:p w:rsidR="00F979AA" w:rsidRPr="00E5711B" w:rsidRDefault="00F979AA" w:rsidP="00825C53">
      <w:pPr>
        <w:keepNext/>
        <w:tabs>
          <w:tab w:val="center" w:pos="1701"/>
          <w:tab w:val="center" w:pos="1843"/>
          <w:tab w:val="center" w:pos="4962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r w:rsidR="008A4737" w:rsidRPr="00E5711B">
        <w:rPr>
          <w:rFonts w:cs="Arial"/>
        </w:rPr>
        <w:t>za kupujícího</w:t>
      </w:r>
      <w:r w:rsidRPr="00E5711B">
        <w:rPr>
          <w:rFonts w:cs="Arial"/>
        </w:rPr>
        <w:tab/>
      </w:r>
      <w:r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:rsidR="00F979AA" w:rsidRPr="00E5711B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proofErr w:type="spellStart"/>
      <w:r w:rsidR="00FD761E">
        <w:rPr>
          <w:rFonts w:cs="Arial"/>
        </w:rPr>
        <w:t>xxxxxxx</w:t>
      </w:r>
      <w:proofErr w:type="spellEnd"/>
      <w:r w:rsidRPr="00E5711B">
        <w:rPr>
          <w:rFonts w:cs="Arial"/>
        </w:rPr>
        <w:tab/>
      </w:r>
      <w:proofErr w:type="spellStart"/>
      <w:r w:rsidR="00B62F67">
        <w:rPr>
          <w:rFonts w:cs="Arial"/>
        </w:rPr>
        <w:t>xxxxxxxxxxxxxxxxxxxxxxxxxxxxxx</w:t>
      </w:r>
      <w:proofErr w:type="spellEnd"/>
    </w:p>
    <w:p w:rsidR="00F979AA" w:rsidRPr="00217236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spacing w:after="160"/>
        <w:rPr>
          <w:rFonts w:cs="Arial"/>
        </w:rPr>
      </w:pPr>
      <w:r w:rsidRPr="00E5711B">
        <w:rPr>
          <w:rFonts w:cs="Arial"/>
        </w:rPr>
        <w:tab/>
      </w:r>
      <w:r w:rsidR="008A4737" w:rsidRPr="00E5711B">
        <w:rPr>
          <w:rFonts w:cs="Arial"/>
        </w:rPr>
        <w:t>děkan</w:t>
      </w:r>
      <w:r w:rsidRPr="00E5711B">
        <w:rPr>
          <w:rFonts w:cs="Arial"/>
        </w:rPr>
        <w:tab/>
      </w:r>
      <w:bookmarkStart w:id="7" w:name="_Hlk4071271"/>
      <w:proofErr w:type="spellStart"/>
      <w:r w:rsidR="00B62F67">
        <w:rPr>
          <w:rFonts w:cs="Arial"/>
        </w:rPr>
        <w:t>xxxxxxxxxxxxxxxxxxxxxxxxxxxxxx</w:t>
      </w:r>
      <w:proofErr w:type="spellEnd"/>
    </w:p>
    <w:bookmarkEnd w:id="7"/>
    <w:p w:rsidR="00F979AA" w:rsidRPr="00217236" w:rsidRDefault="00F979AA">
      <w:pPr>
        <w:suppressAutoHyphens w:val="0"/>
        <w:spacing w:after="200" w:line="276" w:lineRule="auto"/>
        <w:rPr>
          <w:rFonts w:cs="Arial"/>
        </w:rPr>
        <w:sectPr w:rsidR="00F979AA" w:rsidRPr="00217236" w:rsidSect="00F62F4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2410" w:left="1418" w:header="709" w:footer="403" w:gutter="0"/>
          <w:cols w:space="708"/>
          <w:docGrid w:linePitch="360"/>
        </w:sectPr>
      </w:pPr>
    </w:p>
    <w:p w:rsidR="00F979AA" w:rsidRPr="00217236" w:rsidRDefault="00D440A3" w:rsidP="00D440A3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t>PŘÍLOHA Č. 1</w:t>
      </w:r>
    </w:p>
    <w:p w:rsidR="00F979AA" w:rsidRDefault="00D440A3" w:rsidP="00D440A3">
      <w:pPr>
        <w:widowControl w:val="0"/>
        <w:spacing w:before="120" w:after="60" w:line="276" w:lineRule="auto"/>
        <w:jc w:val="center"/>
        <w:rPr>
          <w:rFonts w:cs="Arial"/>
          <w:b/>
          <w:bCs/>
          <w:caps/>
          <w:szCs w:val="20"/>
          <w:lang w:eastAsia="en-US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Technické parametry nabízeného předmětu plnění</w:t>
      </w:r>
      <w:r w:rsidR="00AB02C8">
        <w:rPr>
          <w:rFonts w:cs="Arial"/>
          <w:b/>
          <w:bCs/>
          <w:caps/>
          <w:szCs w:val="20"/>
          <w:lang w:eastAsia="en-US"/>
        </w:rPr>
        <w:t xml:space="preserve"> – ČÁST 3 - </w:t>
      </w:r>
      <w:r w:rsidR="00AB02C8" w:rsidRPr="00AB02C8">
        <w:rPr>
          <w:rFonts w:cs="Arial"/>
          <w:b/>
          <w:bCs/>
          <w:caps/>
          <w:szCs w:val="20"/>
          <w:lang w:eastAsia="en-US"/>
        </w:rPr>
        <w:t>Optický spektrální analyzátor</w:t>
      </w:r>
    </w:p>
    <w:p w:rsidR="005408D7" w:rsidRPr="00717183" w:rsidRDefault="00717183" w:rsidP="00717183">
      <w:pPr>
        <w:suppressAutoHyphens w:val="0"/>
        <w:spacing w:line="276" w:lineRule="auto"/>
        <w:jc w:val="both"/>
        <w:rPr>
          <w:rFonts w:cs="Arial"/>
        </w:rPr>
      </w:pPr>
      <w:r w:rsidRPr="00717183">
        <w:rPr>
          <w:rFonts w:cs="Arial"/>
          <w:b/>
        </w:rPr>
        <w:t>Optický spektrální analyzátor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219"/>
        <w:gridCol w:w="3512"/>
        <w:gridCol w:w="3186"/>
        <w:gridCol w:w="1470"/>
      </w:tblGrid>
      <w:tr w:rsidR="009E0F49" w:rsidRPr="009E0F49" w:rsidTr="003B567D">
        <w:trPr>
          <w:cantSplit/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9E0F49" w:rsidRPr="009E0F49" w:rsidRDefault="009E0F49" w:rsidP="0092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D9D9D9" w:themeFill="background1" w:themeFillShade="D9"/>
            <w:vAlign w:val="center"/>
          </w:tcPr>
          <w:p w:rsidR="009E0F49" w:rsidRPr="009E0F49" w:rsidRDefault="009E0F49" w:rsidP="0092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:rsidR="009E0F49" w:rsidRPr="009E0F49" w:rsidRDefault="009E0F49" w:rsidP="003B56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9E0F49" w:rsidRPr="009E0F49" w:rsidRDefault="009E0F49" w:rsidP="003B56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9E0F49" w:rsidRDefault="009E0F49" w:rsidP="003B56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Pokrytí vlnových délek: 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min. od 1500 do 2100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1200-2400nm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Citlivost v pásmu 1500nm až 2100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alespoň -40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Min. -67dB</w:t>
            </w:r>
            <w:r w:rsidR="009C20C1">
              <w:rPr>
                <w:rFonts w:eastAsiaTheme="minorEastAsia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15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Rozlišení v celém rozsahu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lepší než 2000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2nm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Přeladitelné nastavení rozlišení 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min. v rozsahu 1,0 až 2,0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0,05 – 2nm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Integrovaný referenční zdroj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Maximální vstupní výkon 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alespoň +6 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dBm</w:t>
            </w:r>
            <w:proofErr w:type="spellEnd"/>
            <w:r w:rsidRPr="00717183">
              <w:rPr>
                <w:rFonts w:cs="Arial"/>
                <w:sz w:val="20"/>
                <w:szCs w:val="20"/>
              </w:rPr>
              <w:t xml:space="preserve"> v celém pásmu</w:t>
            </w:r>
          </w:p>
        </w:tc>
        <w:tc>
          <w:tcPr>
            <w:tcW w:w="1116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20dBm</w:t>
            </w:r>
          </w:p>
        </w:tc>
        <w:tc>
          <w:tcPr>
            <w:tcW w:w="515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Dynamický rozsah 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alespoň 50 dB v celém pásmu</w:t>
            </w:r>
          </w:p>
        </w:tc>
        <w:tc>
          <w:tcPr>
            <w:tcW w:w="1116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55dB</w:t>
            </w:r>
          </w:p>
        </w:tc>
        <w:tc>
          <w:tcPr>
            <w:tcW w:w="515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Zobrazení výkonu v 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dBm</w:t>
            </w:r>
            <w:proofErr w:type="spellEnd"/>
            <w:r w:rsidRPr="00717183">
              <w:rPr>
                <w:rFonts w:cs="Arial"/>
                <w:sz w:val="20"/>
                <w:szCs w:val="20"/>
              </w:rPr>
              <w:t xml:space="preserve"> na ose y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Možnost přepínání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nm</w:t>
            </w:r>
            <w:proofErr w:type="spellEnd"/>
            <w:r w:rsidRPr="00717183">
              <w:rPr>
                <w:rFonts w:cs="Arial"/>
                <w:sz w:val="20"/>
                <w:szCs w:val="20"/>
              </w:rPr>
              <w:t xml:space="preserve"> a cm</w:t>
            </w:r>
            <w:r w:rsidRPr="00717183">
              <w:rPr>
                <w:rFonts w:cs="Arial"/>
                <w:sz w:val="20"/>
                <w:szCs w:val="20"/>
                <w:vertAlign w:val="superscript"/>
              </w:rPr>
              <w:t>-1</w:t>
            </w:r>
            <w:r w:rsidRPr="00717183">
              <w:rPr>
                <w:rFonts w:cs="Arial"/>
                <w:sz w:val="20"/>
                <w:szCs w:val="20"/>
              </w:rPr>
              <w:t xml:space="preserve"> na ose x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116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515" w:type="pct"/>
            <w:vAlign w:val="center"/>
          </w:tcPr>
          <w:p w:rsidR="00717183" w:rsidRPr="009E0F49" w:rsidRDefault="009C20C1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Funkce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multi-trace</w:t>
            </w:r>
            <w:proofErr w:type="spellEnd"/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Integrovaný displej v zařízení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Otevřený (Free-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space</w:t>
            </w:r>
            <w:proofErr w:type="spellEnd"/>
            <w:r w:rsidRPr="00717183">
              <w:rPr>
                <w:rFonts w:cs="Arial"/>
                <w:sz w:val="20"/>
                <w:szCs w:val="20"/>
              </w:rPr>
              <w:t>) vstup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BF351A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Vstupní konektor typu FC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Vzdálené řízení prostřednictvím LAN/USB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Možnost připojení klávesnice a myši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 xml:space="preserve">Součástí dodávky i PC software včetně vývojových knihoven; možnost </w:t>
            </w:r>
            <w:proofErr w:type="spellStart"/>
            <w:r w:rsidRPr="00717183">
              <w:rPr>
                <w:rFonts w:cs="Arial"/>
                <w:sz w:val="20"/>
                <w:szCs w:val="20"/>
              </w:rPr>
              <w:t>LabView</w:t>
            </w:r>
            <w:proofErr w:type="spellEnd"/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 xml:space="preserve">ANO, AQ6370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eastAsia="cs-CZ"/>
              </w:rPr>
              <w:t>Viewer</w:t>
            </w:r>
            <w:proofErr w:type="spellEnd"/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717183" w:rsidRPr="009E0F49" w:rsidTr="003B567D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1828" w:type="pct"/>
            <w:vAlign w:val="center"/>
          </w:tcPr>
          <w:p w:rsidR="00717183" w:rsidRPr="00717183" w:rsidRDefault="00717183" w:rsidP="00717183">
            <w:pPr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Součástí jsou i 2 kalibrace přístroje a to po 12 a 24 měsících provozu</w:t>
            </w:r>
          </w:p>
        </w:tc>
        <w:tc>
          <w:tcPr>
            <w:tcW w:w="1230" w:type="pct"/>
            <w:vAlign w:val="center"/>
          </w:tcPr>
          <w:p w:rsidR="00717183" w:rsidRPr="00717183" w:rsidRDefault="00717183" w:rsidP="00717183">
            <w:pPr>
              <w:jc w:val="center"/>
              <w:rPr>
                <w:rFonts w:cs="Arial"/>
                <w:sz w:val="20"/>
                <w:szCs w:val="20"/>
              </w:rPr>
            </w:pPr>
            <w:r w:rsidRPr="00717183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717183" w:rsidRPr="009E0F49" w:rsidRDefault="00B64A9E" w:rsidP="003B56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F979AA" w:rsidRPr="00217236" w:rsidRDefault="00F979AA" w:rsidP="00927C5E">
      <w:pPr>
        <w:keepNext/>
        <w:tabs>
          <w:tab w:val="center" w:pos="1985"/>
        </w:tabs>
        <w:suppressAutoHyphens w:val="0"/>
        <w:spacing w:after="160"/>
        <w:rPr>
          <w:rFonts w:cs="Arial"/>
        </w:rPr>
      </w:pPr>
    </w:p>
    <w:p w:rsidR="00F979AA" w:rsidRPr="00217236" w:rsidRDefault="00F979AA">
      <w:pPr>
        <w:suppressAutoHyphens w:val="0"/>
        <w:spacing w:after="200" w:line="276" w:lineRule="auto"/>
        <w:rPr>
          <w:rFonts w:cs="Arial"/>
          <w:b/>
          <w:caps/>
          <w:szCs w:val="20"/>
          <w:lang w:eastAsia="en-US"/>
        </w:rPr>
        <w:sectPr w:rsidR="00F979AA" w:rsidRPr="00217236" w:rsidSect="0096550C">
          <w:headerReference w:type="default" r:id="rId12"/>
          <w:pgSz w:w="16838" w:h="11906" w:orient="landscape" w:code="9"/>
          <w:pgMar w:top="1418" w:right="1418" w:bottom="1985" w:left="1135" w:header="709" w:footer="403" w:gutter="0"/>
          <w:cols w:space="708"/>
          <w:docGrid w:linePitch="360"/>
        </w:sectPr>
      </w:pPr>
    </w:p>
    <w:p w:rsidR="00F979AA" w:rsidRPr="00217236" w:rsidRDefault="00D440A3" w:rsidP="00D440A3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t>PŘÍLOHA Č. 2</w:t>
      </w:r>
    </w:p>
    <w:p w:rsidR="00F979AA" w:rsidRPr="00D440A3" w:rsidRDefault="00D440A3" w:rsidP="00D440A3">
      <w:pPr>
        <w:widowControl w:val="0"/>
        <w:spacing w:before="120" w:after="60" w:line="276" w:lineRule="auto"/>
        <w:jc w:val="center"/>
        <w:rPr>
          <w:rFonts w:cs="Arial"/>
          <w:b/>
          <w:caps/>
          <w:szCs w:val="20"/>
          <w:lang w:eastAsia="en-US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Technická specifikace</w:t>
      </w:r>
    </w:p>
    <w:p w:rsidR="00014E2A" w:rsidRDefault="00014E2A" w:rsidP="002C7814">
      <w:pPr>
        <w:widowControl w:val="0"/>
        <w:spacing w:after="60" w:line="276" w:lineRule="auto"/>
        <w:jc w:val="center"/>
        <w:rPr>
          <w:rFonts w:cs="Arial"/>
          <w:b/>
          <w:caps/>
          <w:szCs w:val="20"/>
          <w:lang w:eastAsia="en-US"/>
        </w:rPr>
      </w:pPr>
    </w:p>
    <w:p w:rsidR="003B567D" w:rsidRDefault="00F42A86" w:rsidP="002C7814">
      <w:pPr>
        <w:widowControl w:val="0"/>
        <w:spacing w:after="60" w:line="276" w:lineRule="auto"/>
        <w:jc w:val="center"/>
        <w:rPr>
          <w:rFonts w:eastAsiaTheme="minorEastAsia" w:cs="Arial"/>
          <w:szCs w:val="20"/>
          <w:lang w:eastAsia="cs-CZ"/>
        </w:rPr>
      </w:pPr>
      <w:bookmarkStart w:id="8" w:name="_Hlk4070476"/>
      <w:r>
        <w:rPr>
          <w:rFonts w:eastAsiaTheme="minorEastAsia" w:cs="Arial"/>
          <w:szCs w:val="20"/>
          <w:lang w:eastAsia="cs-CZ"/>
        </w:rPr>
        <w:t>YOKOGAWA</w:t>
      </w:r>
      <w:r w:rsidR="005B3B7D">
        <w:rPr>
          <w:rFonts w:eastAsiaTheme="minorEastAsia" w:cs="Arial"/>
          <w:szCs w:val="20"/>
          <w:lang w:eastAsia="cs-CZ"/>
        </w:rPr>
        <w:t xml:space="preserve"> </w:t>
      </w:r>
      <w:r w:rsidR="0047290E">
        <w:rPr>
          <w:rFonts w:eastAsiaTheme="minorEastAsia" w:cs="Arial"/>
          <w:szCs w:val="20"/>
          <w:lang w:eastAsia="cs-CZ"/>
        </w:rPr>
        <w:t xml:space="preserve"> </w:t>
      </w:r>
      <w:r>
        <w:rPr>
          <w:rFonts w:eastAsiaTheme="minorEastAsia" w:cs="Arial"/>
          <w:szCs w:val="20"/>
          <w:lang w:eastAsia="cs-CZ"/>
        </w:rPr>
        <w:t>Optické spektrální analyzátory řady AQ6370,</w:t>
      </w:r>
      <w:r w:rsidR="003B567D">
        <w:rPr>
          <w:rFonts w:eastAsiaTheme="minorEastAsia" w:cs="Arial"/>
          <w:szCs w:val="20"/>
          <w:lang w:eastAsia="cs-CZ"/>
        </w:rPr>
        <w:t xml:space="preserve"> </w:t>
      </w:r>
    </w:p>
    <w:p w:rsidR="00B62F67" w:rsidRPr="00B62F67" w:rsidRDefault="00F42A86" w:rsidP="00B62F67">
      <w:pPr>
        <w:widowControl w:val="0"/>
        <w:spacing w:after="60" w:line="276" w:lineRule="auto"/>
        <w:jc w:val="center"/>
        <w:rPr>
          <w:rFonts w:eastAsiaTheme="minorEastAsia" w:cs="Arial"/>
          <w:szCs w:val="20"/>
          <w:lang w:eastAsia="cs-CZ"/>
        </w:rPr>
      </w:pPr>
      <w:r>
        <w:rPr>
          <w:rFonts w:eastAsiaTheme="minorEastAsia" w:cs="Arial"/>
          <w:szCs w:val="20"/>
          <w:lang w:eastAsia="cs-CZ"/>
        </w:rPr>
        <w:t>konkrétní model</w:t>
      </w:r>
      <w:r w:rsidR="003B567D">
        <w:rPr>
          <w:rFonts w:eastAsiaTheme="minorEastAsia" w:cs="Arial"/>
          <w:szCs w:val="20"/>
          <w:lang w:eastAsia="cs-CZ"/>
        </w:rPr>
        <w:t xml:space="preserve">: </w:t>
      </w:r>
      <w:r>
        <w:rPr>
          <w:rFonts w:eastAsiaTheme="minorEastAsia" w:cs="Arial"/>
          <w:szCs w:val="20"/>
          <w:lang w:eastAsia="cs-CZ"/>
        </w:rPr>
        <w:t>AQ6375B-10-L1-F/FC/RFC</w:t>
      </w:r>
      <w:bookmarkEnd w:id="8"/>
    </w:p>
    <w:sectPr w:rsidR="00B62F67" w:rsidRPr="00B62F67" w:rsidSect="004E2345">
      <w:headerReference w:type="default" r:id="rId13"/>
      <w:pgSz w:w="11906" w:h="16838" w:code="9"/>
      <w:pgMar w:top="1418" w:right="1418" w:bottom="1135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40" w:rsidRDefault="00784A40" w:rsidP="00EC5C5F">
      <w:r>
        <w:separator/>
      </w:r>
    </w:p>
  </w:endnote>
  <w:endnote w:type="continuationSeparator" w:id="0">
    <w:p w:rsidR="00784A40" w:rsidRDefault="00784A40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D7" w:rsidRDefault="005408D7" w:rsidP="00872F06">
    <w:pPr>
      <w:pStyle w:val="Zhlav"/>
      <w:ind w:firstLine="708"/>
      <w:jc w:val="center"/>
      <w:rPr>
        <w:rStyle w:val="slostrnky"/>
        <w:rFonts w:ascii="Calibri" w:hAnsi="Calibri" w:cs="Arial"/>
        <w:sz w:val="16"/>
        <w:szCs w:val="16"/>
      </w:rPr>
    </w:pPr>
  </w:p>
  <w:p w:rsidR="005408D7" w:rsidRPr="003B567D" w:rsidRDefault="005408D7" w:rsidP="00927C5E">
    <w:pPr>
      <w:pStyle w:val="Zpat"/>
      <w:jc w:val="right"/>
      <w:rPr>
        <w:rFonts w:cs="Arial"/>
        <w:b/>
        <w:sz w:val="20"/>
        <w:szCs w:val="18"/>
        <w:lang w:val="en-GB"/>
      </w:rPr>
    </w:pPr>
    <w:proofErr w:type="spellStart"/>
    <w:r w:rsidRPr="003B567D">
      <w:rPr>
        <w:rFonts w:cs="Arial"/>
        <w:sz w:val="18"/>
        <w:lang w:val="en-GB"/>
      </w:rPr>
      <w:t>Strana</w:t>
    </w:r>
    <w:proofErr w:type="spellEnd"/>
    <w:r w:rsidRPr="003B567D">
      <w:rPr>
        <w:rFonts w:cs="Arial"/>
        <w:sz w:val="18"/>
        <w:lang w:val="en-GB"/>
      </w:rPr>
      <w:t xml:space="preserve"> </w:t>
    </w:r>
    <w:r w:rsidRPr="003B567D">
      <w:rPr>
        <w:rStyle w:val="slostrnky"/>
        <w:rFonts w:cs="Arial"/>
        <w:sz w:val="18"/>
        <w:lang w:val="en-GB"/>
      </w:rPr>
      <w:fldChar w:fldCharType="begin"/>
    </w:r>
    <w:r w:rsidRPr="003B567D">
      <w:rPr>
        <w:rStyle w:val="slostrnky"/>
        <w:rFonts w:cs="Arial"/>
        <w:sz w:val="18"/>
        <w:lang w:val="en-GB"/>
      </w:rPr>
      <w:instrText xml:space="preserve"> PAGE </w:instrText>
    </w:r>
    <w:r w:rsidRPr="003B567D">
      <w:rPr>
        <w:rStyle w:val="slostrnky"/>
        <w:rFonts w:cs="Arial"/>
        <w:sz w:val="18"/>
        <w:lang w:val="en-GB"/>
      </w:rPr>
      <w:fldChar w:fldCharType="separate"/>
    </w:r>
    <w:r w:rsidR="00FD761E">
      <w:rPr>
        <w:rStyle w:val="slostrnky"/>
        <w:rFonts w:cs="Arial"/>
        <w:noProof/>
        <w:sz w:val="18"/>
        <w:lang w:val="en-GB"/>
      </w:rPr>
      <w:t>3</w:t>
    </w:r>
    <w:r w:rsidRPr="003B567D">
      <w:rPr>
        <w:rStyle w:val="slostrnky"/>
        <w:rFonts w:cs="Arial"/>
        <w:sz w:val="18"/>
        <w:lang w:val="en-GB"/>
      </w:rPr>
      <w:fldChar w:fldCharType="end"/>
    </w:r>
    <w:r w:rsidRPr="003B567D">
      <w:rPr>
        <w:rFonts w:cs="Arial"/>
        <w:sz w:val="18"/>
        <w:lang w:val="en-GB"/>
      </w:rPr>
      <w:t xml:space="preserve"> z </w:t>
    </w:r>
    <w:r w:rsidR="003B567D">
      <w:rPr>
        <w:rStyle w:val="slostrnky"/>
        <w:rFonts w:cs="Arial"/>
        <w:sz w:val="18"/>
        <w:lang w:val="en-GB"/>
      </w:rPr>
      <w:t>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D7" w:rsidRPr="00EC5C5F" w:rsidRDefault="005408D7" w:rsidP="009B0477">
    <w:pPr>
      <w:pStyle w:val="Zpat"/>
      <w:pBdr>
        <w:top w:val="single" w:sz="4" w:space="5" w:color="548DD4"/>
      </w:pBdr>
      <w:rPr>
        <w:rFonts w:ascii="Calibri" w:hAnsi="Calibri"/>
        <w:b/>
        <w:sz w:val="18"/>
        <w:szCs w:val="18"/>
      </w:rPr>
    </w:pPr>
    <w:proofErr w:type="spellStart"/>
    <w:r>
      <w:rPr>
        <w:rFonts w:ascii="Calibri" w:hAnsi="Calibri"/>
        <w:b/>
        <w:sz w:val="18"/>
        <w:szCs w:val="18"/>
      </w:rPr>
      <w:t>Institute</w:t>
    </w:r>
    <w:r w:rsidRPr="009B0477">
      <w:rPr>
        <w:rFonts w:ascii="Calibri" w:hAnsi="Calibri"/>
        <w:b/>
        <w:sz w:val="18"/>
        <w:szCs w:val="18"/>
      </w:rPr>
      <w:t>of</w:t>
    </w:r>
    <w:proofErr w:type="spellEnd"/>
    <w:r w:rsidRPr="009B0477">
      <w:rPr>
        <w:rFonts w:ascii="Calibri" w:hAnsi="Calibri"/>
        <w:b/>
        <w:sz w:val="18"/>
        <w:szCs w:val="18"/>
      </w:rPr>
      <w:t xml:space="preserve"> </w:t>
    </w:r>
    <w:proofErr w:type="spellStart"/>
    <w:r w:rsidRPr="009B0477">
      <w:rPr>
        <w:rFonts w:ascii="Calibri" w:hAnsi="Calibri"/>
        <w:b/>
        <w:sz w:val="18"/>
        <w:szCs w:val="18"/>
      </w:rPr>
      <w:t>Atmospheric</w:t>
    </w:r>
    <w:proofErr w:type="spellEnd"/>
    <w:r w:rsidRPr="009B0477">
      <w:rPr>
        <w:rFonts w:ascii="Calibri" w:hAnsi="Calibri"/>
        <w:b/>
        <w:sz w:val="18"/>
        <w:szCs w:val="18"/>
      </w:rPr>
      <w:t xml:space="preserve"> </w:t>
    </w:r>
    <w:proofErr w:type="spellStart"/>
    <w:r w:rsidRPr="009B0477">
      <w:rPr>
        <w:rFonts w:ascii="Calibri" w:hAnsi="Calibri"/>
        <w:b/>
        <w:sz w:val="18"/>
        <w:szCs w:val="18"/>
      </w:rPr>
      <w:t>Physics</w:t>
    </w:r>
    <w:proofErr w:type="spellEnd"/>
    <w:r w:rsidRPr="009B0477">
      <w:rPr>
        <w:rFonts w:ascii="Calibri" w:hAnsi="Calibri"/>
        <w:b/>
        <w:sz w:val="18"/>
        <w:szCs w:val="18"/>
      </w:rPr>
      <w:t xml:space="preserve"> CAS</w:t>
    </w:r>
    <w:r w:rsidRPr="00EC5C5F">
      <w:rPr>
        <w:rFonts w:ascii="Calibri" w:hAnsi="Calibri"/>
        <w:b/>
        <w:sz w:val="18"/>
        <w:szCs w:val="18"/>
      </w:rPr>
      <w:sym w:font="Symbol" w:char="F0B7"/>
    </w:r>
    <w:r>
      <w:rPr>
        <w:rFonts w:ascii="Calibri" w:hAnsi="Calibri"/>
        <w:b/>
        <w:sz w:val="18"/>
        <w:szCs w:val="18"/>
      </w:rPr>
      <w:t>CI No.</w:t>
    </w:r>
    <w:r w:rsidRPr="00EC5C5F">
      <w:rPr>
        <w:rFonts w:ascii="Calibri" w:hAnsi="Calibri"/>
        <w:b/>
        <w:sz w:val="18"/>
        <w:szCs w:val="18"/>
      </w:rPr>
      <w:t xml:space="preserve">: 68378289 </w:t>
    </w:r>
    <w:r w:rsidRPr="00EC5C5F">
      <w:rPr>
        <w:rFonts w:ascii="Calibri" w:hAnsi="Calibri"/>
        <w:b/>
        <w:sz w:val="18"/>
        <w:szCs w:val="18"/>
      </w:rPr>
      <w:sym w:font="Symbol" w:char="F0B7"/>
    </w:r>
    <w:r>
      <w:rPr>
        <w:rFonts w:ascii="Calibri" w:hAnsi="Calibri"/>
        <w:b/>
        <w:sz w:val="18"/>
        <w:szCs w:val="18"/>
      </w:rPr>
      <w:t>VAT</w:t>
    </w:r>
    <w:r w:rsidRPr="00EC5C5F">
      <w:rPr>
        <w:rFonts w:ascii="Calibri" w:hAnsi="Calibri"/>
        <w:b/>
        <w:sz w:val="18"/>
        <w:szCs w:val="18"/>
      </w:rPr>
      <w:t xml:space="preserve"> CZ68378289 </w:t>
    </w:r>
    <w:r w:rsidRPr="00EC5C5F">
      <w:rPr>
        <w:rFonts w:ascii="Calibri" w:hAnsi="Calibri"/>
        <w:b/>
        <w:sz w:val="18"/>
        <w:szCs w:val="18"/>
      </w:rPr>
      <w:sym w:font="Symbol" w:char="F0B7"/>
    </w:r>
    <w:hyperlink r:id="rId1" w:history="1">
      <w:r w:rsidRPr="00EC5C5F">
        <w:rPr>
          <w:rFonts w:ascii="Calibri" w:hAnsi="Calibri"/>
          <w:b/>
          <w:sz w:val="18"/>
          <w:szCs w:val="18"/>
        </w:rPr>
        <w:t>www.ufa.cas.cz</w:t>
      </w:r>
    </w:hyperlink>
    <w:r>
      <w:rPr>
        <w:rFonts w:ascii="Calibri" w:hAnsi="Calibri"/>
        <w:b/>
        <w:sz w:val="18"/>
        <w:szCs w:val="18"/>
      </w:rPr>
      <w:tab/>
    </w:r>
    <w:r w:rsidRPr="00172627">
      <w:rPr>
        <w:rFonts w:ascii="Calibri" w:hAnsi="Calibri"/>
        <w:sz w:val="16"/>
      </w:rPr>
      <w:t>Strana</w:t>
    </w:r>
    <w:r w:rsidRPr="00172627">
      <w:rPr>
        <w:rStyle w:val="slostrnky"/>
        <w:rFonts w:ascii="Calibri" w:hAnsi="Calibri"/>
        <w:sz w:val="16"/>
      </w:rPr>
      <w:fldChar w:fldCharType="begin"/>
    </w:r>
    <w:r w:rsidRPr="00172627">
      <w:rPr>
        <w:rStyle w:val="slostrnky"/>
        <w:rFonts w:ascii="Calibri" w:hAnsi="Calibri"/>
        <w:sz w:val="16"/>
      </w:rPr>
      <w:instrText xml:space="preserve"> PAGE </w:instrText>
    </w:r>
    <w:r w:rsidRPr="00172627">
      <w:rPr>
        <w:rStyle w:val="slostrnky"/>
        <w:rFonts w:ascii="Calibri" w:hAnsi="Calibri"/>
        <w:sz w:val="16"/>
      </w:rPr>
      <w:fldChar w:fldCharType="separate"/>
    </w:r>
    <w:r w:rsidRPr="00172627">
      <w:rPr>
        <w:rStyle w:val="slostrnky"/>
        <w:rFonts w:ascii="Calibri" w:hAnsi="Calibri"/>
        <w:sz w:val="16"/>
      </w:rPr>
      <w:t>1</w:t>
    </w:r>
    <w:r w:rsidRPr="00172627">
      <w:rPr>
        <w:rStyle w:val="slostrnky"/>
        <w:rFonts w:ascii="Calibri" w:hAnsi="Calibri"/>
        <w:sz w:val="16"/>
      </w:rPr>
      <w:fldChar w:fldCharType="end"/>
    </w:r>
    <w:r w:rsidRPr="00172627">
      <w:rPr>
        <w:rFonts w:ascii="Calibri" w:hAnsi="Calibri"/>
        <w:sz w:val="16"/>
      </w:rPr>
      <w:t xml:space="preserve"> z </w:t>
    </w:r>
    <w:r w:rsidRPr="00172627">
      <w:rPr>
        <w:rStyle w:val="slostrnky"/>
        <w:rFonts w:ascii="Calibri" w:hAnsi="Calibri"/>
        <w:sz w:val="16"/>
      </w:rPr>
      <w:fldChar w:fldCharType="begin"/>
    </w:r>
    <w:r w:rsidRPr="00172627">
      <w:rPr>
        <w:rStyle w:val="slostrnky"/>
        <w:rFonts w:ascii="Calibri" w:hAnsi="Calibri"/>
        <w:sz w:val="16"/>
      </w:rPr>
      <w:instrText xml:space="preserve"> NUMPAGES </w:instrText>
    </w:r>
    <w:r w:rsidRPr="00172627">
      <w:rPr>
        <w:rStyle w:val="slostrnky"/>
        <w:rFonts w:ascii="Calibri" w:hAnsi="Calibri"/>
        <w:sz w:val="16"/>
      </w:rPr>
      <w:fldChar w:fldCharType="separate"/>
    </w:r>
    <w:r w:rsidR="00916EA3">
      <w:rPr>
        <w:rStyle w:val="slostrnky"/>
        <w:rFonts w:ascii="Calibri" w:hAnsi="Calibri"/>
        <w:noProof/>
        <w:sz w:val="16"/>
      </w:rPr>
      <w:t>10</w:t>
    </w:r>
    <w:r w:rsidRPr="00172627">
      <w:rPr>
        <w:rStyle w:val="slostrnky"/>
        <w:rFonts w:ascii="Calibri" w:hAnsi="Calibri"/>
        <w:sz w:val="16"/>
      </w:rPr>
      <w:fldChar w:fldCharType="end"/>
    </w:r>
  </w:p>
  <w:p w:rsidR="005408D7" w:rsidRPr="009B0477" w:rsidRDefault="005408D7" w:rsidP="009B0477">
    <w:pPr>
      <w:pStyle w:val="Zpat"/>
      <w:pBdr>
        <w:top w:val="single" w:sz="4" w:space="5" w:color="548DD4"/>
      </w:pBdr>
      <w:rPr>
        <w:rFonts w:ascii="Calibri" w:hAnsi="Calibri"/>
        <w:sz w:val="18"/>
        <w:szCs w:val="18"/>
      </w:rPr>
    </w:pPr>
    <w:r w:rsidRPr="00EC5C5F">
      <w:rPr>
        <w:rFonts w:ascii="Calibri" w:hAnsi="Calibri"/>
        <w:sz w:val="18"/>
        <w:szCs w:val="18"/>
      </w:rPr>
      <w:t>Boční II 1401, 141 31</w:t>
    </w:r>
    <w:r>
      <w:rPr>
        <w:rFonts w:ascii="Calibri" w:hAnsi="Calibri"/>
        <w:sz w:val="18"/>
        <w:szCs w:val="18"/>
      </w:rPr>
      <w:t xml:space="preserve"> </w:t>
    </w:r>
    <w:r w:rsidRPr="00EC5C5F">
      <w:rPr>
        <w:rFonts w:ascii="Calibri" w:hAnsi="Calibri"/>
        <w:sz w:val="18"/>
        <w:szCs w:val="18"/>
      </w:rPr>
      <w:t xml:space="preserve">Praha 4 </w:t>
    </w:r>
    <w:r w:rsidRPr="00EC5C5F">
      <w:rPr>
        <w:rFonts w:ascii="Calibri" w:hAnsi="Calibri"/>
        <w:sz w:val="18"/>
        <w:szCs w:val="18"/>
      </w:rPr>
      <w:sym w:font="Symbol" w:char="F0B7"/>
    </w:r>
    <w:hyperlink r:id="rId2" w:history="1">
      <w:r w:rsidRPr="00EC5C5F">
        <w:rPr>
          <w:rStyle w:val="Hypertextovodkaz"/>
          <w:rFonts w:ascii="Calibri" w:hAnsi="Calibri"/>
          <w:sz w:val="18"/>
          <w:szCs w:val="18"/>
        </w:rPr>
        <w:t>ufa@ufa.cas.cz</w:t>
      </w:r>
    </w:hyperlink>
    <w:r w:rsidRPr="00EC5C5F">
      <w:rPr>
        <w:rFonts w:ascii="Calibri" w:hAnsi="Calibri"/>
        <w:sz w:val="18"/>
        <w:szCs w:val="18"/>
      </w:rPr>
      <w:sym w:font="Symbol" w:char="F0B7"/>
    </w:r>
    <w:r w:rsidRPr="00EC5C5F">
      <w:rPr>
        <w:rFonts w:ascii="Calibri" w:hAnsi="Calibri"/>
        <w:sz w:val="18"/>
        <w:szCs w:val="18"/>
      </w:rPr>
      <w:t xml:space="preserve"> tel. +420 272 764 336 </w:t>
    </w:r>
    <w:r w:rsidRPr="00EC5C5F">
      <w:rPr>
        <w:rFonts w:ascii="Calibri" w:hAnsi="Calibri"/>
        <w:sz w:val="18"/>
        <w:szCs w:val="18"/>
      </w:rPr>
      <w:sym w:font="Symbol" w:char="F0B7"/>
    </w:r>
    <w:r w:rsidRPr="00EC5C5F">
      <w:rPr>
        <w:rFonts w:ascii="Calibri" w:hAnsi="Calibri"/>
        <w:sz w:val="18"/>
        <w:szCs w:val="18"/>
      </w:rPr>
      <w:t xml:space="preserve"> fax: +420 272 763</w:t>
    </w:r>
    <w:r>
      <w:rPr>
        <w:rFonts w:ascii="Calibri" w:hAnsi="Calibri"/>
        <w:sz w:val="18"/>
        <w:szCs w:val="18"/>
      </w:rPr>
      <w:t> </w:t>
    </w:r>
    <w:r w:rsidRPr="00EC5C5F">
      <w:rPr>
        <w:rFonts w:ascii="Calibri" w:hAnsi="Calibri"/>
        <w:sz w:val="18"/>
        <w:szCs w:val="18"/>
      </w:rPr>
      <w:t>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40" w:rsidRDefault="00784A40" w:rsidP="00EC5C5F">
      <w:r>
        <w:separator/>
      </w:r>
    </w:p>
  </w:footnote>
  <w:footnote w:type="continuationSeparator" w:id="0">
    <w:p w:rsidR="00784A40" w:rsidRDefault="00784A40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5384"/>
    </w:tblGrid>
    <w:tr w:rsidR="005408D7" w:rsidTr="0055718C">
      <w:tc>
        <w:tcPr>
          <w:tcW w:w="2032" w:type="pct"/>
        </w:tcPr>
        <w:p w:rsidR="005408D7" w:rsidRPr="00474388" w:rsidRDefault="005408D7" w:rsidP="00265DA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</w:p>
      </w:tc>
      <w:tc>
        <w:tcPr>
          <w:tcW w:w="2968" w:type="pct"/>
          <w:vAlign w:val="center"/>
        </w:tcPr>
        <w:p w:rsidR="005408D7" w:rsidRDefault="005408D7" w:rsidP="00265DAA">
          <w:pPr>
            <w:pStyle w:val="Zhlav"/>
            <w:ind w:left="639" w:right="-76"/>
            <w:jc w:val="right"/>
          </w:pPr>
        </w:p>
      </w:tc>
    </w:tr>
  </w:tbl>
  <w:p w:rsidR="005408D7" w:rsidRPr="00B009E5" w:rsidRDefault="005408D7" w:rsidP="00872F06">
    <w:pPr>
      <w:tabs>
        <w:tab w:val="center" w:pos="4536"/>
        <w:tab w:val="right" w:pos="9072"/>
      </w:tabs>
      <w:suppressAutoHyphens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D7" w:rsidRPr="00FB763A" w:rsidRDefault="008D748C" w:rsidP="00FB763A">
    <w:pPr>
      <w:tabs>
        <w:tab w:val="right" w:pos="9072"/>
      </w:tabs>
      <w:suppressAutoHyphens w:val="0"/>
      <w:spacing w:before="900"/>
      <w:ind w:left="3260" w:hanging="3260"/>
      <w:jc w:val="right"/>
      <w:rPr>
        <w:szCs w:val="2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105025" cy="65468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8D7" w:rsidRPr="00FB763A">
      <w:rPr>
        <w:szCs w:val="22"/>
        <w:lang w:eastAsia="en-US"/>
      </w:rPr>
      <w:tab/>
    </w:r>
    <w:r w:rsidR="00FD761E">
      <w:rPr>
        <w:szCs w:val="22"/>
        <w:lang w:eastAsia="en-US"/>
      </w:rPr>
      <w:pict>
        <v:rect id="_x0000_i1025" style="width:290.6pt;height:.5pt" o:hralign="right" o:hrstd="t" o:hrnoshade="t" o:hr="t" fillcolor="black" stroked="f"/>
      </w:pict>
    </w:r>
  </w:p>
  <w:p w:rsidR="005408D7" w:rsidRDefault="00540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3"/>
      <w:gridCol w:w="9502"/>
    </w:tblGrid>
    <w:tr w:rsidR="005408D7" w:rsidTr="00A93E87">
      <w:tc>
        <w:tcPr>
          <w:tcW w:w="1674" w:type="pct"/>
        </w:tcPr>
        <w:p w:rsidR="005408D7" w:rsidRPr="00474388" w:rsidRDefault="005408D7" w:rsidP="00265DA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  <w:r w:rsidRPr="00F30F92"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Fakulta elektrotechnická</w:t>
          </w:r>
        </w:p>
      </w:tc>
      <w:tc>
        <w:tcPr>
          <w:tcW w:w="3326" w:type="pct"/>
          <w:vAlign w:val="center"/>
        </w:tcPr>
        <w:p w:rsidR="005408D7" w:rsidRDefault="00784A40" w:rsidP="00265DAA">
          <w:pPr>
            <w:pStyle w:val="Zhlav"/>
            <w:ind w:left="2342" w:right="-76"/>
            <w:jc w:val="right"/>
          </w:pPr>
          <w:r w:rsidRPr="003A1B1F">
            <w:rPr>
              <w:noProof/>
              <w:lang w:eastAsia="cs-CZ"/>
            </w:rPr>
            <w:drawing>
              <wp:inline distT="0" distB="0" distL="0" distR="0">
                <wp:extent cx="2066925" cy="1000125"/>
                <wp:effectExtent l="0" t="0" r="0" b="0"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08D7" w:rsidRPr="00B009E5" w:rsidRDefault="005408D7" w:rsidP="00872F06">
    <w:pPr>
      <w:tabs>
        <w:tab w:val="center" w:pos="4536"/>
        <w:tab w:val="right" w:pos="9072"/>
      </w:tabs>
      <w:suppressAutoHyphens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533"/>
    </w:tblGrid>
    <w:tr w:rsidR="006F18AD" w:rsidTr="006F18AD">
      <w:tc>
        <w:tcPr>
          <w:tcW w:w="2501" w:type="pct"/>
        </w:tcPr>
        <w:p w:rsidR="006F18AD" w:rsidRPr="00474388" w:rsidRDefault="006F18AD" w:rsidP="006F18AD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953"/>
            <w:rPr>
              <w:rFonts w:eastAsia="SimSun" w:cs="Arial"/>
              <w:b/>
              <w:caps/>
              <w:noProof/>
              <w:spacing w:val="8"/>
              <w:kern w:val="20"/>
            </w:rPr>
          </w:pPr>
          <w:r w:rsidRPr="00F30F92"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Fakulta elektrotechnická</w:t>
          </w:r>
        </w:p>
      </w:tc>
      <w:tc>
        <w:tcPr>
          <w:tcW w:w="2499" w:type="pct"/>
          <w:vAlign w:val="center"/>
        </w:tcPr>
        <w:p w:rsidR="006F18AD" w:rsidRDefault="00784A40" w:rsidP="006F18AD">
          <w:pPr>
            <w:pStyle w:val="Zhlav"/>
            <w:ind w:left="176" w:right="-76"/>
            <w:jc w:val="right"/>
          </w:pPr>
          <w:r w:rsidRPr="003A1B1F">
            <w:rPr>
              <w:noProof/>
              <w:lang w:eastAsia="cs-CZ"/>
            </w:rPr>
            <w:drawing>
              <wp:inline distT="0" distB="0" distL="0" distR="0">
                <wp:extent cx="2066925" cy="1000125"/>
                <wp:effectExtent l="0" t="0" r="0" b="0"/>
                <wp:docPr id="1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18AD" w:rsidRPr="00B009E5" w:rsidRDefault="006F18AD" w:rsidP="00872F06">
    <w:pPr>
      <w:tabs>
        <w:tab w:val="center" w:pos="4536"/>
        <w:tab w:val="right" w:pos="9072"/>
      </w:tabs>
      <w:suppressAutoHyphen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6C67"/>
    <w:multiLevelType w:val="hybridMultilevel"/>
    <w:tmpl w:val="D2B6150E"/>
    <w:lvl w:ilvl="0" w:tplc="E7F8A0E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522331"/>
    <w:multiLevelType w:val="hybridMultilevel"/>
    <w:tmpl w:val="256ACEE6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7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2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177F0"/>
    <w:multiLevelType w:val="hybridMultilevel"/>
    <w:tmpl w:val="1E9800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"/>
  </w:num>
  <w:num w:numId="5">
    <w:abstractNumId w:val="29"/>
  </w:num>
  <w:num w:numId="6">
    <w:abstractNumId w:val="29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34"/>
  </w:num>
  <w:num w:numId="12">
    <w:abstractNumId w:val="30"/>
  </w:num>
  <w:num w:numId="13">
    <w:abstractNumId w:val="35"/>
  </w:num>
  <w:num w:numId="14">
    <w:abstractNumId w:val="25"/>
  </w:num>
  <w:num w:numId="15">
    <w:abstractNumId w:val="25"/>
    <w:lvlOverride w:ilvl="0">
      <w:startOverride w:val="1"/>
    </w:lvlOverride>
  </w:num>
  <w:num w:numId="16">
    <w:abstractNumId w:val="22"/>
  </w:num>
  <w:num w:numId="17">
    <w:abstractNumId w:val="24"/>
  </w:num>
  <w:num w:numId="18">
    <w:abstractNumId w:val="21"/>
  </w:num>
  <w:num w:numId="19">
    <w:abstractNumId w:val="15"/>
  </w:num>
  <w:num w:numId="20">
    <w:abstractNumId w:val="7"/>
  </w:num>
  <w:num w:numId="21">
    <w:abstractNumId w:val="8"/>
  </w:num>
  <w:num w:numId="22">
    <w:abstractNumId w:val="0"/>
  </w:num>
  <w:num w:numId="23">
    <w:abstractNumId w:val="36"/>
  </w:num>
  <w:num w:numId="24">
    <w:abstractNumId w:val="32"/>
  </w:num>
  <w:num w:numId="25">
    <w:abstractNumId w:val="33"/>
  </w:num>
  <w:num w:numId="26">
    <w:abstractNumId w:val="10"/>
  </w:num>
  <w:num w:numId="27">
    <w:abstractNumId w:val="9"/>
  </w:num>
  <w:num w:numId="28">
    <w:abstractNumId w:val="17"/>
  </w:num>
  <w:num w:numId="29">
    <w:abstractNumId w:val="4"/>
  </w:num>
  <w:num w:numId="30">
    <w:abstractNumId w:val="23"/>
  </w:num>
  <w:num w:numId="31">
    <w:abstractNumId w:val="14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18"/>
  </w:num>
  <w:num w:numId="37">
    <w:abstractNumId w:val="5"/>
  </w:num>
  <w:num w:numId="38">
    <w:abstractNumId w:val="2"/>
  </w:num>
  <w:num w:numId="39">
    <w:abstractNumId w:val="11"/>
  </w:num>
  <w:num w:numId="40">
    <w:abstractNumId w:val="25"/>
  </w:num>
  <w:num w:numId="41">
    <w:abstractNumId w:val="26"/>
  </w:num>
  <w:num w:numId="42">
    <w:abstractNumId w:val="13"/>
  </w:num>
  <w:num w:numId="43">
    <w:abstractNumId w:val="20"/>
  </w:num>
  <w:num w:numId="44">
    <w:abstractNumId w:val="25"/>
  </w:num>
  <w:num w:numId="4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6700"/>
    <w:rsid w:val="00077E79"/>
    <w:rsid w:val="00085881"/>
    <w:rsid w:val="0008707D"/>
    <w:rsid w:val="000912E6"/>
    <w:rsid w:val="00092291"/>
    <w:rsid w:val="00095CCF"/>
    <w:rsid w:val="0009747C"/>
    <w:rsid w:val="000A0DAA"/>
    <w:rsid w:val="000A1CA7"/>
    <w:rsid w:val="000B00A0"/>
    <w:rsid w:val="000B3BA8"/>
    <w:rsid w:val="000B5647"/>
    <w:rsid w:val="000B79E2"/>
    <w:rsid w:val="000C7BB1"/>
    <w:rsid w:val="000D1594"/>
    <w:rsid w:val="000D318E"/>
    <w:rsid w:val="000D4E3F"/>
    <w:rsid w:val="000D69F5"/>
    <w:rsid w:val="000E1AF7"/>
    <w:rsid w:val="000E2E15"/>
    <w:rsid w:val="000E779F"/>
    <w:rsid w:val="000F0ACE"/>
    <w:rsid w:val="000F10ED"/>
    <w:rsid w:val="000F3714"/>
    <w:rsid w:val="000F5456"/>
    <w:rsid w:val="000F6CA5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5137A"/>
    <w:rsid w:val="001533CE"/>
    <w:rsid w:val="00155620"/>
    <w:rsid w:val="00156B6A"/>
    <w:rsid w:val="00161E46"/>
    <w:rsid w:val="00171009"/>
    <w:rsid w:val="0017255F"/>
    <w:rsid w:val="00172627"/>
    <w:rsid w:val="00174F32"/>
    <w:rsid w:val="0017576C"/>
    <w:rsid w:val="001762A9"/>
    <w:rsid w:val="00184BB0"/>
    <w:rsid w:val="00184DE6"/>
    <w:rsid w:val="001919FA"/>
    <w:rsid w:val="00192683"/>
    <w:rsid w:val="0019423F"/>
    <w:rsid w:val="001B34B2"/>
    <w:rsid w:val="001B5898"/>
    <w:rsid w:val="001B6C7A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6036D"/>
    <w:rsid w:val="0026069B"/>
    <w:rsid w:val="00262CFA"/>
    <w:rsid w:val="00265133"/>
    <w:rsid w:val="00265DAA"/>
    <w:rsid w:val="00284DA5"/>
    <w:rsid w:val="00290555"/>
    <w:rsid w:val="00290C14"/>
    <w:rsid w:val="002915D3"/>
    <w:rsid w:val="002B08A3"/>
    <w:rsid w:val="002B1D5F"/>
    <w:rsid w:val="002B2070"/>
    <w:rsid w:val="002B37D2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F47EA"/>
    <w:rsid w:val="002F4B62"/>
    <w:rsid w:val="002F4DFA"/>
    <w:rsid w:val="00302137"/>
    <w:rsid w:val="0030298F"/>
    <w:rsid w:val="00304E96"/>
    <w:rsid w:val="003065C0"/>
    <w:rsid w:val="00307126"/>
    <w:rsid w:val="00313732"/>
    <w:rsid w:val="00322215"/>
    <w:rsid w:val="00323612"/>
    <w:rsid w:val="0033126A"/>
    <w:rsid w:val="00335AA2"/>
    <w:rsid w:val="003367D0"/>
    <w:rsid w:val="003377A9"/>
    <w:rsid w:val="0034196F"/>
    <w:rsid w:val="00361F67"/>
    <w:rsid w:val="0036299E"/>
    <w:rsid w:val="00363B16"/>
    <w:rsid w:val="0037015A"/>
    <w:rsid w:val="003710ED"/>
    <w:rsid w:val="00371A63"/>
    <w:rsid w:val="003745D2"/>
    <w:rsid w:val="00384BDE"/>
    <w:rsid w:val="00392CA5"/>
    <w:rsid w:val="003A146B"/>
    <w:rsid w:val="003A1B1F"/>
    <w:rsid w:val="003A7F4F"/>
    <w:rsid w:val="003B51C6"/>
    <w:rsid w:val="003B567D"/>
    <w:rsid w:val="003B7F61"/>
    <w:rsid w:val="003C06F6"/>
    <w:rsid w:val="003C30F6"/>
    <w:rsid w:val="003C3CA7"/>
    <w:rsid w:val="003D0B6B"/>
    <w:rsid w:val="003D22C7"/>
    <w:rsid w:val="003E0A2D"/>
    <w:rsid w:val="003E6561"/>
    <w:rsid w:val="003F1C1C"/>
    <w:rsid w:val="00400B1A"/>
    <w:rsid w:val="00401749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2175"/>
    <w:rsid w:val="0044338A"/>
    <w:rsid w:val="004505DB"/>
    <w:rsid w:val="004508F6"/>
    <w:rsid w:val="00456B80"/>
    <w:rsid w:val="00461DA6"/>
    <w:rsid w:val="004704E3"/>
    <w:rsid w:val="0047128F"/>
    <w:rsid w:val="00471F20"/>
    <w:rsid w:val="0047290E"/>
    <w:rsid w:val="00474388"/>
    <w:rsid w:val="004767C8"/>
    <w:rsid w:val="0049180B"/>
    <w:rsid w:val="0049199B"/>
    <w:rsid w:val="00492CD6"/>
    <w:rsid w:val="00493976"/>
    <w:rsid w:val="00493A97"/>
    <w:rsid w:val="00493F03"/>
    <w:rsid w:val="004966CC"/>
    <w:rsid w:val="004A2046"/>
    <w:rsid w:val="004A64DE"/>
    <w:rsid w:val="004B0530"/>
    <w:rsid w:val="004C532C"/>
    <w:rsid w:val="004C7118"/>
    <w:rsid w:val="004D3818"/>
    <w:rsid w:val="004D5D00"/>
    <w:rsid w:val="004D6AE9"/>
    <w:rsid w:val="004E2345"/>
    <w:rsid w:val="004E3492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1FA3"/>
    <w:rsid w:val="00532B77"/>
    <w:rsid w:val="00534C3C"/>
    <w:rsid w:val="005408D7"/>
    <w:rsid w:val="00541A22"/>
    <w:rsid w:val="0054516F"/>
    <w:rsid w:val="00546D2F"/>
    <w:rsid w:val="00555196"/>
    <w:rsid w:val="0055718C"/>
    <w:rsid w:val="00587133"/>
    <w:rsid w:val="00587EF4"/>
    <w:rsid w:val="005A0203"/>
    <w:rsid w:val="005A0BCD"/>
    <w:rsid w:val="005A3886"/>
    <w:rsid w:val="005A7B30"/>
    <w:rsid w:val="005B1D1E"/>
    <w:rsid w:val="005B2A2F"/>
    <w:rsid w:val="005B3B7D"/>
    <w:rsid w:val="005B697F"/>
    <w:rsid w:val="005C019D"/>
    <w:rsid w:val="005C1F61"/>
    <w:rsid w:val="005C3271"/>
    <w:rsid w:val="005C38F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76A7"/>
    <w:rsid w:val="00690CF4"/>
    <w:rsid w:val="00693E16"/>
    <w:rsid w:val="00694541"/>
    <w:rsid w:val="00697748"/>
    <w:rsid w:val="006A487B"/>
    <w:rsid w:val="006A7A50"/>
    <w:rsid w:val="006B19E9"/>
    <w:rsid w:val="006C571E"/>
    <w:rsid w:val="006C715A"/>
    <w:rsid w:val="006D06EF"/>
    <w:rsid w:val="006D2C7D"/>
    <w:rsid w:val="006D3397"/>
    <w:rsid w:val="006D53B3"/>
    <w:rsid w:val="006D7713"/>
    <w:rsid w:val="006D7D82"/>
    <w:rsid w:val="006F1092"/>
    <w:rsid w:val="006F18AD"/>
    <w:rsid w:val="006F612E"/>
    <w:rsid w:val="006F621C"/>
    <w:rsid w:val="007014CC"/>
    <w:rsid w:val="00716E56"/>
    <w:rsid w:val="00717183"/>
    <w:rsid w:val="00726AB6"/>
    <w:rsid w:val="0073237B"/>
    <w:rsid w:val="00732853"/>
    <w:rsid w:val="00733C06"/>
    <w:rsid w:val="00734DC0"/>
    <w:rsid w:val="00741B5F"/>
    <w:rsid w:val="00746379"/>
    <w:rsid w:val="00747323"/>
    <w:rsid w:val="00752ABF"/>
    <w:rsid w:val="00752E0E"/>
    <w:rsid w:val="00753F4B"/>
    <w:rsid w:val="0076074E"/>
    <w:rsid w:val="00764306"/>
    <w:rsid w:val="00766828"/>
    <w:rsid w:val="007670C3"/>
    <w:rsid w:val="00771C38"/>
    <w:rsid w:val="00776F57"/>
    <w:rsid w:val="00776F95"/>
    <w:rsid w:val="00784A40"/>
    <w:rsid w:val="00787D20"/>
    <w:rsid w:val="007915DC"/>
    <w:rsid w:val="00792D51"/>
    <w:rsid w:val="00793164"/>
    <w:rsid w:val="00795FAF"/>
    <w:rsid w:val="007960CE"/>
    <w:rsid w:val="0079610A"/>
    <w:rsid w:val="007A2D2F"/>
    <w:rsid w:val="007A32A1"/>
    <w:rsid w:val="007A356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7718"/>
    <w:rsid w:val="007E04DD"/>
    <w:rsid w:val="007E12BE"/>
    <w:rsid w:val="007E27B3"/>
    <w:rsid w:val="007E6F13"/>
    <w:rsid w:val="007F11FF"/>
    <w:rsid w:val="007F26CC"/>
    <w:rsid w:val="007F4F3E"/>
    <w:rsid w:val="007F72DC"/>
    <w:rsid w:val="007F73B1"/>
    <w:rsid w:val="00807F4D"/>
    <w:rsid w:val="008166C3"/>
    <w:rsid w:val="00825A70"/>
    <w:rsid w:val="00825C53"/>
    <w:rsid w:val="00830028"/>
    <w:rsid w:val="00830505"/>
    <w:rsid w:val="00835260"/>
    <w:rsid w:val="00851D88"/>
    <w:rsid w:val="00857F16"/>
    <w:rsid w:val="008646A2"/>
    <w:rsid w:val="00872F06"/>
    <w:rsid w:val="00877DCC"/>
    <w:rsid w:val="008823D2"/>
    <w:rsid w:val="00884340"/>
    <w:rsid w:val="008850CD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D748C"/>
    <w:rsid w:val="008E025A"/>
    <w:rsid w:val="008E51D7"/>
    <w:rsid w:val="008E6C48"/>
    <w:rsid w:val="00901760"/>
    <w:rsid w:val="009025E4"/>
    <w:rsid w:val="00904906"/>
    <w:rsid w:val="009074C0"/>
    <w:rsid w:val="00916EA3"/>
    <w:rsid w:val="0092477C"/>
    <w:rsid w:val="009252D5"/>
    <w:rsid w:val="00927C5E"/>
    <w:rsid w:val="0094179C"/>
    <w:rsid w:val="00961A81"/>
    <w:rsid w:val="009629D5"/>
    <w:rsid w:val="0096303D"/>
    <w:rsid w:val="0096550C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C14DE"/>
    <w:rsid w:val="009C20C1"/>
    <w:rsid w:val="009C30E6"/>
    <w:rsid w:val="009C613C"/>
    <w:rsid w:val="009D0D6E"/>
    <w:rsid w:val="009D1AD2"/>
    <w:rsid w:val="009D43BE"/>
    <w:rsid w:val="009D4D41"/>
    <w:rsid w:val="009D71EE"/>
    <w:rsid w:val="009D7A2D"/>
    <w:rsid w:val="009E0F49"/>
    <w:rsid w:val="009E2479"/>
    <w:rsid w:val="009F6517"/>
    <w:rsid w:val="00A00819"/>
    <w:rsid w:val="00A06AB5"/>
    <w:rsid w:val="00A10552"/>
    <w:rsid w:val="00A109D6"/>
    <w:rsid w:val="00A10B89"/>
    <w:rsid w:val="00A16EB1"/>
    <w:rsid w:val="00A20B59"/>
    <w:rsid w:val="00A25F5B"/>
    <w:rsid w:val="00A30E92"/>
    <w:rsid w:val="00A36303"/>
    <w:rsid w:val="00A40103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738E"/>
    <w:rsid w:val="00A93E87"/>
    <w:rsid w:val="00A94858"/>
    <w:rsid w:val="00A961A3"/>
    <w:rsid w:val="00AA401D"/>
    <w:rsid w:val="00AB02C8"/>
    <w:rsid w:val="00AB7040"/>
    <w:rsid w:val="00AC2F2A"/>
    <w:rsid w:val="00AC64FC"/>
    <w:rsid w:val="00AC6BD4"/>
    <w:rsid w:val="00AD3370"/>
    <w:rsid w:val="00AE3D28"/>
    <w:rsid w:val="00AE5D47"/>
    <w:rsid w:val="00AF1608"/>
    <w:rsid w:val="00AF4B59"/>
    <w:rsid w:val="00AF684B"/>
    <w:rsid w:val="00B00629"/>
    <w:rsid w:val="00B009E5"/>
    <w:rsid w:val="00B0259A"/>
    <w:rsid w:val="00B0589F"/>
    <w:rsid w:val="00B131A9"/>
    <w:rsid w:val="00B22E15"/>
    <w:rsid w:val="00B30256"/>
    <w:rsid w:val="00B31B8B"/>
    <w:rsid w:val="00B34762"/>
    <w:rsid w:val="00B362B5"/>
    <w:rsid w:val="00B428B4"/>
    <w:rsid w:val="00B45E4F"/>
    <w:rsid w:val="00B47C37"/>
    <w:rsid w:val="00B6188D"/>
    <w:rsid w:val="00B62B7A"/>
    <w:rsid w:val="00B62F67"/>
    <w:rsid w:val="00B6425D"/>
    <w:rsid w:val="00B64A9E"/>
    <w:rsid w:val="00B653D0"/>
    <w:rsid w:val="00B70333"/>
    <w:rsid w:val="00B71252"/>
    <w:rsid w:val="00B757B1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4C16"/>
    <w:rsid w:val="00BC6CF5"/>
    <w:rsid w:val="00BD3C8A"/>
    <w:rsid w:val="00BD4E13"/>
    <w:rsid w:val="00BD629F"/>
    <w:rsid w:val="00BE1029"/>
    <w:rsid w:val="00BE3F37"/>
    <w:rsid w:val="00BE41C3"/>
    <w:rsid w:val="00BE60E8"/>
    <w:rsid w:val="00BE64EA"/>
    <w:rsid w:val="00BF1442"/>
    <w:rsid w:val="00BF351A"/>
    <w:rsid w:val="00BF46CC"/>
    <w:rsid w:val="00BF612F"/>
    <w:rsid w:val="00BF7D9C"/>
    <w:rsid w:val="00C00092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3EDA"/>
    <w:rsid w:val="00CA4458"/>
    <w:rsid w:val="00CC1C3A"/>
    <w:rsid w:val="00CC2A4B"/>
    <w:rsid w:val="00CD2600"/>
    <w:rsid w:val="00CE5BF9"/>
    <w:rsid w:val="00CF028D"/>
    <w:rsid w:val="00CF20FD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216BA"/>
    <w:rsid w:val="00D312C4"/>
    <w:rsid w:val="00D35224"/>
    <w:rsid w:val="00D440A3"/>
    <w:rsid w:val="00D4567E"/>
    <w:rsid w:val="00D46BF5"/>
    <w:rsid w:val="00D46EAA"/>
    <w:rsid w:val="00D54CE1"/>
    <w:rsid w:val="00D62248"/>
    <w:rsid w:val="00D6651A"/>
    <w:rsid w:val="00D76A87"/>
    <w:rsid w:val="00D84193"/>
    <w:rsid w:val="00D90797"/>
    <w:rsid w:val="00D91CC3"/>
    <w:rsid w:val="00D97182"/>
    <w:rsid w:val="00DA01E5"/>
    <w:rsid w:val="00DA7491"/>
    <w:rsid w:val="00DB25E2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029C1"/>
    <w:rsid w:val="00E0632F"/>
    <w:rsid w:val="00E11DAB"/>
    <w:rsid w:val="00E123FE"/>
    <w:rsid w:val="00E146BA"/>
    <w:rsid w:val="00E150FF"/>
    <w:rsid w:val="00E15907"/>
    <w:rsid w:val="00E15A8F"/>
    <w:rsid w:val="00E16BB9"/>
    <w:rsid w:val="00E23610"/>
    <w:rsid w:val="00E24298"/>
    <w:rsid w:val="00E34256"/>
    <w:rsid w:val="00E34B83"/>
    <w:rsid w:val="00E452BC"/>
    <w:rsid w:val="00E56F23"/>
    <w:rsid w:val="00E5711B"/>
    <w:rsid w:val="00E63C9B"/>
    <w:rsid w:val="00E64B85"/>
    <w:rsid w:val="00E703C6"/>
    <w:rsid w:val="00E72A81"/>
    <w:rsid w:val="00E74B33"/>
    <w:rsid w:val="00E816CE"/>
    <w:rsid w:val="00E91CF5"/>
    <w:rsid w:val="00EA36D5"/>
    <w:rsid w:val="00EA39AC"/>
    <w:rsid w:val="00EA66A8"/>
    <w:rsid w:val="00EB759B"/>
    <w:rsid w:val="00EB7AFE"/>
    <w:rsid w:val="00EC213F"/>
    <w:rsid w:val="00EC5C5F"/>
    <w:rsid w:val="00EC5E53"/>
    <w:rsid w:val="00EC7CF9"/>
    <w:rsid w:val="00ED0619"/>
    <w:rsid w:val="00ED5E64"/>
    <w:rsid w:val="00ED6E11"/>
    <w:rsid w:val="00EE36F9"/>
    <w:rsid w:val="00EE58C4"/>
    <w:rsid w:val="00EE762C"/>
    <w:rsid w:val="00EF27E4"/>
    <w:rsid w:val="00EF4152"/>
    <w:rsid w:val="00EF7CE6"/>
    <w:rsid w:val="00F023D0"/>
    <w:rsid w:val="00F02E8B"/>
    <w:rsid w:val="00F040F3"/>
    <w:rsid w:val="00F07DCC"/>
    <w:rsid w:val="00F13A17"/>
    <w:rsid w:val="00F13D43"/>
    <w:rsid w:val="00F1484F"/>
    <w:rsid w:val="00F15512"/>
    <w:rsid w:val="00F30F92"/>
    <w:rsid w:val="00F4051D"/>
    <w:rsid w:val="00F42494"/>
    <w:rsid w:val="00F42A86"/>
    <w:rsid w:val="00F43ADF"/>
    <w:rsid w:val="00F43E7D"/>
    <w:rsid w:val="00F54F97"/>
    <w:rsid w:val="00F6023C"/>
    <w:rsid w:val="00F62F4E"/>
    <w:rsid w:val="00F67FCB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6D81"/>
    <w:rsid w:val="00FB2B46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D761E"/>
    <w:rsid w:val="00FE146C"/>
    <w:rsid w:val="00FE7A46"/>
    <w:rsid w:val="00FF1F6A"/>
    <w:rsid w:val="00FF334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9A951B1"/>
  <w14:defaultImageDpi w14:val="0"/>
  <w15:docId w15:val="{74726E4D-A5CB-491B-B9DD-8E859A39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 w:bidi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 w:bidi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 w:val="24"/>
      <w:szCs w:val="24"/>
      <w:lang w:val="cs-CZ" w:eastAsia="ar-SA" w:bidi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0"/>
      <w:lang w:val="x-none" w:eastAsia="ar-SA" w:bidi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val="x-none"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val="x-none"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val="x-none"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B0259A"/>
    <w:rPr>
      <w:rFonts w:ascii="Courier New" w:hAnsi="Courier New" w:cs="Courier New"/>
      <w:sz w:val="20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locked/>
    <w:rsid w:val="00BF35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a@ufa.cas.cz" TargetMode="External"/><Relationship Id="rId1" Type="http://schemas.openxmlformats.org/officeDocument/2006/relationships/hyperlink" Target="http://www.ufa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77A8-C9ED-4753-B239-E29DEB8B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FC39FFCA.dotm</Template>
  <TotalTime>3</TotalTime>
  <Pages>10</Pages>
  <Words>2404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subject/>
  <dc:creator>Marta Arazimova</dc:creator>
  <cp:keywords/>
  <dc:description/>
  <cp:lastModifiedBy>Smajsova, Radka</cp:lastModifiedBy>
  <cp:revision>3</cp:revision>
  <cp:lastPrinted>2019-08-16T09:26:00Z</cp:lastPrinted>
  <dcterms:created xsi:type="dcterms:W3CDTF">2019-09-04T07:39:00Z</dcterms:created>
  <dcterms:modified xsi:type="dcterms:W3CDTF">2019-09-04T07:42:00Z</dcterms:modified>
</cp:coreProperties>
</file>