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70CF" w14:textId="77777777" w:rsidR="000F74F5" w:rsidRPr="008D6FF2" w:rsidRDefault="000F74F5" w:rsidP="000F74F5">
      <w:pPr>
        <w:ind w:left="-142"/>
        <w:jc w:val="center"/>
        <w:rPr>
          <w:b/>
          <w:sz w:val="28"/>
          <w:u w:val="single"/>
        </w:rPr>
      </w:pPr>
      <w:r w:rsidRPr="008D6FF2">
        <w:rPr>
          <w:b/>
        </w:rPr>
        <w:t>Příloha č.</w:t>
      </w:r>
      <w:r w:rsidRPr="008D6FF2">
        <w:rPr>
          <w:color w:val="000000"/>
        </w:rPr>
        <w:t xml:space="preserve"> </w:t>
      </w:r>
      <w:r w:rsidRPr="008D6FF2">
        <w:rPr>
          <w:b/>
          <w:color w:val="000000"/>
        </w:rPr>
        <w:fldChar w:fldCharType="begin"/>
      </w:r>
      <w:r w:rsidRPr="008D6FF2">
        <w:rPr>
          <w:b/>
          <w:color w:val="000000"/>
        </w:rPr>
        <w:instrText xml:space="preserve"> DOCVARIABLE vtp3cs </w:instrText>
      </w:r>
      <w:r w:rsidRPr="008D6FF2">
        <w:rPr>
          <w:b/>
          <w:color w:val="000000"/>
        </w:rPr>
        <w:fldChar w:fldCharType="separate"/>
      </w:r>
      <w:r w:rsidRPr="008D6FF2">
        <w:rPr>
          <w:b/>
          <w:color w:val="000000"/>
        </w:rPr>
        <w:t>2</w:t>
      </w:r>
      <w:r w:rsidRPr="008D6FF2">
        <w:rPr>
          <w:b/>
          <w:color w:val="000000"/>
        </w:rPr>
        <w:fldChar w:fldCharType="end"/>
      </w:r>
      <w:r w:rsidRPr="008D6FF2">
        <w:rPr>
          <w:b/>
        </w:rPr>
        <w:t xml:space="preserve"> k Jednotné odběratelské smlouvě č. </w:t>
      </w:r>
      <w:r w:rsidR="001B5444">
        <w:rPr>
          <w:b/>
        </w:rPr>
        <w:t>08/294882</w:t>
      </w:r>
    </w:p>
    <w:p w14:paraId="63329E52" w14:textId="77777777" w:rsidR="000F74F5" w:rsidRPr="008D6FF2" w:rsidRDefault="000F74F5" w:rsidP="000F74F5">
      <w:pPr>
        <w:tabs>
          <w:tab w:val="left" w:pos="11080"/>
        </w:tabs>
        <w:jc w:val="center"/>
      </w:pPr>
      <w:r w:rsidRPr="008D6FF2">
        <w:t>(technická část)</w:t>
      </w:r>
    </w:p>
    <w:p w14:paraId="27F0A9ED" w14:textId="77777777" w:rsidR="00870453" w:rsidRPr="008D6FF2" w:rsidRDefault="00870453" w:rsidP="000F74F5">
      <w:pPr>
        <w:tabs>
          <w:tab w:val="left" w:pos="11080"/>
        </w:tabs>
        <w:jc w:val="center"/>
      </w:pPr>
    </w:p>
    <w:p w14:paraId="56B39F6B" w14:textId="77777777" w:rsidR="00D86EB1" w:rsidRPr="00255001" w:rsidRDefault="00255001" w:rsidP="00255001">
      <w:pPr>
        <w:tabs>
          <w:tab w:val="left" w:pos="11080"/>
        </w:tabs>
        <w:jc w:val="left"/>
        <w:rPr>
          <w:b/>
          <w:bCs/>
          <w:sz w:val="22"/>
          <w:szCs w:val="22"/>
        </w:rPr>
      </w:pPr>
      <w:r w:rsidRPr="00255001">
        <w:rPr>
          <w:b/>
          <w:bCs/>
          <w:sz w:val="22"/>
          <w:szCs w:val="22"/>
        </w:rPr>
        <w:t>A.</w:t>
      </w:r>
      <w:r>
        <w:rPr>
          <w:b/>
          <w:bCs/>
          <w:sz w:val="22"/>
          <w:szCs w:val="22"/>
        </w:rPr>
        <w:t xml:space="preserve"> </w:t>
      </w:r>
      <w:r w:rsidR="00D86EB1" w:rsidRPr="00255001">
        <w:rPr>
          <w:b/>
          <w:bCs/>
          <w:sz w:val="22"/>
          <w:szCs w:val="22"/>
        </w:rPr>
        <w:t>Přehled celkové produkce odpadních vod odběratelem</w:t>
      </w:r>
    </w:p>
    <w:tbl>
      <w:tblPr>
        <w:tblW w:w="9072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405"/>
        <w:gridCol w:w="2667"/>
        <w:gridCol w:w="8"/>
        <w:gridCol w:w="3999"/>
      </w:tblGrid>
      <w:tr w:rsidR="00D86EB1" w:rsidRPr="008D6FF2" w14:paraId="06B7CB8B" w14:textId="77777777" w:rsidTr="00D256BC">
        <w:trPr>
          <w:cantSplit/>
          <w:trHeight w:val="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3F7C029" w14:textId="77777777" w:rsidR="00D86EB1" w:rsidRPr="00BD14D3" w:rsidRDefault="00D86EB1" w:rsidP="00442D43">
            <w:pPr>
              <w:ind w:left="-153"/>
              <w:jc w:val="center"/>
              <w:rPr>
                <w:b/>
                <w:sz w:val="20"/>
              </w:rPr>
            </w:pPr>
            <w:proofErr w:type="spellStart"/>
            <w:r w:rsidRPr="00BD14D3">
              <w:rPr>
                <w:b/>
                <w:sz w:val="20"/>
              </w:rPr>
              <w:t>Poř</w:t>
            </w:r>
            <w:proofErr w:type="spellEnd"/>
            <w:r w:rsidR="00255001">
              <w:rPr>
                <w:b/>
                <w:sz w:val="20"/>
              </w:rPr>
              <w:t>.</w:t>
            </w:r>
            <w:r w:rsidR="00BD14D3" w:rsidRPr="00BD14D3">
              <w:rPr>
                <w:b/>
                <w:sz w:val="20"/>
              </w:rPr>
              <w:br/>
            </w:r>
            <w:r w:rsidRPr="00BD14D3">
              <w:rPr>
                <w:b/>
                <w:sz w:val="20"/>
              </w:rPr>
              <w:t>číslo</w:t>
            </w:r>
          </w:p>
        </w:tc>
        <w:tc>
          <w:tcPr>
            <w:tcW w:w="1405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293BB24" w14:textId="77777777" w:rsidR="00D86EB1" w:rsidRPr="00BD14D3" w:rsidRDefault="00D86EB1" w:rsidP="00442D43">
            <w:pPr>
              <w:jc w:val="center"/>
              <w:rPr>
                <w:b/>
                <w:sz w:val="20"/>
              </w:rPr>
            </w:pPr>
            <w:r w:rsidRPr="00BD14D3">
              <w:rPr>
                <w:b/>
                <w:sz w:val="20"/>
              </w:rPr>
              <w:t>Zdroj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7F0A2D" w14:textId="77777777" w:rsidR="00D86EB1" w:rsidRPr="00BD14D3" w:rsidRDefault="00D86EB1" w:rsidP="00442D43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BD14D3">
              <w:rPr>
                <w:b/>
              </w:rPr>
              <w:t>Množství produkované OV</w:t>
            </w:r>
          </w:p>
        </w:tc>
        <w:tc>
          <w:tcPr>
            <w:tcW w:w="4007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B63FBB" w14:textId="77777777" w:rsidR="00D86EB1" w:rsidRPr="00BD14D3" w:rsidRDefault="00D86EB1" w:rsidP="00442D43">
            <w:pPr>
              <w:jc w:val="center"/>
              <w:rPr>
                <w:b/>
                <w:sz w:val="20"/>
              </w:rPr>
            </w:pPr>
            <w:r w:rsidRPr="00BD14D3">
              <w:rPr>
                <w:b/>
                <w:sz w:val="20"/>
              </w:rPr>
              <w:t>Poznámka</w:t>
            </w:r>
          </w:p>
        </w:tc>
      </w:tr>
      <w:tr w:rsidR="00D86EB1" w:rsidRPr="008D6FF2" w14:paraId="47D5425D" w14:textId="77777777" w:rsidTr="00D256BC">
        <w:trPr>
          <w:cantSplit/>
          <w:trHeight w:val="4"/>
        </w:trPr>
        <w:tc>
          <w:tcPr>
            <w:tcW w:w="993" w:type="dxa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4084878" w14:textId="77777777" w:rsidR="00D86EB1" w:rsidRPr="008D6FF2" w:rsidRDefault="00D86EB1" w:rsidP="008C7DC9">
            <w:pPr>
              <w:jc w:val="center"/>
              <w:rPr>
                <w:sz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CD10D8A" w14:textId="77777777" w:rsidR="00D86EB1" w:rsidRPr="008D6FF2" w:rsidRDefault="00D86EB1" w:rsidP="008C7DC9">
            <w:pPr>
              <w:rPr>
                <w:sz w:val="20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B016131" w14:textId="77777777" w:rsidR="00D86EB1" w:rsidRPr="00BD14D3" w:rsidRDefault="00D86EB1" w:rsidP="008C7DC9">
            <w:pPr>
              <w:jc w:val="center"/>
              <w:rPr>
                <w:b/>
                <w:sz w:val="20"/>
              </w:rPr>
            </w:pPr>
            <w:r w:rsidRPr="00BD14D3">
              <w:rPr>
                <w:b/>
                <w:sz w:val="20"/>
              </w:rPr>
              <w:t>Max. m</w:t>
            </w:r>
            <w:r w:rsidRPr="00BD14D3">
              <w:rPr>
                <w:b/>
                <w:sz w:val="20"/>
                <w:vertAlign w:val="superscript"/>
              </w:rPr>
              <w:t>3</w:t>
            </w:r>
            <w:r w:rsidRPr="00BD14D3">
              <w:rPr>
                <w:b/>
                <w:sz w:val="20"/>
              </w:rPr>
              <w:t>/rok</w:t>
            </w:r>
          </w:p>
        </w:tc>
        <w:tc>
          <w:tcPr>
            <w:tcW w:w="4007" w:type="dxa"/>
            <w:gridSpan w:val="2"/>
            <w:vMerge/>
            <w:tcBorders>
              <w:left w:val="nil"/>
              <w:bottom w:val="double" w:sz="4" w:space="0" w:color="auto"/>
              <w:right w:val="single" w:sz="12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EFA6A84" w14:textId="77777777" w:rsidR="00D86EB1" w:rsidRPr="008D6FF2" w:rsidRDefault="00D86EB1" w:rsidP="008C7DC9">
            <w:pPr>
              <w:rPr>
                <w:sz w:val="20"/>
              </w:rPr>
            </w:pPr>
          </w:p>
        </w:tc>
      </w:tr>
      <w:tr w:rsidR="00D86EB1" w:rsidRPr="008D6FF2" w14:paraId="25EBE4C3" w14:textId="77777777" w:rsidTr="00D256BC">
        <w:trPr>
          <w:cantSplit/>
          <w:trHeight w:val="3"/>
        </w:trPr>
        <w:tc>
          <w:tcPr>
            <w:tcW w:w="99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B5FBFA7" w14:textId="77777777" w:rsidR="00D86EB1" w:rsidRPr="008D6FF2" w:rsidRDefault="00D86EB1" w:rsidP="008C7DC9">
            <w:pPr>
              <w:jc w:val="center"/>
              <w:rPr>
                <w:sz w:val="20"/>
              </w:rPr>
            </w:pPr>
            <w:r w:rsidRPr="008D6FF2">
              <w:rPr>
                <w:sz w:val="20"/>
              </w:rPr>
              <w:t>1</w:t>
            </w:r>
          </w:p>
        </w:tc>
        <w:tc>
          <w:tcPr>
            <w:tcW w:w="1405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34849A8" w14:textId="77777777" w:rsidR="00D86EB1" w:rsidRPr="008D6FF2" w:rsidRDefault="00D86EB1" w:rsidP="008C7DC9">
            <w:pPr>
              <w:jc w:val="center"/>
              <w:rPr>
                <w:sz w:val="20"/>
              </w:rPr>
            </w:pPr>
            <w:r w:rsidRPr="008D6FF2">
              <w:rPr>
                <w:sz w:val="20"/>
              </w:rPr>
              <w:t>Vodovod</w:t>
            </w:r>
          </w:p>
        </w:tc>
        <w:tc>
          <w:tcPr>
            <w:tcW w:w="2667" w:type="dxa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73E594C" w14:textId="77777777" w:rsidR="00D86EB1" w:rsidRPr="008D6FF2" w:rsidRDefault="00F635B4" w:rsidP="008C7D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EE5274">
              <w:rPr>
                <w:sz w:val="20"/>
              </w:rPr>
              <w:t> 0</w:t>
            </w:r>
            <w:r>
              <w:rPr>
                <w:sz w:val="20"/>
              </w:rPr>
              <w:t>0</w:t>
            </w:r>
            <w:r w:rsidR="00A64EC2">
              <w:rPr>
                <w:sz w:val="20"/>
              </w:rPr>
              <w:t>0</w:t>
            </w:r>
          </w:p>
        </w:tc>
        <w:tc>
          <w:tcPr>
            <w:tcW w:w="400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DF472FA" w14:textId="77777777" w:rsidR="00D86EB1" w:rsidRPr="008D6FF2" w:rsidRDefault="00D86EB1" w:rsidP="008C7DC9">
            <w:pPr>
              <w:jc w:val="center"/>
              <w:rPr>
                <w:sz w:val="20"/>
              </w:rPr>
            </w:pPr>
            <w:r w:rsidRPr="008D6FF2">
              <w:rPr>
                <w:sz w:val="20"/>
              </w:rPr>
              <w:t>Pitná voda z vodovodu k veřejné potřebě</w:t>
            </w:r>
          </w:p>
        </w:tc>
      </w:tr>
      <w:tr w:rsidR="00D86EB1" w:rsidRPr="008D6FF2" w14:paraId="09207F21" w14:textId="77777777" w:rsidTr="00D256BC">
        <w:trPr>
          <w:cantSplit/>
          <w:trHeight w:val="3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5B3D272" w14:textId="77777777" w:rsidR="00D86EB1" w:rsidRPr="008D6FF2" w:rsidRDefault="00D86EB1" w:rsidP="008C7DC9">
            <w:pPr>
              <w:jc w:val="center"/>
              <w:rPr>
                <w:sz w:val="20"/>
              </w:rPr>
            </w:pPr>
            <w:r w:rsidRPr="008D6FF2">
              <w:rPr>
                <w:sz w:val="20"/>
              </w:rPr>
              <w:t>-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E9D55CD" w14:textId="77777777" w:rsidR="00D86EB1" w:rsidRPr="008D6FF2" w:rsidRDefault="00D86EB1" w:rsidP="008C7DC9">
            <w:pPr>
              <w:jc w:val="center"/>
              <w:rPr>
                <w:sz w:val="20"/>
              </w:rPr>
            </w:pPr>
            <w:r w:rsidRPr="008D6FF2">
              <w:rPr>
                <w:sz w:val="20"/>
              </w:rPr>
              <w:t>-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4F17303" w14:textId="77777777" w:rsidR="00D86EB1" w:rsidRPr="008D6FF2" w:rsidRDefault="00D86EB1" w:rsidP="008C7DC9">
            <w:pPr>
              <w:pStyle w:val="Zhlav"/>
              <w:tabs>
                <w:tab w:val="clear" w:pos="4536"/>
                <w:tab w:val="clear" w:pos="9072"/>
              </w:tabs>
              <w:jc w:val="center"/>
            </w:pPr>
            <w:r w:rsidRPr="008D6FF2">
              <w:t>-</w:t>
            </w:r>
          </w:p>
        </w:tc>
        <w:tc>
          <w:tcPr>
            <w:tcW w:w="400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DD61641" w14:textId="77777777" w:rsidR="00D86EB1" w:rsidRPr="008D6FF2" w:rsidRDefault="00D86EB1" w:rsidP="008C7DC9">
            <w:pPr>
              <w:jc w:val="center"/>
              <w:rPr>
                <w:sz w:val="20"/>
              </w:rPr>
            </w:pPr>
            <w:r w:rsidRPr="008D6FF2">
              <w:rPr>
                <w:sz w:val="20"/>
              </w:rPr>
              <w:t>-</w:t>
            </w:r>
          </w:p>
        </w:tc>
      </w:tr>
      <w:tr w:rsidR="00D86EB1" w:rsidRPr="008D6FF2" w14:paraId="76554588" w14:textId="77777777" w:rsidTr="00D256BC">
        <w:trPr>
          <w:gridAfter w:val="1"/>
          <w:wAfter w:w="3999" w:type="dxa"/>
          <w:cantSplit/>
          <w:trHeight w:val="4"/>
        </w:trPr>
        <w:tc>
          <w:tcPr>
            <w:tcW w:w="50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EB9BB5A" w14:textId="77777777" w:rsidR="00D86EB1" w:rsidRPr="008D6FF2" w:rsidRDefault="00BD14D3" w:rsidP="00BD14D3">
            <w:pPr>
              <w:tabs>
                <w:tab w:val="left" w:pos="558"/>
                <w:tab w:val="left" w:pos="3533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="00D86EB1" w:rsidRPr="00BD14D3">
              <w:rPr>
                <w:b/>
                <w:sz w:val="20"/>
              </w:rPr>
              <w:t>CELKEM</w:t>
            </w:r>
            <w:r w:rsidRPr="00BD14D3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 w:rsidR="00F635B4">
              <w:rPr>
                <w:sz w:val="20"/>
              </w:rPr>
              <w:t>2</w:t>
            </w:r>
            <w:r w:rsidR="00EE5274">
              <w:rPr>
                <w:sz w:val="20"/>
              </w:rPr>
              <w:t> 0</w:t>
            </w:r>
            <w:r w:rsidR="00F635B4">
              <w:rPr>
                <w:sz w:val="20"/>
              </w:rPr>
              <w:t>0</w:t>
            </w:r>
            <w:r w:rsidR="00A64EC2">
              <w:rPr>
                <w:sz w:val="20"/>
              </w:rPr>
              <w:t>0</w:t>
            </w:r>
          </w:p>
        </w:tc>
      </w:tr>
    </w:tbl>
    <w:p w14:paraId="40596A71" w14:textId="77777777" w:rsidR="00870453" w:rsidRPr="00EB65AE" w:rsidRDefault="00870453" w:rsidP="00D86EB1">
      <w:pPr>
        <w:tabs>
          <w:tab w:val="left" w:pos="11080"/>
        </w:tabs>
        <w:jc w:val="left"/>
        <w:rPr>
          <w:sz w:val="20"/>
        </w:rPr>
      </w:pPr>
    </w:p>
    <w:p w14:paraId="41554A97" w14:textId="77777777" w:rsidR="00D86EB1" w:rsidRPr="008D6FF2" w:rsidRDefault="00D86EB1" w:rsidP="00D86EB1">
      <w:pPr>
        <w:tabs>
          <w:tab w:val="left" w:pos="11080"/>
        </w:tabs>
        <w:jc w:val="left"/>
      </w:pPr>
      <w:r w:rsidRPr="008D6FF2">
        <w:rPr>
          <w:b/>
          <w:bCs/>
          <w:sz w:val="22"/>
          <w:szCs w:val="22"/>
        </w:rPr>
        <w:t>B.</w:t>
      </w:r>
      <w:r w:rsidR="00255001">
        <w:rPr>
          <w:b/>
          <w:bCs/>
          <w:sz w:val="22"/>
          <w:szCs w:val="22"/>
        </w:rPr>
        <w:t xml:space="preserve"> </w:t>
      </w:r>
      <w:r w:rsidRPr="008D6FF2">
        <w:rPr>
          <w:b/>
          <w:bCs/>
          <w:sz w:val="22"/>
          <w:szCs w:val="22"/>
        </w:rPr>
        <w:t>Přehled kanalizačních přípojek</w:t>
      </w:r>
    </w:p>
    <w:tbl>
      <w:tblPr>
        <w:tblW w:w="90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1007"/>
        <w:gridCol w:w="3089"/>
        <w:gridCol w:w="829"/>
        <w:gridCol w:w="840"/>
        <w:gridCol w:w="699"/>
        <w:gridCol w:w="1669"/>
      </w:tblGrid>
      <w:tr w:rsidR="00D86EB1" w:rsidRPr="008D6FF2" w14:paraId="4B092159" w14:textId="77777777" w:rsidTr="00442D43">
        <w:trPr>
          <w:cantSplit/>
          <w:trHeight w:val="3"/>
        </w:trPr>
        <w:tc>
          <w:tcPr>
            <w:tcW w:w="9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1B5F06" w14:textId="77777777" w:rsidR="00D86EB1" w:rsidRPr="00BD14D3" w:rsidRDefault="00D86EB1" w:rsidP="00442D43">
            <w:pPr>
              <w:jc w:val="center"/>
              <w:rPr>
                <w:b/>
                <w:sz w:val="20"/>
              </w:rPr>
            </w:pPr>
            <w:proofErr w:type="spellStart"/>
            <w:r w:rsidRPr="00BD14D3">
              <w:rPr>
                <w:b/>
                <w:sz w:val="20"/>
              </w:rPr>
              <w:t>Poř</w:t>
            </w:r>
            <w:proofErr w:type="spellEnd"/>
            <w:r w:rsidRPr="00BD14D3">
              <w:rPr>
                <w:b/>
                <w:sz w:val="20"/>
              </w:rPr>
              <w:t>.</w:t>
            </w:r>
            <w:r w:rsidR="00BD14D3" w:rsidRPr="00BD14D3">
              <w:rPr>
                <w:b/>
                <w:sz w:val="20"/>
              </w:rPr>
              <w:br/>
            </w:r>
            <w:r w:rsidRPr="00BD14D3">
              <w:rPr>
                <w:b/>
                <w:sz w:val="20"/>
              </w:rPr>
              <w:t>číslo</w:t>
            </w: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5190654" w14:textId="77777777" w:rsidR="00D86EB1" w:rsidRPr="00BD14D3" w:rsidRDefault="00D86EB1" w:rsidP="00442D43">
            <w:pPr>
              <w:jc w:val="center"/>
              <w:rPr>
                <w:b/>
                <w:sz w:val="20"/>
              </w:rPr>
            </w:pPr>
            <w:r w:rsidRPr="00BD14D3">
              <w:rPr>
                <w:b/>
                <w:sz w:val="20"/>
              </w:rPr>
              <w:t>Rozdělení</w:t>
            </w:r>
          </w:p>
          <w:p w14:paraId="1C14913F" w14:textId="77777777" w:rsidR="00D86EB1" w:rsidRPr="00BD14D3" w:rsidRDefault="00D86EB1" w:rsidP="00442D43">
            <w:pPr>
              <w:jc w:val="center"/>
              <w:rPr>
                <w:b/>
                <w:sz w:val="20"/>
              </w:rPr>
            </w:pPr>
            <w:r w:rsidRPr="00BD14D3">
              <w:rPr>
                <w:b/>
                <w:sz w:val="20"/>
              </w:rPr>
              <w:t>OV (v %)</w:t>
            </w:r>
          </w:p>
        </w:tc>
        <w:tc>
          <w:tcPr>
            <w:tcW w:w="3089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C14DFBF" w14:textId="77777777" w:rsidR="00D86EB1" w:rsidRPr="00BD14D3" w:rsidRDefault="00D86EB1" w:rsidP="00442D43">
            <w:pPr>
              <w:jc w:val="center"/>
              <w:rPr>
                <w:b/>
                <w:sz w:val="20"/>
              </w:rPr>
            </w:pPr>
            <w:r w:rsidRPr="00BD14D3">
              <w:rPr>
                <w:b/>
                <w:sz w:val="20"/>
              </w:rPr>
              <w:t>Popis kanalizační přípojky</w:t>
            </w:r>
          </w:p>
        </w:tc>
        <w:tc>
          <w:tcPr>
            <w:tcW w:w="236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7D895A1" w14:textId="77777777" w:rsidR="00D86EB1" w:rsidRPr="00BD14D3" w:rsidRDefault="00BD14D3" w:rsidP="00442D4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Maximální m</w:t>
            </w:r>
            <w:r w:rsidR="00D86EB1" w:rsidRPr="00BD14D3">
              <w:rPr>
                <w:b/>
                <w:sz w:val="20"/>
              </w:rPr>
              <w:t>nožství odváděné OV</w:t>
            </w:r>
          </w:p>
        </w:tc>
        <w:tc>
          <w:tcPr>
            <w:tcW w:w="166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F102E7" w14:textId="77777777" w:rsidR="00D86EB1" w:rsidRPr="00BD14D3" w:rsidRDefault="00D86EB1" w:rsidP="00442D43">
            <w:pPr>
              <w:jc w:val="center"/>
              <w:rPr>
                <w:b/>
                <w:sz w:val="20"/>
              </w:rPr>
            </w:pPr>
            <w:r w:rsidRPr="00BD14D3">
              <w:rPr>
                <w:b/>
                <w:sz w:val="20"/>
              </w:rPr>
              <w:t>Poznámka</w:t>
            </w:r>
          </w:p>
        </w:tc>
      </w:tr>
      <w:tr w:rsidR="00D86EB1" w:rsidRPr="008D6FF2" w14:paraId="53C829B5" w14:textId="77777777" w:rsidTr="00BD14D3">
        <w:trPr>
          <w:cantSplit/>
          <w:trHeight w:val="4"/>
        </w:trPr>
        <w:tc>
          <w:tcPr>
            <w:tcW w:w="924" w:type="dxa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8512D79" w14:textId="77777777" w:rsidR="00D86EB1" w:rsidRPr="008D6FF2" w:rsidRDefault="00D86EB1" w:rsidP="008C7DC9">
            <w:pPr>
              <w:jc w:val="center"/>
              <w:rPr>
                <w:sz w:val="20"/>
              </w:rPr>
            </w:pPr>
          </w:p>
        </w:tc>
        <w:tc>
          <w:tcPr>
            <w:tcW w:w="1007" w:type="dxa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D4A4224" w14:textId="77777777" w:rsidR="00D86EB1" w:rsidRPr="008D6FF2" w:rsidRDefault="00D86EB1" w:rsidP="008C7DC9">
            <w:pPr>
              <w:jc w:val="center"/>
              <w:rPr>
                <w:sz w:val="20"/>
              </w:rPr>
            </w:pPr>
          </w:p>
        </w:tc>
        <w:tc>
          <w:tcPr>
            <w:tcW w:w="3089" w:type="dxa"/>
            <w:vMerge/>
            <w:tcBorders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4D827FC" w14:textId="77777777" w:rsidR="00D86EB1" w:rsidRPr="008D6FF2" w:rsidRDefault="00D86EB1" w:rsidP="008C7DC9">
            <w:pPr>
              <w:jc w:val="center"/>
              <w:rPr>
                <w:sz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382BE46" w14:textId="77777777" w:rsidR="00D86EB1" w:rsidRPr="00BD14D3" w:rsidRDefault="00D86EB1" w:rsidP="008C7DC9">
            <w:pPr>
              <w:jc w:val="center"/>
              <w:rPr>
                <w:b/>
                <w:sz w:val="20"/>
              </w:rPr>
            </w:pPr>
            <w:r w:rsidRPr="00BD14D3">
              <w:rPr>
                <w:b/>
                <w:sz w:val="20"/>
              </w:rPr>
              <w:t>m</w:t>
            </w:r>
            <w:r w:rsidRPr="00BD14D3">
              <w:rPr>
                <w:b/>
                <w:sz w:val="20"/>
                <w:vertAlign w:val="superscript"/>
              </w:rPr>
              <w:t>3</w:t>
            </w:r>
            <w:r w:rsidRPr="00BD14D3">
              <w:rPr>
                <w:b/>
                <w:sz w:val="20"/>
              </w:rPr>
              <w:t>/rok</w:t>
            </w:r>
          </w:p>
        </w:tc>
        <w:tc>
          <w:tcPr>
            <w:tcW w:w="84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9CA4119" w14:textId="77777777" w:rsidR="00D86EB1" w:rsidRPr="00BD14D3" w:rsidRDefault="00D86EB1" w:rsidP="008C7DC9">
            <w:pPr>
              <w:jc w:val="center"/>
              <w:rPr>
                <w:b/>
                <w:sz w:val="20"/>
              </w:rPr>
            </w:pPr>
            <w:r w:rsidRPr="00BD14D3">
              <w:rPr>
                <w:b/>
                <w:sz w:val="20"/>
              </w:rPr>
              <w:t>m</w:t>
            </w:r>
            <w:r w:rsidRPr="00BD14D3">
              <w:rPr>
                <w:b/>
                <w:sz w:val="20"/>
                <w:vertAlign w:val="superscript"/>
              </w:rPr>
              <w:t>3</w:t>
            </w:r>
            <w:r w:rsidRPr="00BD14D3">
              <w:rPr>
                <w:b/>
                <w:sz w:val="20"/>
              </w:rPr>
              <w:t>/den</w:t>
            </w:r>
          </w:p>
        </w:tc>
        <w:tc>
          <w:tcPr>
            <w:tcW w:w="69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F30225E" w14:textId="77777777" w:rsidR="00D86EB1" w:rsidRPr="00BD14D3" w:rsidRDefault="00D86EB1" w:rsidP="008C7DC9">
            <w:pPr>
              <w:jc w:val="center"/>
              <w:rPr>
                <w:b/>
                <w:sz w:val="20"/>
              </w:rPr>
            </w:pPr>
            <w:r w:rsidRPr="00BD14D3">
              <w:rPr>
                <w:b/>
                <w:sz w:val="20"/>
              </w:rPr>
              <w:t>l/s</w:t>
            </w:r>
          </w:p>
        </w:tc>
        <w:tc>
          <w:tcPr>
            <w:tcW w:w="1669" w:type="dxa"/>
            <w:vMerge/>
            <w:tcBorders>
              <w:left w:val="nil"/>
              <w:bottom w:val="double" w:sz="4" w:space="0" w:color="auto"/>
              <w:right w:val="single" w:sz="12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4A3322A" w14:textId="77777777" w:rsidR="00D86EB1" w:rsidRPr="008D6FF2" w:rsidRDefault="00D86EB1" w:rsidP="008C7DC9">
            <w:pPr>
              <w:rPr>
                <w:sz w:val="20"/>
              </w:rPr>
            </w:pPr>
          </w:p>
        </w:tc>
      </w:tr>
      <w:tr w:rsidR="00D86EB1" w:rsidRPr="008D6FF2" w14:paraId="19A517EC" w14:textId="77777777" w:rsidTr="00442D43">
        <w:trPr>
          <w:trHeight w:val="3"/>
        </w:trPr>
        <w:tc>
          <w:tcPr>
            <w:tcW w:w="924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0F4E44A" w14:textId="77777777" w:rsidR="00D86EB1" w:rsidRPr="008D6FF2" w:rsidRDefault="00D86EB1" w:rsidP="008C7DC9">
            <w:pPr>
              <w:jc w:val="center"/>
              <w:rPr>
                <w:sz w:val="20"/>
              </w:rPr>
            </w:pPr>
            <w:r w:rsidRPr="008D6FF2">
              <w:rPr>
                <w:sz w:val="20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DE6B511" w14:textId="77777777" w:rsidR="00D86EB1" w:rsidRPr="008D6FF2" w:rsidRDefault="00D86EB1" w:rsidP="008C7DC9">
            <w:pPr>
              <w:jc w:val="center"/>
              <w:rPr>
                <w:sz w:val="20"/>
              </w:rPr>
            </w:pPr>
            <w:r w:rsidRPr="008D6FF2">
              <w:rPr>
                <w:sz w:val="20"/>
              </w:rPr>
              <w:t>100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6BCF9E8" w14:textId="77777777" w:rsidR="00D86EB1" w:rsidRPr="008D6FF2" w:rsidRDefault="00D86EB1" w:rsidP="00BD14D3">
            <w:pPr>
              <w:ind w:left="168"/>
              <w:rPr>
                <w:sz w:val="20"/>
              </w:rPr>
            </w:pPr>
            <w:r w:rsidRPr="008D6FF2">
              <w:rPr>
                <w:sz w:val="20"/>
              </w:rPr>
              <w:t>Kanalizační přípojka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ACC23FA" w14:textId="77777777" w:rsidR="00D86EB1" w:rsidRPr="008D6FF2" w:rsidRDefault="00F635B4" w:rsidP="008C7D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EE5274">
              <w:rPr>
                <w:sz w:val="20"/>
              </w:rPr>
              <w:t> 0</w:t>
            </w:r>
            <w:r w:rsidR="00A64EC2">
              <w:rPr>
                <w:sz w:val="20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48D20D7" w14:textId="77777777" w:rsidR="00D86EB1" w:rsidRPr="008D6FF2" w:rsidRDefault="006D3A1B" w:rsidP="008C7D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EE5274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53184B0" w14:textId="77777777" w:rsidR="00D86EB1" w:rsidRPr="008D6FF2" w:rsidRDefault="00207014" w:rsidP="008C7D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</w:t>
            </w:r>
            <w:r w:rsidR="006D3A1B">
              <w:rPr>
                <w:sz w:val="20"/>
              </w:rPr>
              <w:t>0</w:t>
            </w:r>
            <w:r w:rsidR="00F635B4">
              <w:rPr>
                <w:sz w:val="20"/>
              </w:rPr>
              <w:t>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7BC30B3" w14:textId="77777777" w:rsidR="00D86EB1" w:rsidRPr="008D6FF2" w:rsidRDefault="00D86EB1" w:rsidP="00442D43">
            <w:pPr>
              <w:jc w:val="center"/>
              <w:rPr>
                <w:sz w:val="20"/>
              </w:rPr>
            </w:pPr>
            <w:r w:rsidRPr="008D6FF2">
              <w:rPr>
                <w:sz w:val="20"/>
              </w:rPr>
              <w:t>Hlavní výtok OV</w:t>
            </w:r>
          </w:p>
        </w:tc>
      </w:tr>
    </w:tbl>
    <w:p w14:paraId="6D938ADA" w14:textId="77777777" w:rsidR="00D86EB1" w:rsidRPr="00EB65AE" w:rsidRDefault="00D86EB1" w:rsidP="00D86EB1">
      <w:pPr>
        <w:tabs>
          <w:tab w:val="left" w:pos="11080"/>
        </w:tabs>
        <w:jc w:val="left"/>
        <w:rPr>
          <w:sz w:val="20"/>
        </w:rPr>
      </w:pPr>
    </w:p>
    <w:p w14:paraId="5042D065" w14:textId="77777777" w:rsidR="00D86EB1" w:rsidRPr="008D6FF2" w:rsidRDefault="00D86EB1" w:rsidP="00D86EB1">
      <w:pPr>
        <w:tabs>
          <w:tab w:val="left" w:pos="11080"/>
        </w:tabs>
        <w:jc w:val="left"/>
      </w:pPr>
      <w:r w:rsidRPr="008D6FF2">
        <w:rPr>
          <w:b/>
          <w:bCs/>
          <w:sz w:val="22"/>
        </w:rPr>
        <w:t>C. Kvalita odváděné odpadní vody</w:t>
      </w:r>
    </w:p>
    <w:p w14:paraId="2E418EA1" w14:textId="77777777" w:rsidR="00D86EB1" w:rsidRPr="008D6FF2" w:rsidRDefault="00D86EB1" w:rsidP="00D86EB1">
      <w:pPr>
        <w:tabs>
          <w:tab w:val="left" w:pos="11080"/>
        </w:tabs>
        <w:jc w:val="left"/>
        <w:rPr>
          <w:sz w:val="22"/>
          <w:szCs w:val="22"/>
        </w:rPr>
      </w:pPr>
      <w:r w:rsidRPr="008D6FF2">
        <w:rPr>
          <w:i/>
          <w:iCs/>
          <w:sz w:val="22"/>
          <w:szCs w:val="22"/>
        </w:rPr>
        <w:t>C.1. Limitní hodnoty vybraných ukazatelů znečištění pro odběratele</w:t>
      </w:r>
    </w:p>
    <w:p w14:paraId="24098B76" w14:textId="77777777" w:rsidR="00271CBF" w:rsidRDefault="00D86EB1" w:rsidP="00C54960">
      <w:pPr>
        <w:ind w:left="284" w:hanging="284"/>
        <w:rPr>
          <w:i/>
          <w:sz w:val="22"/>
          <w:szCs w:val="22"/>
        </w:rPr>
      </w:pPr>
      <w:bookmarkStart w:id="0" w:name="_Toc350662887"/>
      <w:bookmarkStart w:id="1" w:name="_Toc350663012"/>
      <w:bookmarkStart w:id="2" w:name="_Toc350665347"/>
      <w:bookmarkStart w:id="3" w:name="_Toc363279740"/>
      <w:r w:rsidRPr="008D6FF2">
        <w:rPr>
          <w:i/>
          <w:sz w:val="22"/>
          <w:szCs w:val="22"/>
        </w:rPr>
        <w:t xml:space="preserve">C.2. </w:t>
      </w:r>
      <w:bookmarkEnd w:id="0"/>
      <w:bookmarkEnd w:id="1"/>
      <w:bookmarkEnd w:id="2"/>
      <w:bookmarkEnd w:id="3"/>
      <w:r w:rsidR="00C54960" w:rsidRPr="00C54960">
        <w:rPr>
          <w:i/>
          <w:sz w:val="22"/>
          <w:szCs w:val="22"/>
        </w:rPr>
        <w:t xml:space="preserve">Všeobecně platné limity ukazatelů znečištění odpadních vod vypouštěných do kanalizace k veřejné potřebě dle kanalizačního řádu Skupinové kanalizace města Znojma, schválené Rozhodnutím </w:t>
      </w:r>
      <w:proofErr w:type="spellStart"/>
      <w:r w:rsidR="00C54960" w:rsidRPr="00C54960">
        <w:rPr>
          <w:i/>
          <w:sz w:val="22"/>
          <w:szCs w:val="22"/>
        </w:rPr>
        <w:t>MěÚ</w:t>
      </w:r>
      <w:proofErr w:type="spellEnd"/>
      <w:r w:rsidR="00C54960" w:rsidRPr="00C54960">
        <w:rPr>
          <w:i/>
          <w:sz w:val="22"/>
          <w:szCs w:val="22"/>
        </w:rPr>
        <w:t xml:space="preserve"> Znojmo OŽP č.j. MUZN 25712/2018 ze dne 19.3.2018:</w:t>
      </w:r>
    </w:p>
    <w:p w14:paraId="1D37E099" w14:textId="77777777" w:rsidR="00C54960" w:rsidRPr="00EB65AE" w:rsidRDefault="00C54960" w:rsidP="00B849ED">
      <w:pPr>
        <w:ind w:left="284" w:hanging="284"/>
        <w:rPr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86"/>
        <w:gridCol w:w="2653"/>
        <w:gridCol w:w="2700"/>
      </w:tblGrid>
      <w:tr w:rsidR="00BA29C4" w:rsidRPr="003F2BE4" w14:paraId="4B5545DA" w14:textId="77777777" w:rsidTr="00BA29C4">
        <w:trPr>
          <w:trHeight w:val="20"/>
          <w:jc w:val="center"/>
        </w:trPr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3AFFFF0" w14:textId="77777777" w:rsidR="00BA29C4" w:rsidRPr="00BA29C4" w:rsidRDefault="00BA29C4" w:rsidP="00BA29C4">
            <w:pPr>
              <w:pStyle w:val="Nadpis1"/>
              <w:jc w:val="center"/>
              <w:rPr>
                <w:rFonts w:ascii="Times New Roman" w:hAnsi="Times New Roman"/>
                <w:sz w:val="20"/>
              </w:rPr>
            </w:pPr>
            <w:r w:rsidRPr="00BA29C4">
              <w:rPr>
                <w:rFonts w:ascii="Times New Roman" w:hAnsi="Times New Roman"/>
                <w:sz w:val="20"/>
              </w:rPr>
              <w:t>Ukazatel znečištění</w:t>
            </w:r>
          </w:p>
        </w:tc>
        <w:tc>
          <w:tcPr>
            <w:tcW w:w="265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1FA5010" w14:textId="77777777" w:rsidR="00BA29C4" w:rsidRPr="00BA29C4" w:rsidRDefault="00BA29C4" w:rsidP="00BA29C4">
            <w:pPr>
              <w:jc w:val="center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 xml:space="preserve">Maximální hodnota - </w:t>
            </w:r>
            <w:proofErr w:type="spellStart"/>
            <w:r w:rsidRPr="00BA29C4">
              <w:rPr>
                <w:b/>
                <w:sz w:val="20"/>
              </w:rPr>
              <w:t>prům</w:t>
            </w:r>
            <w:proofErr w:type="spellEnd"/>
            <w:r w:rsidRPr="00BA29C4">
              <w:rPr>
                <w:b/>
                <w:sz w:val="20"/>
              </w:rPr>
              <w:t xml:space="preserve">. </w:t>
            </w:r>
            <w:r w:rsidRPr="00BA29C4">
              <w:rPr>
                <w:b/>
                <w:bCs/>
                <w:sz w:val="20"/>
              </w:rPr>
              <w:t>(platná pro směsný vzorek)</w:t>
            </w:r>
          </w:p>
        </w:tc>
        <w:tc>
          <w:tcPr>
            <w:tcW w:w="270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ADE404A" w14:textId="77777777" w:rsidR="00BA29C4" w:rsidRPr="00BA29C4" w:rsidRDefault="00BA29C4" w:rsidP="00BA29C4">
            <w:pPr>
              <w:jc w:val="center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 xml:space="preserve">Maximální hodnota - max. </w:t>
            </w:r>
            <w:r w:rsidRPr="00BA29C4">
              <w:rPr>
                <w:b/>
                <w:bCs/>
                <w:sz w:val="20"/>
              </w:rPr>
              <w:t>(platná pro bodový vzorek)</w:t>
            </w:r>
          </w:p>
        </w:tc>
      </w:tr>
      <w:tr w:rsidR="00BA29C4" w:rsidRPr="00880B8B" w14:paraId="0048C2CB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21659669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CHSK</w:t>
            </w:r>
            <w:r w:rsidRPr="00BA29C4">
              <w:rPr>
                <w:b/>
                <w:sz w:val="20"/>
                <w:vertAlign w:val="subscript"/>
              </w:rPr>
              <w:t>-</w:t>
            </w:r>
            <w:proofErr w:type="spellStart"/>
            <w:r w:rsidRPr="00BA29C4">
              <w:rPr>
                <w:b/>
                <w:sz w:val="20"/>
                <w:vertAlign w:val="subscript"/>
              </w:rPr>
              <w:t>Cr</w:t>
            </w:r>
            <w:proofErr w:type="spellEnd"/>
          </w:p>
        </w:tc>
        <w:tc>
          <w:tcPr>
            <w:tcW w:w="2653" w:type="dxa"/>
          </w:tcPr>
          <w:p w14:paraId="5148084B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1 000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53731065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1 500 mg/l</w:t>
            </w:r>
          </w:p>
        </w:tc>
      </w:tr>
      <w:tr w:rsidR="00BA29C4" w:rsidRPr="00880B8B" w14:paraId="5F8817F3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02659FE5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BSK</w:t>
            </w:r>
            <w:r w:rsidRPr="00BA29C4">
              <w:rPr>
                <w:b/>
                <w:sz w:val="20"/>
                <w:vertAlign w:val="subscript"/>
              </w:rPr>
              <w:t>5</w:t>
            </w:r>
          </w:p>
        </w:tc>
        <w:tc>
          <w:tcPr>
            <w:tcW w:w="2653" w:type="dxa"/>
          </w:tcPr>
          <w:p w14:paraId="0FB3C5E0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500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7EBACE45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750 mg/l</w:t>
            </w:r>
          </w:p>
        </w:tc>
      </w:tr>
      <w:tr w:rsidR="00BA29C4" w:rsidRPr="00880B8B" w14:paraId="130B3DDC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030BB6A6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NL</w:t>
            </w:r>
          </w:p>
        </w:tc>
        <w:tc>
          <w:tcPr>
            <w:tcW w:w="2653" w:type="dxa"/>
          </w:tcPr>
          <w:p w14:paraId="736AAAF6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400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5E2D8319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600 mg/l</w:t>
            </w:r>
          </w:p>
        </w:tc>
      </w:tr>
      <w:tr w:rsidR="00BA29C4" w:rsidRPr="00880B8B" w14:paraId="111ADD02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3150EA5A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EL</w:t>
            </w:r>
          </w:p>
        </w:tc>
        <w:tc>
          <w:tcPr>
            <w:tcW w:w="2653" w:type="dxa"/>
          </w:tcPr>
          <w:p w14:paraId="083B58D6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55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67CBD0EC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80 mg/l</w:t>
            </w:r>
          </w:p>
        </w:tc>
      </w:tr>
      <w:tr w:rsidR="00BA29C4" w:rsidRPr="00880B8B" w14:paraId="490DFE3E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4E9D3F16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Tenzidy anionaktivní</w:t>
            </w:r>
          </w:p>
        </w:tc>
        <w:tc>
          <w:tcPr>
            <w:tcW w:w="2653" w:type="dxa"/>
          </w:tcPr>
          <w:p w14:paraId="018A1307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7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29089377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10 mg/l</w:t>
            </w:r>
          </w:p>
        </w:tc>
      </w:tr>
      <w:tr w:rsidR="00BA29C4" w:rsidRPr="00880B8B" w14:paraId="3248EC4F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38DF76D7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 xml:space="preserve">NEL </w:t>
            </w:r>
          </w:p>
        </w:tc>
        <w:tc>
          <w:tcPr>
            <w:tcW w:w="2653" w:type="dxa"/>
          </w:tcPr>
          <w:p w14:paraId="6FDEDDE2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5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53F327C1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10 mg/l</w:t>
            </w:r>
          </w:p>
        </w:tc>
      </w:tr>
      <w:tr w:rsidR="00BA29C4" w:rsidRPr="00880B8B" w14:paraId="645F092C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329E5A55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Uhlovodíky C</w:t>
            </w:r>
            <w:r w:rsidRPr="00BA29C4">
              <w:rPr>
                <w:b/>
                <w:sz w:val="20"/>
                <w:vertAlign w:val="subscript"/>
              </w:rPr>
              <w:t>10</w:t>
            </w:r>
            <w:r w:rsidRPr="00BA29C4">
              <w:rPr>
                <w:b/>
                <w:sz w:val="20"/>
              </w:rPr>
              <w:t xml:space="preserve"> – C</w:t>
            </w:r>
            <w:r w:rsidRPr="00BA29C4">
              <w:rPr>
                <w:b/>
                <w:sz w:val="20"/>
                <w:vertAlign w:val="subscript"/>
              </w:rPr>
              <w:t>40</w:t>
            </w:r>
          </w:p>
        </w:tc>
        <w:tc>
          <w:tcPr>
            <w:tcW w:w="2653" w:type="dxa"/>
          </w:tcPr>
          <w:p w14:paraId="7FFC3B3A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3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0A7923CC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6 mg/l</w:t>
            </w:r>
          </w:p>
        </w:tc>
      </w:tr>
      <w:tr w:rsidR="00BA29C4" w:rsidRPr="00880B8B" w14:paraId="10CE3527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2CEFC270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látky fenolického charakteru</w:t>
            </w:r>
          </w:p>
        </w:tc>
        <w:tc>
          <w:tcPr>
            <w:tcW w:w="2653" w:type="dxa"/>
          </w:tcPr>
          <w:p w14:paraId="05031A48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10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6313FC98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20 mg/l</w:t>
            </w:r>
          </w:p>
        </w:tc>
      </w:tr>
      <w:tr w:rsidR="00BA29C4" w:rsidRPr="00880B8B" w14:paraId="2A02FCCC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51D9DC27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RL</w:t>
            </w:r>
          </w:p>
        </w:tc>
        <w:tc>
          <w:tcPr>
            <w:tcW w:w="2653" w:type="dxa"/>
          </w:tcPr>
          <w:p w14:paraId="2DDFACD8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1 500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78F6AACA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2 500 mg/l</w:t>
            </w:r>
          </w:p>
        </w:tc>
      </w:tr>
      <w:tr w:rsidR="00BA29C4" w:rsidRPr="00880B8B" w14:paraId="3B6E053A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4FA8E9DC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RAS</w:t>
            </w:r>
          </w:p>
        </w:tc>
        <w:tc>
          <w:tcPr>
            <w:tcW w:w="2653" w:type="dxa"/>
          </w:tcPr>
          <w:p w14:paraId="1E208F44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1 000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6224DE38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2 000 mg/l</w:t>
            </w:r>
          </w:p>
        </w:tc>
      </w:tr>
      <w:tr w:rsidR="00BA29C4" w:rsidRPr="00880B8B" w14:paraId="4C4D83CC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06CB57B8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N-NH</w:t>
            </w:r>
            <w:r w:rsidRPr="00BA29C4">
              <w:rPr>
                <w:b/>
                <w:sz w:val="20"/>
                <w:vertAlign w:val="subscript"/>
              </w:rPr>
              <w:t>4</w:t>
            </w:r>
            <w:r w:rsidRPr="00BA29C4">
              <w:rPr>
                <w:b/>
                <w:sz w:val="20"/>
                <w:vertAlign w:val="superscript"/>
              </w:rPr>
              <w:t>+</w:t>
            </w:r>
          </w:p>
        </w:tc>
        <w:tc>
          <w:tcPr>
            <w:tcW w:w="2653" w:type="dxa"/>
          </w:tcPr>
          <w:p w14:paraId="41F0D28F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50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4ECA91F0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70 mg/l</w:t>
            </w:r>
          </w:p>
        </w:tc>
      </w:tr>
      <w:tr w:rsidR="00BA29C4" w:rsidRPr="00880B8B" w14:paraId="040DCAD4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54C5FA41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proofErr w:type="spellStart"/>
            <w:r w:rsidRPr="00BA29C4">
              <w:rPr>
                <w:b/>
                <w:sz w:val="20"/>
              </w:rPr>
              <w:t>N</w:t>
            </w:r>
            <w:r w:rsidRPr="00BA29C4">
              <w:rPr>
                <w:b/>
                <w:sz w:val="20"/>
                <w:vertAlign w:val="subscript"/>
              </w:rPr>
              <w:t>celkový</w:t>
            </w:r>
            <w:proofErr w:type="spellEnd"/>
          </w:p>
        </w:tc>
        <w:tc>
          <w:tcPr>
            <w:tcW w:w="2653" w:type="dxa"/>
          </w:tcPr>
          <w:p w14:paraId="4A1E84F3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60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0FDF495A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80 mg/l</w:t>
            </w:r>
          </w:p>
        </w:tc>
      </w:tr>
      <w:tr w:rsidR="00BA29C4" w:rsidRPr="00880B8B" w14:paraId="4A7D0D42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202AE549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proofErr w:type="spellStart"/>
            <w:r w:rsidRPr="00BA29C4">
              <w:rPr>
                <w:b/>
                <w:sz w:val="20"/>
              </w:rPr>
              <w:t>P</w:t>
            </w:r>
            <w:r w:rsidRPr="00BA29C4">
              <w:rPr>
                <w:b/>
                <w:sz w:val="20"/>
                <w:vertAlign w:val="subscript"/>
              </w:rPr>
              <w:t>celkový</w:t>
            </w:r>
            <w:proofErr w:type="spellEnd"/>
          </w:p>
        </w:tc>
        <w:tc>
          <w:tcPr>
            <w:tcW w:w="2653" w:type="dxa"/>
          </w:tcPr>
          <w:p w14:paraId="28AAD2D3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10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3C66B00F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15 mg/l</w:t>
            </w:r>
          </w:p>
        </w:tc>
      </w:tr>
      <w:tr w:rsidR="00BA29C4" w:rsidRPr="00880B8B" w14:paraId="5CB240AB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3A7286B3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celková sušina</w:t>
            </w:r>
          </w:p>
        </w:tc>
        <w:tc>
          <w:tcPr>
            <w:tcW w:w="2653" w:type="dxa"/>
          </w:tcPr>
          <w:p w14:paraId="56A6662E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2 000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48AAD4CB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3 000 mg/l</w:t>
            </w:r>
          </w:p>
        </w:tc>
      </w:tr>
      <w:tr w:rsidR="00BA29C4" w:rsidRPr="00880B8B" w14:paraId="02799F41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3D67C08E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Měď</w:t>
            </w:r>
          </w:p>
        </w:tc>
        <w:tc>
          <w:tcPr>
            <w:tcW w:w="2653" w:type="dxa"/>
          </w:tcPr>
          <w:p w14:paraId="5052D8A8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0,5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154E9367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0,5 mg/l</w:t>
            </w:r>
          </w:p>
        </w:tc>
      </w:tr>
      <w:tr w:rsidR="00BA29C4" w:rsidRPr="00880B8B" w14:paraId="17AB421E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0EDF2302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Zinek</w:t>
            </w:r>
          </w:p>
        </w:tc>
        <w:tc>
          <w:tcPr>
            <w:tcW w:w="2653" w:type="dxa"/>
          </w:tcPr>
          <w:p w14:paraId="214EC585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2,0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65FC35DD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2,0 mg/l</w:t>
            </w:r>
          </w:p>
        </w:tc>
      </w:tr>
      <w:tr w:rsidR="00BA29C4" w:rsidRPr="00880B8B" w14:paraId="267EC61B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201442C8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Železo</w:t>
            </w:r>
          </w:p>
        </w:tc>
        <w:tc>
          <w:tcPr>
            <w:tcW w:w="2653" w:type="dxa"/>
          </w:tcPr>
          <w:p w14:paraId="4452A9E1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10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324BF18F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10 mg/l</w:t>
            </w:r>
          </w:p>
        </w:tc>
      </w:tr>
      <w:tr w:rsidR="00BA29C4" w:rsidRPr="00880B8B" w14:paraId="70986949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6882B466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pH</w:t>
            </w:r>
          </w:p>
        </w:tc>
        <w:tc>
          <w:tcPr>
            <w:tcW w:w="2653" w:type="dxa"/>
          </w:tcPr>
          <w:p w14:paraId="794FAEE7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6,5 - 9,0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00F5CBCF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6,5 - 9,0</w:t>
            </w:r>
          </w:p>
        </w:tc>
      </w:tr>
      <w:tr w:rsidR="00BA29C4" w:rsidRPr="00880B8B" w14:paraId="46CECA40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220C125A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Teplota</w:t>
            </w:r>
          </w:p>
        </w:tc>
        <w:tc>
          <w:tcPr>
            <w:tcW w:w="2653" w:type="dxa"/>
          </w:tcPr>
          <w:p w14:paraId="4428DD3D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40</w:t>
            </w:r>
            <w:r>
              <w:rPr>
                <w:sz w:val="20"/>
              </w:rPr>
              <w:t xml:space="preserve"> °C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6EBC3F21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40</w:t>
            </w:r>
            <w:r>
              <w:rPr>
                <w:sz w:val="20"/>
              </w:rPr>
              <w:t xml:space="preserve"> °C</w:t>
            </w:r>
          </w:p>
        </w:tc>
      </w:tr>
      <w:tr w:rsidR="00BA29C4" w:rsidRPr="00880B8B" w14:paraId="39288F08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0631DD6F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PAU (chlorované uhlovodíky)</w:t>
            </w:r>
          </w:p>
        </w:tc>
        <w:tc>
          <w:tcPr>
            <w:tcW w:w="2653" w:type="dxa"/>
          </w:tcPr>
          <w:p w14:paraId="4208992E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0,005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5EE959D8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0,005 mg/l</w:t>
            </w:r>
          </w:p>
        </w:tc>
      </w:tr>
      <w:tr w:rsidR="00BA29C4" w:rsidRPr="00880B8B" w14:paraId="6D1DCEAE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6403FE65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Arsen</w:t>
            </w:r>
          </w:p>
        </w:tc>
        <w:tc>
          <w:tcPr>
            <w:tcW w:w="2653" w:type="dxa"/>
          </w:tcPr>
          <w:p w14:paraId="08435664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0,05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1A55EACF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0,05 mg/l</w:t>
            </w:r>
          </w:p>
        </w:tc>
      </w:tr>
      <w:tr w:rsidR="00BA29C4" w:rsidRPr="00880B8B" w14:paraId="67DC5A59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2B8ECDFE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proofErr w:type="gramStart"/>
            <w:r w:rsidRPr="00BA29C4">
              <w:rPr>
                <w:b/>
                <w:sz w:val="20"/>
              </w:rPr>
              <w:t xml:space="preserve">Chrom </w:t>
            </w:r>
            <w:r w:rsidRPr="00BA29C4">
              <w:rPr>
                <w:b/>
                <w:sz w:val="20"/>
                <w:vertAlign w:val="superscript"/>
              </w:rPr>
              <w:t xml:space="preserve"> </w:t>
            </w:r>
            <w:r w:rsidRPr="00BA29C4">
              <w:rPr>
                <w:b/>
                <w:sz w:val="20"/>
              </w:rPr>
              <w:t>celkový</w:t>
            </w:r>
            <w:proofErr w:type="gramEnd"/>
          </w:p>
        </w:tc>
        <w:tc>
          <w:tcPr>
            <w:tcW w:w="2653" w:type="dxa"/>
          </w:tcPr>
          <w:p w14:paraId="20814897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0,5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1ACA8EFE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0,5 mg/l</w:t>
            </w:r>
          </w:p>
        </w:tc>
      </w:tr>
      <w:tr w:rsidR="00BA29C4" w:rsidRPr="00880B8B" w14:paraId="605C8F66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0B82EB64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Kadmium</w:t>
            </w:r>
          </w:p>
        </w:tc>
        <w:tc>
          <w:tcPr>
            <w:tcW w:w="2653" w:type="dxa"/>
          </w:tcPr>
          <w:p w14:paraId="388D13C0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0,005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173B7DFA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0,005 mg/l</w:t>
            </w:r>
          </w:p>
        </w:tc>
      </w:tr>
      <w:tr w:rsidR="00BA29C4" w:rsidRPr="00880B8B" w14:paraId="6200648E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59F62301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Kobalt</w:t>
            </w:r>
          </w:p>
        </w:tc>
        <w:tc>
          <w:tcPr>
            <w:tcW w:w="2653" w:type="dxa"/>
          </w:tcPr>
          <w:p w14:paraId="52A9CD3B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0,03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5733318A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0,03 mg/l</w:t>
            </w:r>
          </w:p>
        </w:tc>
      </w:tr>
      <w:tr w:rsidR="00BA29C4" w:rsidRPr="00880B8B" w14:paraId="1B18D9BD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441E8B3B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Nikl</w:t>
            </w:r>
          </w:p>
        </w:tc>
        <w:tc>
          <w:tcPr>
            <w:tcW w:w="2653" w:type="dxa"/>
          </w:tcPr>
          <w:p w14:paraId="62D022A2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0,15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65CD96A3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0,15 mg/l</w:t>
            </w:r>
          </w:p>
        </w:tc>
      </w:tr>
      <w:tr w:rsidR="00BA29C4" w:rsidRPr="00880B8B" w14:paraId="54FE02F8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2365D811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Olovo</w:t>
            </w:r>
          </w:p>
        </w:tc>
        <w:tc>
          <w:tcPr>
            <w:tcW w:w="2653" w:type="dxa"/>
          </w:tcPr>
          <w:p w14:paraId="151EC4B1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0,25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586C7CD6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0,25 mg/l</w:t>
            </w:r>
          </w:p>
        </w:tc>
      </w:tr>
      <w:tr w:rsidR="00BA29C4" w:rsidRPr="00880B8B" w14:paraId="56E8426E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2FC4CD25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Rtuť</w:t>
            </w:r>
          </w:p>
        </w:tc>
        <w:tc>
          <w:tcPr>
            <w:tcW w:w="2653" w:type="dxa"/>
          </w:tcPr>
          <w:p w14:paraId="2BFED13F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0,002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69AE1854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0,002 mg/l</w:t>
            </w:r>
          </w:p>
        </w:tc>
      </w:tr>
      <w:tr w:rsidR="00BA29C4" w:rsidRPr="00880B8B" w14:paraId="3F9EA267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27494FBA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Selen</w:t>
            </w:r>
          </w:p>
        </w:tc>
        <w:tc>
          <w:tcPr>
            <w:tcW w:w="2653" w:type="dxa"/>
          </w:tcPr>
          <w:p w14:paraId="42845D46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0,05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6AFB23F0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0,05 mg/l</w:t>
            </w:r>
          </w:p>
        </w:tc>
      </w:tr>
      <w:tr w:rsidR="00BA29C4" w:rsidRPr="00880B8B" w14:paraId="26509F81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43C918C4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Vanad</w:t>
            </w:r>
          </w:p>
        </w:tc>
        <w:tc>
          <w:tcPr>
            <w:tcW w:w="2653" w:type="dxa"/>
          </w:tcPr>
          <w:p w14:paraId="14C7FEC2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0,05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57850D00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0,05 mg/l</w:t>
            </w:r>
          </w:p>
        </w:tc>
      </w:tr>
      <w:tr w:rsidR="00BA29C4" w:rsidRPr="00880B8B" w14:paraId="21C49E67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7E03DDEB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Stříbro</w:t>
            </w:r>
          </w:p>
        </w:tc>
        <w:tc>
          <w:tcPr>
            <w:tcW w:w="2653" w:type="dxa"/>
          </w:tcPr>
          <w:p w14:paraId="75657A34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0,1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510E0437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0,1 mg/l</w:t>
            </w:r>
          </w:p>
        </w:tc>
      </w:tr>
      <w:tr w:rsidR="00BA29C4" w:rsidRPr="00880B8B" w14:paraId="451C96A7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0EFDA8E4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lastRenderedPageBreak/>
              <w:t>Molybden</w:t>
            </w:r>
          </w:p>
        </w:tc>
        <w:tc>
          <w:tcPr>
            <w:tcW w:w="2653" w:type="dxa"/>
          </w:tcPr>
          <w:p w14:paraId="3444F3A4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0,03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5443B8FD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0,03 mg/l</w:t>
            </w:r>
          </w:p>
        </w:tc>
      </w:tr>
      <w:tr w:rsidR="00BA29C4" w:rsidRPr="00880B8B" w14:paraId="24A3613B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74CC6F37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Hliník</w:t>
            </w:r>
          </w:p>
        </w:tc>
        <w:tc>
          <w:tcPr>
            <w:tcW w:w="2653" w:type="dxa"/>
          </w:tcPr>
          <w:p w14:paraId="61D3760F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2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0864F8A4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2 mg/l</w:t>
            </w:r>
          </w:p>
        </w:tc>
      </w:tr>
      <w:tr w:rsidR="00BA29C4" w:rsidRPr="00880B8B" w14:paraId="3DEBF0D4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2AD5CA02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Kyanidy celkové</w:t>
            </w:r>
          </w:p>
        </w:tc>
        <w:tc>
          <w:tcPr>
            <w:tcW w:w="2653" w:type="dxa"/>
          </w:tcPr>
          <w:p w14:paraId="66B383B1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0,2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0FD01CC2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0,2 mg/l</w:t>
            </w:r>
          </w:p>
        </w:tc>
      </w:tr>
      <w:tr w:rsidR="00BA29C4" w:rsidRPr="00880B8B" w14:paraId="51616471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1F82D141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 xml:space="preserve">Kyanidy toxické </w:t>
            </w:r>
          </w:p>
        </w:tc>
        <w:tc>
          <w:tcPr>
            <w:tcW w:w="2653" w:type="dxa"/>
          </w:tcPr>
          <w:p w14:paraId="78A27517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0,1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0B72E254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0,1 mg/l</w:t>
            </w:r>
          </w:p>
        </w:tc>
      </w:tr>
      <w:tr w:rsidR="00BA29C4" w:rsidRPr="00880B8B" w14:paraId="36972F48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2057182C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AOX</w:t>
            </w:r>
          </w:p>
        </w:tc>
        <w:tc>
          <w:tcPr>
            <w:tcW w:w="2653" w:type="dxa"/>
          </w:tcPr>
          <w:p w14:paraId="484710A6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0,2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695680C7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0,2 mg/l</w:t>
            </w:r>
          </w:p>
        </w:tc>
      </w:tr>
      <w:tr w:rsidR="00BA29C4" w:rsidRPr="00880B8B" w14:paraId="60245A1A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60FDA097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PCB</w:t>
            </w:r>
          </w:p>
        </w:tc>
        <w:tc>
          <w:tcPr>
            <w:tcW w:w="2653" w:type="dxa"/>
          </w:tcPr>
          <w:p w14:paraId="7D06ACF9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0,001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0426D0C9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0,001 mg/l</w:t>
            </w:r>
          </w:p>
        </w:tc>
      </w:tr>
      <w:tr w:rsidR="00BA29C4" w:rsidRPr="00880B8B" w14:paraId="52AE77EC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6DA1824A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Sirníky, sulfidy (</w:t>
            </w:r>
            <w:proofErr w:type="spellStart"/>
            <w:r w:rsidRPr="00BA29C4">
              <w:rPr>
                <w:b/>
                <w:sz w:val="20"/>
              </w:rPr>
              <w:t>vyjádř</w:t>
            </w:r>
            <w:proofErr w:type="spellEnd"/>
            <w:r w:rsidRPr="00BA29C4">
              <w:rPr>
                <w:b/>
                <w:sz w:val="20"/>
              </w:rPr>
              <w:t>. jako S)</w:t>
            </w:r>
          </w:p>
        </w:tc>
        <w:tc>
          <w:tcPr>
            <w:tcW w:w="2653" w:type="dxa"/>
          </w:tcPr>
          <w:p w14:paraId="681051D5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1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55204972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1,5 mg/l</w:t>
            </w:r>
          </w:p>
        </w:tc>
      </w:tr>
      <w:tr w:rsidR="00BA29C4" w:rsidRPr="00880B8B" w14:paraId="56F097D8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0A3B8CF4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Siřičitany, sulfity (</w:t>
            </w:r>
            <w:proofErr w:type="spellStart"/>
            <w:r w:rsidRPr="00BA29C4">
              <w:rPr>
                <w:b/>
                <w:sz w:val="20"/>
              </w:rPr>
              <w:t>vyjadř</w:t>
            </w:r>
            <w:proofErr w:type="spellEnd"/>
            <w:r w:rsidRPr="00BA29C4">
              <w:rPr>
                <w:b/>
                <w:sz w:val="20"/>
              </w:rPr>
              <w:t>. jako SO</w:t>
            </w:r>
            <w:r w:rsidRPr="00BA29C4">
              <w:rPr>
                <w:b/>
                <w:sz w:val="20"/>
                <w:vertAlign w:val="subscript"/>
              </w:rPr>
              <w:t>3</w:t>
            </w:r>
            <w:r w:rsidRPr="00BA29C4">
              <w:rPr>
                <w:b/>
                <w:sz w:val="20"/>
              </w:rPr>
              <w:t>)</w:t>
            </w:r>
          </w:p>
        </w:tc>
        <w:tc>
          <w:tcPr>
            <w:tcW w:w="2653" w:type="dxa"/>
          </w:tcPr>
          <w:p w14:paraId="299B158E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5 mg/l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3D96A2CE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7,5 mg/l</w:t>
            </w:r>
          </w:p>
        </w:tc>
      </w:tr>
      <w:tr w:rsidR="00BA29C4" w:rsidRPr="00880B8B" w14:paraId="1339B566" w14:textId="77777777" w:rsidTr="00BA29C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</w:tcBorders>
          </w:tcPr>
          <w:p w14:paraId="66FE1F98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proofErr w:type="spellStart"/>
            <w:r w:rsidRPr="00BA29C4">
              <w:rPr>
                <w:b/>
                <w:sz w:val="20"/>
              </w:rPr>
              <w:t>Salmonella</w:t>
            </w:r>
            <w:proofErr w:type="spellEnd"/>
            <w:r w:rsidRPr="00BA29C4">
              <w:rPr>
                <w:b/>
                <w:sz w:val="20"/>
              </w:rPr>
              <w:t xml:space="preserve"> </w:t>
            </w:r>
            <w:proofErr w:type="spellStart"/>
            <w:r w:rsidRPr="00BA29C4">
              <w:rPr>
                <w:b/>
                <w:sz w:val="20"/>
              </w:rPr>
              <w:t>sp</w:t>
            </w:r>
            <w:proofErr w:type="spellEnd"/>
            <w:r w:rsidRPr="00BA29C4">
              <w:rPr>
                <w:b/>
                <w:sz w:val="20"/>
              </w:rPr>
              <w:t>.</w:t>
            </w:r>
          </w:p>
        </w:tc>
        <w:tc>
          <w:tcPr>
            <w:tcW w:w="2653" w:type="dxa"/>
          </w:tcPr>
          <w:p w14:paraId="3E0EFA29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negativní nález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14:paraId="5F9FDEF8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>negativní nález</w:t>
            </w:r>
          </w:p>
        </w:tc>
      </w:tr>
      <w:tr w:rsidR="00BA29C4" w:rsidRPr="00880B8B" w14:paraId="2EC8AD36" w14:textId="77777777" w:rsidTr="00784174">
        <w:trPr>
          <w:trHeight w:val="20"/>
          <w:jc w:val="center"/>
        </w:trPr>
        <w:tc>
          <w:tcPr>
            <w:tcW w:w="3186" w:type="dxa"/>
            <w:tcBorders>
              <w:left w:val="single" w:sz="12" w:space="0" w:color="auto"/>
              <w:bottom w:val="single" w:sz="12" w:space="0" w:color="auto"/>
            </w:tcBorders>
          </w:tcPr>
          <w:p w14:paraId="27F0D3B6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Radionuklidy:</w:t>
            </w:r>
          </w:p>
          <w:p w14:paraId="5CF6B5CC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Celková objemová aktivita alfa</w:t>
            </w:r>
          </w:p>
          <w:p w14:paraId="7FA9344A" w14:textId="77777777" w:rsidR="00BA29C4" w:rsidRPr="00BA29C4" w:rsidRDefault="00BA29C4" w:rsidP="00CE67AC">
            <w:pPr>
              <w:spacing w:before="60"/>
              <w:rPr>
                <w:b/>
                <w:sz w:val="20"/>
              </w:rPr>
            </w:pPr>
            <w:r w:rsidRPr="00BA29C4">
              <w:rPr>
                <w:b/>
                <w:sz w:val="20"/>
              </w:rPr>
              <w:t>Celková objemová aktivita beta</w:t>
            </w:r>
          </w:p>
        </w:tc>
        <w:tc>
          <w:tcPr>
            <w:tcW w:w="2653" w:type="dxa"/>
            <w:tcBorders>
              <w:bottom w:val="single" w:sz="12" w:space="0" w:color="auto"/>
            </w:tcBorders>
          </w:tcPr>
          <w:p w14:paraId="1947EB47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</w:p>
          <w:p w14:paraId="7719C7F3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 xml:space="preserve">50 </w:t>
            </w:r>
            <w:proofErr w:type="spellStart"/>
            <w:r w:rsidRPr="00BA29C4">
              <w:rPr>
                <w:sz w:val="20"/>
              </w:rPr>
              <w:t>Bq</w:t>
            </w:r>
            <w:proofErr w:type="spellEnd"/>
            <w:r w:rsidRPr="00BA29C4">
              <w:rPr>
                <w:sz w:val="20"/>
              </w:rPr>
              <w:t>/l</w:t>
            </w:r>
          </w:p>
          <w:p w14:paraId="3318A838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 xml:space="preserve">100 </w:t>
            </w:r>
            <w:proofErr w:type="spellStart"/>
            <w:r w:rsidRPr="00BA29C4">
              <w:rPr>
                <w:sz w:val="20"/>
              </w:rPr>
              <w:t>Bq</w:t>
            </w:r>
            <w:proofErr w:type="spellEnd"/>
            <w:r w:rsidRPr="00BA29C4">
              <w:rPr>
                <w:sz w:val="20"/>
              </w:rPr>
              <w:t>/l</w:t>
            </w: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</w:tcPr>
          <w:p w14:paraId="53FA3865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</w:p>
          <w:p w14:paraId="4152628B" w14:textId="77777777" w:rsidR="00BA29C4" w:rsidRPr="00BA29C4" w:rsidRDefault="00BA29C4" w:rsidP="00CE67AC">
            <w:pPr>
              <w:spacing w:before="60"/>
              <w:jc w:val="center"/>
              <w:rPr>
                <w:sz w:val="20"/>
              </w:rPr>
            </w:pPr>
            <w:r w:rsidRPr="00BA29C4">
              <w:rPr>
                <w:sz w:val="20"/>
              </w:rPr>
              <w:t xml:space="preserve">50 </w:t>
            </w:r>
            <w:proofErr w:type="spellStart"/>
            <w:r w:rsidRPr="00BA29C4">
              <w:rPr>
                <w:sz w:val="20"/>
              </w:rPr>
              <w:t>Bq</w:t>
            </w:r>
            <w:proofErr w:type="spellEnd"/>
            <w:r w:rsidRPr="00BA29C4">
              <w:rPr>
                <w:sz w:val="20"/>
              </w:rPr>
              <w:t>/l</w:t>
            </w:r>
          </w:p>
          <w:p w14:paraId="109B3EE6" w14:textId="77777777" w:rsidR="00BA29C4" w:rsidRPr="00BA29C4" w:rsidRDefault="00BA29C4" w:rsidP="00CE67AC">
            <w:pPr>
              <w:jc w:val="center"/>
              <w:rPr>
                <w:sz w:val="20"/>
              </w:rPr>
            </w:pPr>
            <w:r w:rsidRPr="00BA29C4">
              <w:rPr>
                <w:sz w:val="20"/>
              </w:rPr>
              <w:t xml:space="preserve">100 </w:t>
            </w:r>
            <w:proofErr w:type="spellStart"/>
            <w:r w:rsidRPr="00BA29C4">
              <w:rPr>
                <w:sz w:val="20"/>
              </w:rPr>
              <w:t>Bq</w:t>
            </w:r>
            <w:proofErr w:type="spellEnd"/>
            <w:r w:rsidRPr="00BA29C4">
              <w:rPr>
                <w:sz w:val="20"/>
              </w:rPr>
              <w:t>/l</w:t>
            </w:r>
          </w:p>
        </w:tc>
      </w:tr>
    </w:tbl>
    <w:p w14:paraId="63A9B82C" w14:textId="77777777" w:rsidR="000F74F5" w:rsidRDefault="000F74F5">
      <w:pPr>
        <w:rPr>
          <w:sz w:val="20"/>
        </w:rPr>
      </w:pPr>
    </w:p>
    <w:p w14:paraId="010B5BBC" w14:textId="77777777" w:rsidR="000F74F5" w:rsidRPr="008D6FF2" w:rsidRDefault="00D86EB1" w:rsidP="00D86EB1">
      <w:pPr>
        <w:rPr>
          <w:sz w:val="22"/>
          <w:szCs w:val="22"/>
        </w:rPr>
      </w:pPr>
      <w:r w:rsidRPr="008D6FF2">
        <w:rPr>
          <w:i/>
          <w:sz w:val="22"/>
          <w:szCs w:val="22"/>
        </w:rPr>
        <w:t>C.3.</w:t>
      </w:r>
      <w:r w:rsidR="000F74F5" w:rsidRPr="008D6FF2">
        <w:rPr>
          <w:i/>
          <w:sz w:val="22"/>
          <w:szCs w:val="22"/>
        </w:rPr>
        <w:t xml:space="preserve"> Způsob kontroly kvality odpadních vod</w:t>
      </w:r>
    </w:p>
    <w:p w14:paraId="2BCAF66B" w14:textId="77777777" w:rsidR="00BA29C4" w:rsidRPr="00E8658E" w:rsidRDefault="00BA29C4" w:rsidP="00BA29C4">
      <w:pPr>
        <w:pStyle w:val="Zkladntext22"/>
        <w:tabs>
          <w:tab w:val="left" w:pos="405"/>
        </w:tabs>
        <w:ind w:left="45"/>
        <w:rPr>
          <w:b/>
          <w:bCs/>
          <w:color w:val="000000"/>
          <w:sz w:val="20"/>
        </w:rPr>
      </w:pPr>
      <w:r w:rsidRPr="00E8658E">
        <w:rPr>
          <w:b/>
          <w:bCs/>
          <w:color w:val="000000"/>
          <w:sz w:val="20"/>
        </w:rPr>
        <w:t xml:space="preserve">Odběratel je povinen vést záznam o provedených kontrolách a údržbě </w:t>
      </w:r>
      <w:proofErr w:type="spellStart"/>
      <w:r w:rsidRPr="00E8658E">
        <w:rPr>
          <w:b/>
          <w:bCs/>
          <w:color w:val="000000"/>
          <w:sz w:val="20"/>
        </w:rPr>
        <w:t>předčistícího</w:t>
      </w:r>
      <w:proofErr w:type="spellEnd"/>
      <w:r w:rsidRPr="00E8658E">
        <w:rPr>
          <w:b/>
          <w:bCs/>
          <w:color w:val="000000"/>
          <w:sz w:val="20"/>
        </w:rPr>
        <w:t xml:space="preserve"> zařízení (je-li instalováno) a prová</w:t>
      </w:r>
      <w:r>
        <w:rPr>
          <w:b/>
          <w:bCs/>
          <w:color w:val="000000"/>
          <w:sz w:val="20"/>
        </w:rPr>
        <w:t xml:space="preserve">dět </w:t>
      </w:r>
      <w:r w:rsidRPr="00E8658E">
        <w:rPr>
          <w:b/>
          <w:bCs/>
          <w:color w:val="000000"/>
          <w:sz w:val="20"/>
        </w:rPr>
        <w:t xml:space="preserve">na určeném odběrném místě odběry a rozbory vzorků vypouštěných odpadních vod </w:t>
      </w:r>
      <w:r>
        <w:rPr>
          <w:b/>
          <w:bCs/>
          <w:color w:val="000000"/>
          <w:sz w:val="20"/>
        </w:rPr>
        <w:t xml:space="preserve">akreditovanou laboratoří </w:t>
      </w:r>
      <w:r w:rsidRPr="00E8658E">
        <w:rPr>
          <w:b/>
          <w:bCs/>
          <w:color w:val="000000"/>
          <w:sz w:val="20"/>
        </w:rPr>
        <w:t>a to v rozsahu ukazatelů, četnosti a typu vzorku uvedených v kanalizačním řádu Skupinové kanalizace města Znojma</w:t>
      </w:r>
      <w:r>
        <w:rPr>
          <w:b/>
          <w:bCs/>
          <w:color w:val="000000"/>
          <w:sz w:val="20"/>
        </w:rPr>
        <w:t xml:space="preserve"> schválené Rozhodnutím </w:t>
      </w:r>
      <w:proofErr w:type="spellStart"/>
      <w:r>
        <w:rPr>
          <w:b/>
          <w:bCs/>
          <w:color w:val="000000"/>
          <w:sz w:val="20"/>
        </w:rPr>
        <w:t>MěÚ</w:t>
      </w:r>
      <w:proofErr w:type="spellEnd"/>
      <w:r>
        <w:rPr>
          <w:b/>
          <w:bCs/>
          <w:color w:val="000000"/>
          <w:sz w:val="20"/>
        </w:rPr>
        <w:t xml:space="preserve"> Znojmo OŽP </w:t>
      </w:r>
      <w:proofErr w:type="gramStart"/>
      <w:r>
        <w:rPr>
          <w:b/>
          <w:bCs/>
          <w:color w:val="000000"/>
          <w:sz w:val="20"/>
        </w:rPr>
        <w:t>č.j.</w:t>
      </w:r>
      <w:proofErr w:type="gramEnd"/>
      <w:r>
        <w:rPr>
          <w:b/>
          <w:bCs/>
          <w:color w:val="000000"/>
          <w:sz w:val="20"/>
        </w:rPr>
        <w:t xml:space="preserve"> MUZN 25712/2018 ze dne 19.3.2018</w:t>
      </w:r>
      <w:r w:rsidRPr="00E8658E">
        <w:rPr>
          <w:b/>
          <w:bCs/>
          <w:color w:val="000000"/>
          <w:sz w:val="20"/>
        </w:rPr>
        <w:t xml:space="preserve">. Výsledky rozborů budou průběžně předávány </w:t>
      </w:r>
      <w:r>
        <w:rPr>
          <w:b/>
          <w:bCs/>
          <w:color w:val="000000"/>
          <w:sz w:val="20"/>
        </w:rPr>
        <w:t>dodavateli</w:t>
      </w:r>
      <w:r w:rsidRPr="00E8658E">
        <w:rPr>
          <w:b/>
          <w:bCs/>
          <w:color w:val="000000"/>
          <w:sz w:val="20"/>
        </w:rPr>
        <w:t>, nejpozději však do konce měsíce února následujícího kalendářního roku.</w:t>
      </w:r>
    </w:p>
    <w:p w14:paraId="245C266A" w14:textId="77777777" w:rsidR="00BA29C4" w:rsidRPr="00E8658E" w:rsidRDefault="00BA29C4" w:rsidP="00BA29C4">
      <w:pPr>
        <w:pStyle w:val="Zkladntext22"/>
        <w:tabs>
          <w:tab w:val="left" w:pos="405"/>
        </w:tabs>
        <w:ind w:left="45"/>
        <w:rPr>
          <w:bCs/>
          <w:color w:val="000000"/>
          <w:sz w:val="20"/>
        </w:rPr>
      </w:pPr>
      <w:r>
        <w:rPr>
          <w:bCs/>
          <w:color w:val="000000"/>
          <w:sz w:val="20"/>
        </w:rPr>
        <w:t>Dodavatel</w:t>
      </w:r>
      <w:r w:rsidRPr="00E8658E">
        <w:rPr>
          <w:bCs/>
          <w:color w:val="000000"/>
          <w:sz w:val="20"/>
        </w:rPr>
        <w:t xml:space="preserve"> bude namátkově provádět odběr kontrolního vzorku ve stejném odběrném místě</w:t>
      </w:r>
      <w:r>
        <w:rPr>
          <w:bCs/>
          <w:color w:val="000000"/>
          <w:sz w:val="20"/>
        </w:rPr>
        <w:t>. T</w:t>
      </w:r>
      <w:r w:rsidRPr="00E8658E">
        <w:rPr>
          <w:bCs/>
          <w:color w:val="000000"/>
          <w:sz w:val="20"/>
        </w:rPr>
        <w:t>ento odběr je směrodatný pro kontrolu dodržování podmínek smlouvy.</w:t>
      </w:r>
      <w:r>
        <w:rPr>
          <w:bCs/>
          <w:color w:val="000000"/>
          <w:sz w:val="20"/>
        </w:rPr>
        <w:t xml:space="preserve"> Pro kontrolu vypouštěných odpadních vod bude zajištěn přístup vzorkaře provozovatele splaškové kanalizace k odběrnému místu</w:t>
      </w:r>
      <w:r>
        <w:rPr>
          <w:b/>
          <w:bCs/>
          <w:color w:val="000000"/>
          <w:sz w:val="20"/>
        </w:rPr>
        <w:t xml:space="preserve">. </w:t>
      </w:r>
      <w:r w:rsidRPr="00E8658E">
        <w:rPr>
          <w:bCs/>
          <w:color w:val="000000"/>
          <w:sz w:val="20"/>
        </w:rPr>
        <w:t>Odběr bude oznámen zástupci odběratele, v případě jeho zájmu mu bude umožněna účast při odběru vzorku, resp. možnost získat část odebraného vzorku k paralelnímu rozboru</w:t>
      </w:r>
      <w:r>
        <w:rPr>
          <w:bCs/>
          <w:color w:val="000000"/>
          <w:sz w:val="20"/>
        </w:rPr>
        <w:t xml:space="preserve">. Paralelní rozbor musí být proveden akreditovanou laboratoří. </w:t>
      </w:r>
      <w:r w:rsidRPr="00E8658E">
        <w:rPr>
          <w:bCs/>
          <w:color w:val="000000"/>
          <w:sz w:val="20"/>
        </w:rPr>
        <w:t>Pokud se odběratel vzorku nezúčastní, je odběr provedený dodavatelem platný. O odběru vzorku sepíše dodavatel s odběratelem protokol. Za kvalitu vypouštěných odpadních vod vždy ručí vlastník připojené nemovitosti.</w:t>
      </w:r>
      <w:r>
        <w:rPr>
          <w:b/>
          <w:bCs/>
          <w:color w:val="000000"/>
          <w:sz w:val="20"/>
        </w:rPr>
        <w:t xml:space="preserve"> </w:t>
      </w:r>
    </w:p>
    <w:p w14:paraId="7E3A70AE" w14:textId="77777777" w:rsidR="00BA29C4" w:rsidRPr="00293548" w:rsidRDefault="00BA29C4" w:rsidP="00BA29C4">
      <w:pPr>
        <w:pStyle w:val="Zkladntext"/>
        <w:jc w:val="left"/>
        <w:rPr>
          <w:b/>
          <w:bCs/>
          <w:sz w:val="2"/>
        </w:rPr>
      </w:pPr>
    </w:p>
    <w:p w14:paraId="2301C64D" w14:textId="77777777" w:rsidR="00BA29C4" w:rsidRDefault="00BA29C4" w:rsidP="00BA29C4">
      <w:pPr>
        <w:tabs>
          <w:tab w:val="left" w:pos="456"/>
          <w:tab w:val="left" w:pos="1816"/>
          <w:tab w:val="left" w:pos="4566"/>
          <w:tab w:val="left" w:pos="5757"/>
          <w:tab w:val="left" w:pos="6785"/>
          <w:tab w:val="left" w:pos="7614"/>
          <w:tab w:val="left" w:pos="10405"/>
        </w:tabs>
        <w:rPr>
          <w:sz w:val="22"/>
        </w:rPr>
      </w:pPr>
      <w:r>
        <w:rPr>
          <w:sz w:val="18"/>
        </w:rPr>
        <w:tab/>
      </w:r>
      <w:r>
        <w:rPr>
          <w:sz w:val="22"/>
        </w:rPr>
        <w:t>Typ kontrolního vzorku:</w:t>
      </w:r>
    </w:p>
    <w:p w14:paraId="1621363E" w14:textId="77777777" w:rsidR="00BA29C4" w:rsidRPr="00BA29C4" w:rsidRDefault="00BA29C4" w:rsidP="00BA29C4">
      <w:pPr>
        <w:tabs>
          <w:tab w:val="left" w:pos="426"/>
          <w:tab w:val="left" w:pos="7614"/>
          <w:tab w:val="left" w:pos="10405"/>
        </w:tabs>
      </w:pPr>
      <w:r w:rsidRPr="00BA29C4">
        <w:rPr>
          <w:b/>
        </w:rPr>
        <w:t>-</w:t>
      </w:r>
      <w:r>
        <w:tab/>
      </w:r>
      <w:r w:rsidRPr="00BA29C4">
        <w:rPr>
          <w:sz w:val="20"/>
        </w:rPr>
        <w:t>v případě koncentrační hodnoty maximální je směrodatný vzorek prostý (bodový)</w:t>
      </w:r>
    </w:p>
    <w:p w14:paraId="132A99D4" w14:textId="77777777" w:rsidR="00BA29C4" w:rsidRDefault="00BA29C4" w:rsidP="00BA29C4">
      <w:pPr>
        <w:pStyle w:val="Zkladntext22"/>
        <w:tabs>
          <w:tab w:val="left" w:pos="405"/>
        </w:tabs>
        <w:ind w:left="426" w:hanging="426"/>
        <w:jc w:val="left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  <w:t xml:space="preserve">v případě bilanční hodnoty, resp. koncentrační hodnoty průměrné je směrodatný vzorek směsný, odebíraný po dobu 2hod. v intervalech 15 minut </w:t>
      </w:r>
    </w:p>
    <w:p w14:paraId="645C216C" w14:textId="77777777" w:rsidR="00EB65AE" w:rsidRPr="00EB65AE" w:rsidRDefault="00EB65AE" w:rsidP="00EB65AE">
      <w:pPr>
        <w:pStyle w:val="Zkladntext21"/>
        <w:ind w:left="45"/>
        <w:jc w:val="left"/>
        <w:rPr>
          <w:sz w:val="20"/>
        </w:rPr>
      </w:pPr>
    </w:p>
    <w:p w14:paraId="3D7B0A0C" w14:textId="77777777" w:rsidR="000F74F5" w:rsidRPr="008D6FF2" w:rsidRDefault="00D86EB1" w:rsidP="00B849ED">
      <w:pPr>
        <w:rPr>
          <w:sz w:val="22"/>
          <w:szCs w:val="22"/>
        </w:rPr>
      </w:pPr>
      <w:r w:rsidRPr="008D6FF2">
        <w:rPr>
          <w:i/>
          <w:sz w:val="22"/>
          <w:szCs w:val="22"/>
        </w:rPr>
        <w:t>C.4.</w:t>
      </w:r>
      <w:r w:rsidR="000F74F5" w:rsidRPr="008D6FF2">
        <w:rPr>
          <w:i/>
          <w:sz w:val="22"/>
          <w:szCs w:val="22"/>
        </w:rPr>
        <w:t xml:space="preserve"> Stanovení jiných podmínek pro vypouštění odpadních vod do kanalizace k veřejné potřebě</w:t>
      </w:r>
    </w:p>
    <w:p w14:paraId="343D31B9" w14:textId="77777777" w:rsidR="00870453" w:rsidRPr="008D6FF2" w:rsidRDefault="00870453" w:rsidP="00B849ED">
      <w:pPr>
        <w:rPr>
          <w:sz w:val="20"/>
        </w:rPr>
      </w:pPr>
      <w:r w:rsidRPr="008D6FF2">
        <w:rPr>
          <w:sz w:val="20"/>
        </w:rPr>
        <w:t>V případě odběru podzemních vod a jejich vypouštění do kanalizace je nutné toto okamžitě nahlásit dodavateli a následně bude tato skutečnost promítnuta do smlouvy.</w:t>
      </w:r>
    </w:p>
    <w:p w14:paraId="2AA94500" w14:textId="77777777" w:rsidR="000F74F5" w:rsidRPr="00EB65AE" w:rsidRDefault="000F74F5">
      <w:pPr>
        <w:rPr>
          <w:sz w:val="20"/>
        </w:rPr>
      </w:pPr>
    </w:p>
    <w:p w14:paraId="3AC8CCB8" w14:textId="77777777" w:rsidR="000F74F5" w:rsidRPr="008D6FF2" w:rsidRDefault="00D86EB1" w:rsidP="000F74F5">
      <w:pPr>
        <w:tabs>
          <w:tab w:val="left" w:pos="951"/>
          <w:tab w:val="left" w:pos="3965"/>
          <w:tab w:val="left" w:pos="4241"/>
          <w:tab w:val="left" w:pos="4517"/>
          <w:tab w:val="left" w:pos="6213"/>
          <w:tab w:val="left" w:pos="6374"/>
          <w:tab w:val="left" w:pos="11131"/>
        </w:tabs>
        <w:rPr>
          <w:b/>
        </w:rPr>
      </w:pPr>
      <w:r w:rsidRPr="008D6FF2">
        <w:rPr>
          <w:i/>
          <w:sz w:val="22"/>
          <w:szCs w:val="22"/>
        </w:rPr>
        <w:t>C.5.</w:t>
      </w:r>
      <w:r w:rsidR="000F74F5" w:rsidRPr="008D6FF2">
        <w:rPr>
          <w:i/>
          <w:sz w:val="22"/>
          <w:szCs w:val="22"/>
        </w:rPr>
        <w:t xml:space="preserve"> Stanovení výše procenta stočného pro výpočet smluvní pokuty </w:t>
      </w:r>
      <w:r w:rsidR="002D57F7" w:rsidRPr="008D6FF2">
        <w:rPr>
          <w:i/>
          <w:sz w:val="22"/>
          <w:szCs w:val="22"/>
        </w:rPr>
        <w:t>d</w:t>
      </w:r>
      <w:r w:rsidR="000F74F5" w:rsidRPr="008D6FF2">
        <w:rPr>
          <w:i/>
          <w:sz w:val="22"/>
          <w:szCs w:val="22"/>
        </w:rPr>
        <w:t>le všeobecných podmínek dodávky vody a odvádění odpadních vod</w:t>
      </w:r>
    </w:p>
    <w:tbl>
      <w:tblPr>
        <w:tblW w:w="9073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2"/>
        <w:gridCol w:w="1741"/>
      </w:tblGrid>
      <w:tr w:rsidR="002D57F7" w:rsidRPr="008D6FF2" w14:paraId="68F0D849" w14:textId="77777777" w:rsidTr="00BD14D3">
        <w:trPr>
          <w:trHeight w:val="7"/>
        </w:trPr>
        <w:tc>
          <w:tcPr>
            <w:tcW w:w="733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</w:tcPr>
          <w:p w14:paraId="44627FC4" w14:textId="77777777" w:rsidR="002D57F7" w:rsidRPr="00B849ED" w:rsidRDefault="002D57F7" w:rsidP="008C7DC9">
            <w:pPr>
              <w:jc w:val="center"/>
              <w:rPr>
                <w:b/>
                <w:sz w:val="20"/>
              </w:rPr>
            </w:pPr>
            <w:r w:rsidRPr="00B849ED">
              <w:rPr>
                <w:b/>
                <w:sz w:val="20"/>
              </w:rPr>
              <w:t>Ukazatel znečištění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11CC62A4" w14:textId="77777777" w:rsidR="002D57F7" w:rsidRPr="00B849ED" w:rsidRDefault="002D57F7" w:rsidP="008C7DC9">
            <w:pPr>
              <w:jc w:val="center"/>
              <w:rPr>
                <w:b/>
                <w:sz w:val="20"/>
              </w:rPr>
            </w:pPr>
            <w:r w:rsidRPr="00B849ED">
              <w:rPr>
                <w:b/>
                <w:sz w:val="20"/>
              </w:rPr>
              <w:t>Procento stočného (%)</w:t>
            </w:r>
          </w:p>
        </w:tc>
      </w:tr>
      <w:tr w:rsidR="002D57F7" w:rsidRPr="008D6FF2" w14:paraId="375DE927" w14:textId="77777777" w:rsidTr="00BD14D3">
        <w:trPr>
          <w:trHeight w:val="7"/>
        </w:trPr>
        <w:tc>
          <w:tcPr>
            <w:tcW w:w="7332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AA656E3" w14:textId="77777777" w:rsidR="002D57F7" w:rsidRPr="008D6FF2" w:rsidRDefault="002D57F7" w:rsidP="008C7DC9">
            <w:pPr>
              <w:rPr>
                <w:sz w:val="20"/>
              </w:rPr>
            </w:pPr>
            <w:r w:rsidRPr="008D6FF2">
              <w:rPr>
                <w:sz w:val="20"/>
              </w:rPr>
              <w:t>pH</w:t>
            </w:r>
          </w:p>
        </w:tc>
        <w:tc>
          <w:tcPr>
            <w:tcW w:w="174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6031A8" w14:textId="77777777" w:rsidR="002D57F7" w:rsidRPr="008D6FF2" w:rsidRDefault="002D57F7" w:rsidP="008C7DC9">
            <w:pPr>
              <w:jc w:val="center"/>
              <w:rPr>
                <w:sz w:val="20"/>
              </w:rPr>
            </w:pPr>
            <w:r w:rsidRPr="008D6FF2">
              <w:rPr>
                <w:sz w:val="20"/>
              </w:rPr>
              <w:t>15</w:t>
            </w:r>
          </w:p>
        </w:tc>
      </w:tr>
      <w:tr w:rsidR="002D57F7" w:rsidRPr="008D6FF2" w14:paraId="75FE908A" w14:textId="77777777" w:rsidTr="00BD14D3">
        <w:trPr>
          <w:trHeight w:val="6"/>
        </w:trPr>
        <w:tc>
          <w:tcPr>
            <w:tcW w:w="7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8C63EF5" w14:textId="77777777" w:rsidR="002D57F7" w:rsidRPr="008D6FF2" w:rsidRDefault="002D57F7" w:rsidP="008C7DC9">
            <w:pPr>
              <w:rPr>
                <w:sz w:val="20"/>
              </w:rPr>
            </w:pPr>
            <w:r w:rsidRPr="008D6FF2">
              <w:rPr>
                <w:sz w:val="20"/>
              </w:rPr>
              <w:t>BSK</w:t>
            </w:r>
            <w:r w:rsidRPr="008D6FF2">
              <w:rPr>
                <w:sz w:val="20"/>
                <w:vertAlign w:val="subscript"/>
              </w:rPr>
              <w:t>5</w:t>
            </w:r>
            <w:r w:rsidRPr="008D6FF2">
              <w:rPr>
                <w:sz w:val="20"/>
              </w:rPr>
              <w:t>,CHSK-</w:t>
            </w:r>
            <w:r w:rsidRPr="008D6FF2">
              <w:rPr>
                <w:sz w:val="20"/>
                <w:vertAlign w:val="subscript"/>
              </w:rPr>
              <w:t>Cr</w:t>
            </w:r>
            <w:r w:rsidRPr="008D6FF2">
              <w:rPr>
                <w:sz w:val="20"/>
              </w:rPr>
              <w:t>,NL,N-NH</w:t>
            </w:r>
            <w:r w:rsidRPr="008D6FF2">
              <w:rPr>
                <w:sz w:val="20"/>
                <w:vertAlign w:val="subscript"/>
              </w:rPr>
              <w:t>4</w:t>
            </w:r>
            <w:r w:rsidRPr="008D6FF2">
              <w:rPr>
                <w:sz w:val="20"/>
                <w:vertAlign w:val="superscript"/>
              </w:rPr>
              <w:t>+</w:t>
            </w:r>
            <w:r w:rsidRPr="008D6FF2">
              <w:rPr>
                <w:sz w:val="20"/>
              </w:rPr>
              <w:t>,P</w:t>
            </w:r>
            <w:r w:rsidRPr="008D6FF2">
              <w:rPr>
                <w:sz w:val="20"/>
                <w:vertAlign w:val="subscript"/>
              </w:rPr>
              <w:t>celk</w:t>
            </w:r>
            <w:r w:rsidRPr="008D6FF2">
              <w:rPr>
                <w:sz w:val="20"/>
              </w:rPr>
              <w:t>, EL, RAS, RL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A02E9" w14:textId="77777777" w:rsidR="002D57F7" w:rsidRPr="008D6FF2" w:rsidRDefault="002D57F7" w:rsidP="008C7DC9">
            <w:pPr>
              <w:jc w:val="center"/>
              <w:rPr>
                <w:sz w:val="20"/>
              </w:rPr>
            </w:pPr>
            <w:r w:rsidRPr="008D6FF2">
              <w:rPr>
                <w:sz w:val="20"/>
              </w:rPr>
              <w:t>3</w:t>
            </w:r>
          </w:p>
        </w:tc>
      </w:tr>
      <w:tr w:rsidR="002D57F7" w:rsidRPr="008D6FF2" w14:paraId="2204F4C3" w14:textId="77777777" w:rsidTr="00BD14D3">
        <w:trPr>
          <w:trHeight w:val="7"/>
        </w:trPr>
        <w:tc>
          <w:tcPr>
            <w:tcW w:w="7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FBED8D" w14:textId="77777777" w:rsidR="002D57F7" w:rsidRPr="008D6FF2" w:rsidRDefault="002D57F7" w:rsidP="008C7DC9">
            <w:pPr>
              <w:rPr>
                <w:sz w:val="20"/>
              </w:rPr>
            </w:pPr>
            <w:proofErr w:type="spellStart"/>
            <w:r w:rsidRPr="008D6FF2">
              <w:rPr>
                <w:sz w:val="20"/>
              </w:rPr>
              <w:t>rtuť,kadmium,arsen,olovo,chrom,nikl,měď,zinek,AOX,</w:t>
            </w:r>
            <w:proofErr w:type="gramStart"/>
            <w:r w:rsidRPr="008D6FF2">
              <w:rPr>
                <w:sz w:val="20"/>
              </w:rPr>
              <w:t>PCB,tenzidy</w:t>
            </w:r>
            <w:proofErr w:type="spellEnd"/>
            <w:proofErr w:type="gramEnd"/>
            <w:r w:rsidRPr="008D6FF2">
              <w:rPr>
                <w:sz w:val="20"/>
              </w:rPr>
              <w:t>, NEL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D517F4" w14:textId="77777777" w:rsidR="002D57F7" w:rsidRPr="008D6FF2" w:rsidRDefault="002D57F7" w:rsidP="008C7DC9">
            <w:pPr>
              <w:jc w:val="center"/>
              <w:rPr>
                <w:sz w:val="20"/>
              </w:rPr>
            </w:pPr>
            <w:r w:rsidRPr="008D6FF2">
              <w:rPr>
                <w:sz w:val="20"/>
              </w:rPr>
              <w:t>6</w:t>
            </w:r>
          </w:p>
        </w:tc>
      </w:tr>
      <w:tr w:rsidR="002D57F7" w:rsidRPr="008D6FF2" w14:paraId="4094B2BB" w14:textId="77777777" w:rsidTr="00BD14D3">
        <w:trPr>
          <w:trHeight w:val="1"/>
        </w:trPr>
        <w:tc>
          <w:tcPr>
            <w:tcW w:w="73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32E9FE7" w14:textId="77777777" w:rsidR="002D57F7" w:rsidRPr="008D6FF2" w:rsidRDefault="002D57F7" w:rsidP="008C7DC9">
            <w:pPr>
              <w:pStyle w:val="Zhlav"/>
              <w:tabs>
                <w:tab w:val="clear" w:pos="4536"/>
                <w:tab w:val="clear" w:pos="9072"/>
              </w:tabs>
            </w:pPr>
            <w:r w:rsidRPr="008D6FF2">
              <w:t xml:space="preserve">Ostatní ukazatele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EB92A33" w14:textId="77777777" w:rsidR="002D57F7" w:rsidRPr="008D6FF2" w:rsidRDefault="002D57F7" w:rsidP="008C7DC9">
            <w:pPr>
              <w:jc w:val="center"/>
              <w:rPr>
                <w:sz w:val="20"/>
              </w:rPr>
            </w:pPr>
            <w:r w:rsidRPr="008D6FF2">
              <w:rPr>
                <w:sz w:val="20"/>
              </w:rPr>
              <w:t>1</w:t>
            </w:r>
          </w:p>
        </w:tc>
      </w:tr>
    </w:tbl>
    <w:p w14:paraId="23997F5C" w14:textId="77777777" w:rsidR="000F74F5" w:rsidRPr="00B849ED" w:rsidRDefault="000F74F5">
      <w:pPr>
        <w:rPr>
          <w:sz w:val="20"/>
        </w:rPr>
      </w:pPr>
    </w:p>
    <w:p w14:paraId="52B7B494" w14:textId="77777777" w:rsidR="008723C8" w:rsidRDefault="008723C8" w:rsidP="000F74F5">
      <w:pPr>
        <w:tabs>
          <w:tab w:val="left" w:pos="4395"/>
        </w:tabs>
      </w:pPr>
    </w:p>
    <w:p w14:paraId="6C976888" w14:textId="12E7E9F0" w:rsidR="000F74F5" w:rsidRPr="008D6FF2" w:rsidRDefault="000F74F5" w:rsidP="000F74F5">
      <w:pPr>
        <w:tabs>
          <w:tab w:val="left" w:pos="4395"/>
        </w:tabs>
      </w:pPr>
      <w:r w:rsidRPr="008D6FF2">
        <w:t xml:space="preserve">Ve Znojmě dne </w:t>
      </w:r>
      <w:r w:rsidR="00DB2F30">
        <w:t>13. 08. 2019</w:t>
      </w:r>
      <w:r w:rsidRPr="008D6FF2">
        <w:tab/>
      </w:r>
      <w:r w:rsidR="00E43B7F">
        <w:t xml:space="preserve">               </w:t>
      </w:r>
      <w:r w:rsidRPr="008D6FF2">
        <w:t>V</w:t>
      </w:r>
      <w:r w:rsidR="00E43B7F">
        <w:t xml:space="preserve"> </w:t>
      </w:r>
      <w:proofErr w:type="gramStart"/>
      <w:r w:rsidR="00E43B7F">
        <w:t xml:space="preserve">Brně </w:t>
      </w:r>
      <w:r w:rsidRPr="008D6FF2">
        <w:t xml:space="preserve"> dne</w:t>
      </w:r>
      <w:proofErr w:type="gramEnd"/>
      <w:r w:rsidRPr="008D6FF2">
        <w:t xml:space="preserve"> </w:t>
      </w:r>
      <w:r w:rsidR="00DB2F30">
        <w:t>2. 09. 2019</w:t>
      </w:r>
      <w:bookmarkStart w:id="4" w:name="_GoBack"/>
      <w:bookmarkEnd w:id="4"/>
    </w:p>
    <w:p w14:paraId="07921049" w14:textId="77777777" w:rsidR="000F74F5" w:rsidRPr="00B849ED" w:rsidRDefault="000F74F5" w:rsidP="000F74F5">
      <w:pPr>
        <w:tabs>
          <w:tab w:val="left" w:pos="4536"/>
        </w:tabs>
        <w:rPr>
          <w:sz w:val="20"/>
        </w:rPr>
      </w:pPr>
    </w:p>
    <w:p w14:paraId="09878322" w14:textId="77777777" w:rsidR="00255001" w:rsidRPr="00B849ED" w:rsidRDefault="00255001" w:rsidP="000F74F5">
      <w:pPr>
        <w:tabs>
          <w:tab w:val="left" w:pos="4536"/>
        </w:tabs>
        <w:rPr>
          <w:sz w:val="20"/>
        </w:rPr>
      </w:pPr>
    </w:p>
    <w:p w14:paraId="2EBE7530" w14:textId="77777777" w:rsidR="000F74F5" w:rsidRDefault="000F74F5" w:rsidP="000F74F5">
      <w:pPr>
        <w:tabs>
          <w:tab w:val="left" w:pos="4536"/>
        </w:tabs>
        <w:rPr>
          <w:sz w:val="20"/>
        </w:rPr>
      </w:pPr>
    </w:p>
    <w:p w14:paraId="5BA27100" w14:textId="77777777" w:rsidR="0091381A" w:rsidRPr="00B849ED" w:rsidRDefault="0091381A" w:rsidP="000F74F5">
      <w:pPr>
        <w:tabs>
          <w:tab w:val="left" w:pos="4536"/>
        </w:tabs>
        <w:rPr>
          <w:sz w:val="20"/>
        </w:rPr>
      </w:pPr>
    </w:p>
    <w:p w14:paraId="01D6008B" w14:textId="77777777" w:rsidR="000F74F5" w:rsidRPr="00B849ED" w:rsidRDefault="000F74F5" w:rsidP="000F74F5">
      <w:pPr>
        <w:tabs>
          <w:tab w:val="left" w:pos="4536"/>
        </w:tabs>
        <w:rPr>
          <w:sz w:val="20"/>
        </w:rPr>
      </w:pPr>
    </w:p>
    <w:p w14:paraId="09DF8B6C" w14:textId="77777777" w:rsidR="000F74F5" w:rsidRPr="008D6FF2" w:rsidRDefault="000F74F5" w:rsidP="000F74F5">
      <w:pPr>
        <w:tabs>
          <w:tab w:val="left" w:pos="993"/>
          <w:tab w:val="left" w:pos="5670"/>
        </w:tabs>
      </w:pPr>
      <w:r w:rsidRPr="008D6FF2">
        <w:tab/>
        <w:t>DODAVATEL</w:t>
      </w:r>
      <w:r w:rsidRPr="008D6FF2">
        <w:tab/>
        <w:t>ODBĚRATEL</w:t>
      </w:r>
    </w:p>
    <w:sectPr w:rsidR="000F74F5" w:rsidRPr="008D6FF2" w:rsidSect="00FB6A01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946D754"/>
    <w:lvl w:ilvl="0">
      <w:numFmt w:val="bullet"/>
      <w:lvlText w:val="*"/>
      <w:lvlJc w:val="left"/>
    </w:lvl>
  </w:abstractNum>
  <w:abstractNum w:abstractNumId="1" w15:restartNumberingAfterBreak="0">
    <w:nsid w:val="33F615FA"/>
    <w:multiLevelType w:val="hybridMultilevel"/>
    <w:tmpl w:val="20C23B4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F03AB"/>
    <w:multiLevelType w:val="hybridMultilevel"/>
    <w:tmpl w:val="365836DC"/>
    <w:lvl w:ilvl="0" w:tplc="F8D84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2792D"/>
    <w:multiLevelType w:val="singleLevel"/>
    <w:tmpl w:val="E834BD22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4"/>
        <w:numFmt w:val="bullet"/>
        <w:lvlText w:val="-"/>
        <w:legacy w:legacy="1" w:legacySpace="120" w:legacyIndent="360"/>
        <w:lvlJc w:val="left"/>
        <w:pPr>
          <w:ind w:left="360" w:hanging="360"/>
        </w:pPr>
        <w:rPr>
          <w:b/>
        </w:rPr>
      </w:lvl>
    </w:lvlOverride>
  </w:num>
  <w:num w:numId="4">
    <w:abstractNumId w:val="1"/>
  </w:num>
  <w:num w:numId="5">
    <w:abstractNumId w:val="0"/>
    <w:lvlOverride w:ilvl="0">
      <w:lvl w:ilvl="0">
        <w:start w:val="4"/>
        <w:numFmt w:val="bullet"/>
        <w:lvlText w:val="-"/>
        <w:legacy w:legacy="1" w:legacySpace="120" w:legacyIndent="360"/>
        <w:lvlJc w:val="left"/>
        <w:pPr>
          <w:ind w:left="405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F5"/>
    <w:rsid w:val="000F74F5"/>
    <w:rsid w:val="001B5444"/>
    <w:rsid w:val="00207014"/>
    <w:rsid w:val="00255001"/>
    <w:rsid w:val="00271CBF"/>
    <w:rsid w:val="002D57F7"/>
    <w:rsid w:val="00442D43"/>
    <w:rsid w:val="004E1247"/>
    <w:rsid w:val="006D3A1B"/>
    <w:rsid w:val="007133B8"/>
    <w:rsid w:val="00784174"/>
    <w:rsid w:val="00785936"/>
    <w:rsid w:val="007D3836"/>
    <w:rsid w:val="00870453"/>
    <w:rsid w:val="008723C8"/>
    <w:rsid w:val="008D6FF2"/>
    <w:rsid w:val="0091381A"/>
    <w:rsid w:val="0097547B"/>
    <w:rsid w:val="0097659F"/>
    <w:rsid w:val="00A15041"/>
    <w:rsid w:val="00A34031"/>
    <w:rsid w:val="00A64EC2"/>
    <w:rsid w:val="00B849ED"/>
    <w:rsid w:val="00BA29C4"/>
    <w:rsid w:val="00BA5D6E"/>
    <w:rsid w:val="00BD14D3"/>
    <w:rsid w:val="00C462D2"/>
    <w:rsid w:val="00C54960"/>
    <w:rsid w:val="00C9410E"/>
    <w:rsid w:val="00C97915"/>
    <w:rsid w:val="00CA4AF6"/>
    <w:rsid w:val="00D256BC"/>
    <w:rsid w:val="00D86EB1"/>
    <w:rsid w:val="00DB2F30"/>
    <w:rsid w:val="00E43B7F"/>
    <w:rsid w:val="00E56448"/>
    <w:rsid w:val="00EB65AE"/>
    <w:rsid w:val="00EE5274"/>
    <w:rsid w:val="00F12F36"/>
    <w:rsid w:val="00F635B4"/>
    <w:rsid w:val="00FB6A01"/>
    <w:rsid w:val="00FC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338E1-9176-46D1-8378-79EF8AA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74F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F74F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F74F5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0F74F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0F74F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0F74F5"/>
    <w:pPr>
      <w:spacing w:after="120"/>
      <w:ind w:left="283"/>
    </w:pPr>
  </w:style>
  <w:style w:type="paragraph" w:styleId="Odstavecseseznamem">
    <w:name w:val="List Paragraph"/>
    <w:basedOn w:val="Normln"/>
    <w:uiPriority w:val="34"/>
    <w:qFormat/>
    <w:rsid w:val="00870453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87045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045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hlav">
    <w:name w:val="header"/>
    <w:basedOn w:val="Normln"/>
    <w:link w:val="ZhlavChar"/>
    <w:semiHidden/>
    <w:rsid w:val="00D86EB1"/>
    <w:pPr>
      <w:tabs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sz w:val="20"/>
    </w:rPr>
  </w:style>
  <w:style w:type="character" w:customStyle="1" w:styleId="ZhlavChar">
    <w:name w:val="Záhlaví Char"/>
    <w:basedOn w:val="Standardnpsmoodstavce"/>
    <w:link w:val="Zhlav"/>
    <w:semiHidden/>
    <w:rsid w:val="00D86E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BA29C4"/>
    <w:pPr>
      <w:widowControl w:val="0"/>
      <w:overflowPunct/>
      <w:autoSpaceDE/>
      <w:autoSpaceDN/>
      <w:adjustRightInd/>
      <w:ind w:left="1843"/>
      <w:textAlignment w:val="auto"/>
    </w:pPr>
    <w:rPr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3B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B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ABF78-30F1-4955-A039-FD9B09DF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Chovanec Petr Ing.</dc:creator>
  <cp:keywords/>
  <dc:description/>
  <cp:lastModifiedBy>Židlochová Hana Ing. (GFŘ)</cp:lastModifiedBy>
  <cp:revision>2</cp:revision>
  <cp:lastPrinted>2019-08-13T08:48:00Z</cp:lastPrinted>
  <dcterms:created xsi:type="dcterms:W3CDTF">2019-09-03T10:43:00Z</dcterms:created>
  <dcterms:modified xsi:type="dcterms:W3CDTF">2019-09-03T10:43:00Z</dcterms:modified>
</cp:coreProperties>
</file>