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E7" w:rsidRPr="00E40947" w:rsidRDefault="009B79E7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9B79E7" w:rsidRPr="001B40D1" w:rsidRDefault="009B79E7" w:rsidP="00DA6627">
      <w:pPr>
        <w:pStyle w:val="Titulnstranapomocn"/>
        <w:spacing w:after="120"/>
        <w:rPr>
          <w:i w:val="0"/>
          <w:caps w:val="0"/>
        </w:rPr>
      </w:pPr>
      <w:r>
        <w:rPr>
          <w:i w:val="0"/>
          <w:caps w:val="0"/>
        </w:rPr>
        <w:t>č 0219/R2300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9B79E7" w:rsidRPr="0017301F" w:rsidRDefault="009B79E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FS19K0016 </w:t>
      </w:r>
      <w:r w:rsidRPr="0017301F">
        <w:rPr>
          <w:caps w:val="0"/>
          <w:sz w:val="22"/>
          <w:szCs w:val="22"/>
        </w:rPr>
        <w:t>(zhotovitele)</w:t>
      </w:r>
    </w:p>
    <w:p w:rsidR="009B79E7" w:rsidRPr="0017301F" w:rsidRDefault="009B79E7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Stavebních </w:t>
      </w:r>
      <w:r>
        <w:rPr>
          <w:b w:val="0"/>
          <w:caps w:val="0"/>
          <w:sz w:val="22"/>
          <w:szCs w:val="22"/>
        </w:rPr>
        <w:t>činností</w:t>
      </w:r>
    </w:p>
    <w:p w:rsidR="009B79E7" w:rsidRPr="0017301F" w:rsidRDefault="009B79E7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ÚV Káraný – obměna čerpadla č. 1 ČS Artésko</w:t>
      </w:r>
      <w:r w:rsidRPr="0017301F">
        <w:rPr>
          <w:b/>
          <w:i w:val="0"/>
          <w:caps w:val="0"/>
        </w:rPr>
        <w:t>“</w:t>
      </w:r>
    </w:p>
    <w:p w:rsidR="009B79E7" w:rsidRDefault="009B79E7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9B79E7" w:rsidRDefault="009B79E7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9B79E7" w:rsidRDefault="009B79E7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9B79E7" w:rsidRDefault="009B79E7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9B79E7" w:rsidRDefault="009B79E7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9B79E7" w:rsidRDefault="009B79E7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9B79E7" w:rsidRDefault="009B79E7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9B79E7" w:rsidRDefault="009B79E7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9B79E7" w:rsidRDefault="009B79E7" w:rsidP="00652468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KSB – PUMPY + ARMATURY s.r.o., koncern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9B79E7" w:rsidRDefault="009B79E7" w:rsidP="00652468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4 Chodov, Klíčova 2300/6, PSČ 149 00</w:t>
      </w:r>
    </w:p>
    <w:p w:rsidR="009B79E7" w:rsidRDefault="009B79E7" w:rsidP="00652468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9B79E7" w:rsidRDefault="009B79E7" w:rsidP="00652468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9B79E7" w:rsidRDefault="009B79E7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9B79E7" w:rsidRDefault="009B79E7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9B79E7" w:rsidRDefault="009B79E7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9B79E7" w:rsidRDefault="009B79E7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9B79E7" w:rsidRDefault="009B79E7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9B79E7" w:rsidRDefault="009B79E7" w:rsidP="00581D0C">
      <w:pPr>
        <w:pStyle w:val="Nadpis"/>
      </w:pPr>
      <w:r>
        <w:t>SE SMLUVNÍ STRANY DOHODLY NA NÁSLEDUJÍCÍM:</w:t>
      </w:r>
    </w:p>
    <w:p w:rsidR="009B79E7" w:rsidRDefault="009B79E7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9B79E7" w:rsidRPr="00BC2077" w:rsidRDefault="009B79E7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dodávky technologických celků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9B79E7" w:rsidRDefault="009B79E7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9B79E7" w:rsidRDefault="009B79E7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</w:t>
      </w:r>
      <w:r w:rsidRPr="00A80D47">
        <w:rPr>
          <w:rFonts w:ascii="Arial" w:hAnsi="Arial"/>
          <w:kern w:val="28"/>
          <w:sz w:val="24"/>
          <w:szCs w:val="20"/>
          <w:lang/>
        </w:rPr>
        <w:t xml:space="preserve"> </w:t>
      </w:r>
      <w:r w:rsidRPr="00A80D47">
        <w:t>výměna a renovace stávajícího čerpadla M46 včetně výtlačného potrubí do společné větve.  Součástí rekonstrukce jsou i práce stavební, elektro a MaR spojené s výměnou řešeného strojního vybavení. Zahrnuje také stavební práce na objektu čerpací stanice, sanace a opravy konstrukcí</w:t>
      </w:r>
      <w:r>
        <w:t xml:space="preserve"> (dále jen „</w:t>
      </w:r>
      <w:r w:rsidRPr="00A80D47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9B79E7" w:rsidRPr="007A1A85" w:rsidRDefault="009B79E7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převzetí Staveniště od Objednatele;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bude-li nutné provedení všech přípravných prací včetně přípojek, oplocení a záborů;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koordinace veškerých prací a dodávek včetně všech Poddodavatelů dle soupisů prací;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kompletní montáže, instalace, kalibrace, uvedení do provozu, prověření bezchybné funkčnosti a předvedení všech Technologických zařízení Objednateli; a</w:t>
      </w:r>
    </w:p>
    <w:p w:rsidR="009B79E7" w:rsidRPr="00A80D4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A80D47">
        <w:t>veškeré administrativní, řídící a kontrolní činnosti Zhotovitele v souvislosti se stavbou; a</w:t>
      </w:r>
    </w:p>
    <w:p w:rsidR="009B79E7" w:rsidRPr="00A80D47" w:rsidRDefault="009B79E7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A80D47">
        <w:t>poskytování záruky za jakost Díla podle podmínek uvedených v čl. 6. této Smlouvy</w:t>
      </w:r>
    </w:p>
    <w:p w:rsidR="009B79E7" w:rsidRPr="00A80D47" w:rsidRDefault="009B79E7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A80D47">
        <w:t>projednání dopravních rozhodnutí a jejich realizace, včetně nákladů s tím spojených.</w:t>
      </w:r>
    </w:p>
    <w:p w:rsidR="009B79E7" w:rsidRPr="000A2178" w:rsidRDefault="009B79E7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9B79E7" w:rsidRPr="007A64B5" w:rsidRDefault="009B79E7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9B79E7" w:rsidRDefault="009B79E7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9B79E7" w:rsidRDefault="009B79E7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9B79E7" w:rsidRPr="00484D48" w:rsidRDefault="009B79E7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9B79E7" w:rsidRPr="005F2960" w:rsidRDefault="009B79E7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9B79E7" w:rsidRPr="005F2960" w:rsidRDefault="009B79E7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9B79E7" w:rsidRPr="00652468" w:rsidRDefault="009B79E7" w:rsidP="00DD441E">
      <w:pPr>
        <w:pStyle w:val="Druhrovesmlouvy"/>
        <w:numPr>
          <w:ilvl w:val="0"/>
          <w:numId w:val="0"/>
        </w:numPr>
        <w:ind w:left="1440"/>
      </w:pPr>
      <w:r w:rsidRPr="00652468">
        <w:t>2.11.1 Neobsazeno</w:t>
      </w:r>
    </w:p>
    <w:p w:rsidR="009B79E7" w:rsidRPr="000C7172" w:rsidRDefault="009B79E7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9B79E7" w:rsidRPr="00CC0B8F" w:rsidRDefault="009B79E7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9B79E7" w:rsidRDefault="009B79E7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9B79E7" w:rsidRDefault="009B79E7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9B79E7" w:rsidRPr="00CC0B8F" w:rsidRDefault="009B79E7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>
        <w:t>.</w:t>
      </w:r>
    </w:p>
    <w:p w:rsidR="009B79E7" w:rsidRDefault="009B79E7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6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9B79E7" w:rsidRPr="00CB6AEF" w:rsidRDefault="009B79E7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Úpravna vody Káraný, Hlavní ulice č.22 (ČS Artésko se nachází v suterénu budovy v areálu ÚV). Dílo bude plněno i na dalších místech, je-li to pro jeho splnění dle Smlouvy nezbytné.</w:t>
      </w:r>
    </w:p>
    <w:p w:rsidR="009B79E7" w:rsidRDefault="009B79E7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9B79E7" w:rsidRDefault="009B79E7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9B79E7" w:rsidRPr="00B13C03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9B79E7" w:rsidRPr="00B13C03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9B79E7" w:rsidRPr="00B13C03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9B79E7" w:rsidRPr="00B13C03" w:rsidRDefault="009B79E7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9B79E7" w:rsidRPr="00CB6AEF" w:rsidRDefault="009B79E7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9B79E7" w:rsidRDefault="009B79E7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9B79E7" w:rsidRPr="00CB6AEF" w:rsidRDefault="009B79E7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9B79E7" w:rsidRPr="00291A88" w:rsidRDefault="009B79E7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9B79E7" w:rsidRDefault="009B79E7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9B79E7" w:rsidRDefault="009B79E7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2,999.705,00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dva milióny devět set devadesát devět tisíc sedm set pět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9B79E7" w:rsidRDefault="009B79E7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9B79E7" w:rsidRPr="00930C0F" w:rsidRDefault="009B79E7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9B79E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9B79E7" w:rsidRDefault="009B79E7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9B79E7" w:rsidRDefault="009B79E7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9B79E7" w:rsidRDefault="009B79E7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9B79E7" w:rsidRDefault="009B79E7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B79E7" w:rsidRDefault="009B79E7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9B79E7" w:rsidRDefault="009B79E7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9B79E7" w:rsidRDefault="009B79E7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9B79E7" w:rsidRDefault="009B79E7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9B79E7" w:rsidRDefault="009B79E7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9B79E7" w:rsidRDefault="009B79E7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9B79E7" w:rsidRPr="00635E0C" w:rsidRDefault="009B79E7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9B79E7" w:rsidRDefault="009B79E7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9B79E7" w:rsidRPr="00CE3E04" w:rsidRDefault="009B79E7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9B79E7" w:rsidRDefault="009B79E7" w:rsidP="00652468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</w:t>
      </w:r>
      <w:r>
        <w:t xml:space="preserve"> </w:t>
      </w:r>
      <w:r w:rsidRPr="00CE3E04">
        <w:t xml:space="preserve">nebo e-mailové adrese </w:t>
      </w:r>
      <w:r>
        <w:t>.Zhotovitel vždy předem oznámí Objednateli změnu tel. čísla nebo e-mailové adresy pro přijímání reklamací.</w:t>
      </w:r>
    </w:p>
    <w:p w:rsidR="009B79E7" w:rsidRPr="00CE3E04" w:rsidRDefault="009B79E7" w:rsidP="00652468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9B79E7" w:rsidRPr="00CC0B8F" w:rsidRDefault="009B79E7" w:rsidP="00652468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r w:rsidRPr="00386C00">
        <w:t>25</w:t>
      </w:r>
      <w:r>
        <w:t>,</w:t>
      </w:r>
      <w:r w:rsidRPr="00386C00">
        <w:t>502.000,-</w:t>
      </w:r>
      <w:r>
        <w:t xml:space="preserve"> Kč u HDI Versicherung AG Praha.</w:t>
      </w:r>
    </w:p>
    <w:p w:rsidR="009B79E7" w:rsidRDefault="009B79E7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9B79E7" w:rsidRDefault="009B79E7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9B79E7" w:rsidRDefault="009B79E7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9B79E7" w:rsidRPr="005F2960" w:rsidRDefault="009B79E7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9B79E7" w:rsidRPr="00467CFE" w:rsidRDefault="009B79E7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9B79E7" w:rsidRPr="00467CFE" w:rsidRDefault="009B79E7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9B79E7" w:rsidRPr="00467CFE" w:rsidRDefault="009B79E7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9B79E7" w:rsidRPr="00467CFE" w:rsidRDefault="009B79E7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9B79E7" w:rsidRPr="00467CFE" w:rsidRDefault="009B79E7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9B79E7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9B79E7" w:rsidRPr="004725DC" w:rsidRDefault="009B79E7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9B79E7" w:rsidRDefault="009B79E7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9B79E7" w:rsidTr="00AF1CDF">
        <w:trPr>
          <w:trHeight w:val="2060"/>
        </w:trPr>
        <w:tc>
          <w:tcPr>
            <w:tcW w:w="4464" w:type="dxa"/>
          </w:tcPr>
          <w:p w:rsidR="009B79E7" w:rsidRPr="00D476A1" w:rsidRDefault="009B79E7" w:rsidP="00AF1CDF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9B79E7" w:rsidRPr="00D476A1" w:rsidRDefault="009B79E7" w:rsidP="00AF1CDF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9B79E7" w:rsidRPr="00D476A1" w:rsidRDefault="009B79E7" w:rsidP="00AF1CDF">
            <w:pPr>
              <w:pStyle w:val="BodyText"/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9B79E7" w:rsidRDefault="009B79E7" w:rsidP="00AF1CDF">
            <w:pPr>
              <w:pStyle w:val="BodyText"/>
              <w:spacing w:after="0"/>
              <w:ind w:firstLine="0"/>
            </w:pPr>
          </w:p>
          <w:p w:rsidR="009B79E7" w:rsidRPr="00D476A1" w:rsidRDefault="009B79E7" w:rsidP="00AF1CDF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9B79E7" w:rsidRDefault="009B79E7" w:rsidP="00AF1CDF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9B79E7" w:rsidRPr="00D476A1" w:rsidRDefault="009B79E7" w:rsidP="00AF1CDF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9B79E7" w:rsidRDefault="009B79E7" w:rsidP="00AF1CDF">
            <w:pPr>
              <w:pStyle w:val="BodyText"/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B79E7" w:rsidRDefault="009B79E7" w:rsidP="00AF1CDF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B79E7" w:rsidRDefault="009B79E7" w:rsidP="00AF1CDF">
            <w:pPr>
              <w:pStyle w:val="BodyText"/>
              <w:spacing w:after="0"/>
              <w:ind w:firstLine="0"/>
              <w:jc w:val="left"/>
            </w:pPr>
            <w:r>
              <w:t xml:space="preserve"> </w:t>
            </w:r>
          </w:p>
        </w:tc>
      </w:tr>
    </w:tbl>
    <w:p w:rsidR="009B79E7" w:rsidRPr="005F2960" w:rsidRDefault="009B79E7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9B79E7" w:rsidRPr="00A80D47" w:rsidRDefault="009B79E7" w:rsidP="002418B0">
      <w:pPr>
        <w:pStyle w:val="Neodsazentext"/>
        <w:spacing w:after="0"/>
        <w:rPr>
          <w:color w:val="000000"/>
        </w:rPr>
      </w:pPr>
      <w:r w:rsidRPr="00A80D47">
        <w:rPr>
          <w:color w:val="000000"/>
        </w:rPr>
        <w:t xml:space="preserve">Příloha 1: Všeobecné obchodní podmínky pro </w:t>
      </w:r>
      <w:r>
        <w:t xml:space="preserve">dodávky technologických celků </w:t>
      </w:r>
      <w:r w:rsidRPr="00A80D47">
        <w:rPr>
          <w:color w:val="000000"/>
        </w:rPr>
        <w:t>ze dne 1.5.2017</w:t>
      </w:r>
    </w:p>
    <w:p w:rsidR="009B79E7" w:rsidRPr="00A80D47" w:rsidRDefault="009B79E7" w:rsidP="002418B0">
      <w:pPr>
        <w:pStyle w:val="Neodsazentext"/>
        <w:spacing w:after="0"/>
        <w:rPr>
          <w:i/>
          <w:color w:val="000000"/>
        </w:rPr>
      </w:pPr>
      <w:r w:rsidRPr="00A80D47">
        <w:rPr>
          <w:color w:val="000000"/>
        </w:rPr>
        <w:t>Příloha 2: Zadávací dokumentace (technická předloha)</w:t>
      </w:r>
    </w:p>
    <w:p w:rsidR="009B79E7" w:rsidRPr="00A80D47" w:rsidRDefault="009B79E7" w:rsidP="002418B0">
      <w:pPr>
        <w:pStyle w:val="Neodsazentext"/>
        <w:spacing w:after="0"/>
        <w:rPr>
          <w:color w:val="000000"/>
        </w:rPr>
      </w:pPr>
      <w:r w:rsidRPr="00A80D47">
        <w:rPr>
          <w:color w:val="000000"/>
        </w:rPr>
        <w:t>Příloha 3: Seznam Odpovědných osob a čísla účtů zveřejněných v registru plátců DPH</w:t>
      </w:r>
    </w:p>
    <w:p w:rsidR="009B79E7" w:rsidRPr="00A80D47" w:rsidRDefault="009B79E7" w:rsidP="002418B0">
      <w:pPr>
        <w:pStyle w:val="Neodsazentext"/>
        <w:spacing w:after="0"/>
        <w:rPr>
          <w:color w:val="000000"/>
        </w:rPr>
      </w:pPr>
      <w:r w:rsidRPr="00A80D47">
        <w:rPr>
          <w:color w:val="000000"/>
        </w:rPr>
        <w:t xml:space="preserve">Příloha 4: Prohlášení Zhotovitele, obsahující Orientační položkový rozpočet </w:t>
      </w:r>
    </w:p>
    <w:p w:rsidR="009B79E7" w:rsidRPr="00A80D47" w:rsidRDefault="009B79E7" w:rsidP="002418B0">
      <w:pPr>
        <w:pStyle w:val="Neodsazentext"/>
        <w:spacing w:after="0"/>
        <w:rPr>
          <w:color w:val="000000"/>
        </w:rPr>
      </w:pPr>
      <w:r w:rsidRPr="00A80D47">
        <w:rPr>
          <w:color w:val="000000"/>
        </w:rPr>
        <w:t>Příloha 5: Harmonogram plnění (technická předloha)</w:t>
      </w:r>
    </w:p>
    <w:p w:rsidR="009B79E7" w:rsidRDefault="009B79E7" w:rsidP="007E32D5">
      <w:pPr>
        <w:pStyle w:val="Neodsazentext"/>
        <w:spacing w:after="0"/>
        <w:rPr>
          <w:color w:val="000000"/>
        </w:rPr>
      </w:pPr>
      <w:r w:rsidRPr="00A80D47">
        <w:rPr>
          <w:color w:val="000000"/>
        </w:rPr>
        <w:t>Příloha 6: Smlouva o dílo v otevřeném formátu na CD</w:t>
      </w:r>
    </w:p>
    <w:p w:rsidR="009B79E7" w:rsidRPr="005F2960" w:rsidRDefault="009B79E7" w:rsidP="002418B0">
      <w:pPr>
        <w:pStyle w:val="Neodsazentext"/>
        <w:spacing w:after="0"/>
        <w:rPr>
          <w:color w:val="000000"/>
        </w:rPr>
      </w:pPr>
    </w:p>
    <w:sectPr w:rsidR="009B79E7" w:rsidRPr="005F2960" w:rsidSect="00DE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E7" w:rsidRDefault="009B79E7" w:rsidP="00FA7B21">
      <w:pPr>
        <w:spacing w:after="0"/>
      </w:pPr>
      <w:r>
        <w:separator/>
      </w:r>
    </w:p>
  </w:endnote>
  <w:endnote w:type="continuationSeparator" w:id="0">
    <w:p w:rsidR="009B79E7" w:rsidRDefault="009B79E7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Default="009B7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Default="009B79E7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Default="009B7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E7" w:rsidRDefault="009B79E7" w:rsidP="00FA7B21">
      <w:pPr>
        <w:spacing w:after="0"/>
      </w:pPr>
      <w:r>
        <w:separator/>
      </w:r>
    </w:p>
  </w:footnote>
  <w:footnote w:type="continuationSeparator" w:id="0">
    <w:p w:rsidR="009B79E7" w:rsidRDefault="009B79E7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Default="009B7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Pr="00D92AAF" w:rsidRDefault="009B79E7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ÚV Káraný – obměna čerpadla č. 1 ČS Artésko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7R2300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7" w:rsidRDefault="009B7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"/>
  </w:num>
  <w:num w:numId="19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4025"/>
    <w:rsid w:val="00116E43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33A6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C337E"/>
    <w:rsid w:val="002D6E2D"/>
    <w:rsid w:val="002F0953"/>
    <w:rsid w:val="002F4B0D"/>
    <w:rsid w:val="002F522C"/>
    <w:rsid w:val="00310A60"/>
    <w:rsid w:val="00310CA5"/>
    <w:rsid w:val="00317297"/>
    <w:rsid w:val="0032163C"/>
    <w:rsid w:val="003266FA"/>
    <w:rsid w:val="00352DF0"/>
    <w:rsid w:val="00354767"/>
    <w:rsid w:val="00360806"/>
    <w:rsid w:val="0037429A"/>
    <w:rsid w:val="00382885"/>
    <w:rsid w:val="00386C00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4B91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137A"/>
    <w:rsid w:val="005A40AA"/>
    <w:rsid w:val="005A4B5B"/>
    <w:rsid w:val="005A6EF5"/>
    <w:rsid w:val="005A762B"/>
    <w:rsid w:val="005B083C"/>
    <w:rsid w:val="005B609E"/>
    <w:rsid w:val="005C283E"/>
    <w:rsid w:val="005C693B"/>
    <w:rsid w:val="005D0885"/>
    <w:rsid w:val="005D3BB4"/>
    <w:rsid w:val="005D63A3"/>
    <w:rsid w:val="005D76F6"/>
    <w:rsid w:val="005E7376"/>
    <w:rsid w:val="005F07B1"/>
    <w:rsid w:val="005F2960"/>
    <w:rsid w:val="0060337C"/>
    <w:rsid w:val="00603B0F"/>
    <w:rsid w:val="0061371C"/>
    <w:rsid w:val="006161BD"/>
    <w:rsid w:val="0062127E"/>
    <w:rsid w:val="006274DB"/>
    <w:rsid w:val="00631CF9"/>
    <w:rsid w:val="00633112"/>
    <w:rsid w:val="00635E0C"/>
    <w:rsid w:val="006435BC"/>
    <w:rsid w:val="0064658C"/>
    <w:rsid w:val="00647472"/>
    <w:rsid w:val="00652468"/>
    <w:rsid w:val="0065578C"/>
    <w:rsid w:val="00660511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603A2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C6898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97DEA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B79E7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0D47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CDF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4963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33CE"/>
    <w:rsid w:val="00B84D57"/>
    <w:rsid w:val="00B90B92"/>
    <w:rsid w:val="00B96D8C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34E5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1688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3157</Words>
  <Characters>18629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2019-08-20T08:41:00Z</cp:lastPrinted>
  <dcterms:created xsi:type="dcterms:W3CDTF">2019-08-30T05:36:00Z</dcterms:created>
  <dcterms:modified xsi:type="dcterms:W3CDTF">2019-08-30T08:31:00Z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