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580"/>
        <w:gridCol w:w="600"/>
        <w:gridCol w:w="120"/>
        <w:gridCol w:w="80"/>
        <w:gridCol w:w="20"/>
        <w:gridCol w:w="20"/>
        <w:gridCol w:w="1620"/>
        <w:gridCol w:w="20"/>
        <w:gridCol w:w="80"/>
        <w:gridCol w:w="20"/>
        <w:gridCol w:w="100"/>
        <w:gridCol w:w="840"/>
        <w:gridCol w:w="1380"/>
        <w:gridCol w:w="740"/>
        <w:gridCol w:w="180"/>
        <w:gridCol w:w="60"/>
        <w:gridCol w:w="2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80"/>
        <w:gridCol w:w="220"/>
        <w:gridCol w:w="1200"/>
        <w:gridCol w:w="80"/>
        <w:gridCol w:w="20"/>
        <w:gridCol w:w="20"/>
        <w:gridCol w:w="60"/>
        <w:gridCol w:w="220"/>
        <w:gridCol w:w="340"/>
      </w:tblGrid>
      <w:tr>
        <w:trPr>
          <w:trHeight w:hRule="exact" w:val="56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wrapNone/>
                  <wp:docPr id="72809913" name="Picture">
</wp:docPr>
                  <a:graphic>
                    <a:graphicData uri="http://schemas.openxmlformats.org/drawingml/2006/picture">
                      <pic:pic>
                        <pic:nvPicPr>
                          <pic:cNvPr id="72809913" name="Picture"/>
                          <pic:cNvPicPr/>
                        </pic:nvPicPr>
                        <pic:blipFill>
                          <a:blip r:embed="img_0_0_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5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2190137035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Akademie múzických umění v Praze</w:t>
              <w:br/>
              <w:t xml:space="preserve">Malostranské náměstí 259/12</w:t>
              <w:br/>
              <w:t xml:space="preserve">118 00 PRAHA 1</w:t>
              <w:br/>
              <w:t xml:space="preserve">Česká republika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2190137035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wrapNone/>
                  <wp:docPr id="435477182" name="Picture">
</wp:docPr>
                  <a:graphic>
                    <a:graphicData uri="http://schemas.openxmlformats.org/drawingml/2006/picture">
                      <pic:pic>
                        <pic:nvPicPr>
                          <pic:cNvPr id="435477182" name="Picture"/>
                          <pic:cNvPicPr/>
                        </pic:nvPicPr>
                        <pic:blipFill>
                          <a:blip r:embed="img_0_0_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CZ61384984</w:t>
            </w:r>
          </w:p>
        </w:tc>
        <w:tc>
          <w:tcPr>
            <w:gridSpan w:val="7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27114147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CZ27114147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61384984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AUDIO PARTNER s.r.o.</w:t>
                    <w:br/>
                    <w:t xml:space="preserve">Mezi vodami 2044/23</w:t>
                    <w:br/>
                    <w:t xml:space="preserve">14300 Praha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Konečný příjemce: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4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137 Odd. OPVV HAMU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HONCOVÁ Alena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Tel.: 234 244 127, Fax: </w:t>
                    <w:br/>
                    <w:t xml:space="preserve">E-mail: alena.honcova@hamu.cz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31.10.2019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HAMU, Malostranské nám. 13 Praha 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konkrétní kusy vybere v sídle dodavatele zaměstnanec Kat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Na faktury uvádějte číslo naší objednávky a zasílejte je na mailovou adresu podatelny faktury@amu.cz</w:t>
              <w:br/>
              <w:t xml:space="preserve">Dodejte: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"Realizuje se v rámci projektu "Zajištění kvality studia na AMU a posílení reflexe nejnovějších trendů v umělecké praxi" spolufinancovaného Evropskou unií v rámci Operačního programu Výzkum, vývoj a vzdělávání pod reg. č. CZ.02.2.69/0.0/0.0/16_015/0002404, ?ESF výzva pro vysoké školy? č. 02_16_015. Na fakturu uveďte "Týká se projektu reg. č. CZ.02.2.69/0.0/0.0/16_015/0002404", bez ní nemůžeme fakturu akceptovat."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5"/>
            <w:shd w:val="clear" w:color="auto" w:fill="F0F0F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>
              <w:trPr>
                <w:trHeight w:hRule="exact" w:val="4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PŘÍLOHA k objednávce č.: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2190137035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Stránka: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z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2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       <w:gridSpan w:val="2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 vč. DPH</w:t>
            </w:r>
          </w:p>
        </w:tc>
        <w:tc>
          <w:tcPr>
            <w:gridSpan w:val="8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YAMAHA YTR-4335GII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16 490.00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16 490.00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BUFFET CRAMPON 400 Series Tenor matt finish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34 900.00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34 900.00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YAMAHA YSL-356GE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28 790.00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28 790.00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AMAHA YTS-280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33 990.00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33 990.00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YAMAHA YAS-280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24 590.00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24 590.00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YAMAHA YFL-312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25 890.00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25 890.00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F.A.UEBEL Bb Clarinet Classic 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28 500.00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28 500.00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OTTO LINK Vintage Tenor 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4 190.00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4 190.00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MEYER Alto M7M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3 490.00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3 490.00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VANDOREN Bass Clarinet BD5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3 490.00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3 490.00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SANDBERG California II TT4 Passive HG MR RF DTA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34 290.00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34 290.00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AMU je veřejná vysoká škola zřízená Dekretem prezidenta republiky z 27.10.1945, zákon č.111/1998 Sb. ve znění pozdějších změn.</w:t>
              <w:br/>
              <w:t xml:space="preserve">IBAN: CZ5301000000195373180297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300"/>
        <w:gridCol w:w="60"/>
        <w:gridCol w:w="20"/>
        <w:gridCol w:w="20"/>
        <w:gridCol w:w="1860"/>
        <w:gridCol w:w="20"/>
        <w:gridCol w:w="2200"/>
        <w:gridCol w:w="520"/>
        <w:gridCol w:w="580"/>
        <w:gridCol w:w="1060"/>
        <w:gridCol w:w="780"/>
        <w:gridCol w:w="60"/>
        <w:gridCol w:w="1520"/>
        <w:gridCol w:w="1200"/>
        <w:gridCol w:w="80"/>
        <w:gridCol w:w="20"/>
        <w:gridCol w:w="20"/>
        <w:gridCol w:w="20"/>
        <w:gridCol w:w="40"/>
        <w:gridCol w:w="220"/>
        <w:gridCol w:w="340"/>
      </w:tblGrid>
      <w:tr>
        <w:trPr>
          <w:trHeight w:hRule="exact" w:val="560"/>
        </w:trPr>
        <w:tc>
          <w:tcPr>
     </w:tcPr>
          <w:p>
            <w:pPr>
              <w:pStyle w:val="EMPTY_CELL_STYLE"/>
              <w:pageBreakBefore/>
            </w:pPr>
            <w:bookmarkStart w:id="2" w:name="JR_PAGE_ANCHOR_0_2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2190137035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0F0F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>
              <w:trPr>
                <w:trHeight w:hRule="exact" w:val="4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PŘÍLOHA k objednávce č.: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2190137035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Stránka: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z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2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       <w:gridSpan w:val="2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gridSpan w:val="2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 vč. DPH</w:t>
            </w:r>
          </w:p>
        </w:tc>
        <w:tc>
          <w:tcPr>
            <w:gridSpan w:val="4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VANDOREN Bb Clarinet Classic B40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1 890.00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1 890.00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AVID Sibelius Ultimate + PhotoScore a NotateMe Ultimate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18 990.00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18 990.00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VOX MV50 AC Set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6 690.00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6 690.00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VANDOREN Bb Clarinet Traditional 2.5 - box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VANDOREN Bass Clarinet Traditional 2.5 - box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RICO Select Jazz Alto Sax FLD 2H, 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RICO Select Jazz Tenor Sax FLD, 2H, 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(včetně DPH):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268 610.00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28.08.2019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Ing. MALÝ Filip</w:t>
              <w:br/>
              <w:t xml:space="preserve">Tel.: , Fax: E-mail: filip.maly@amu.cz</w:t>
            </w:r>
            <w:r>
              <w:rPr>
                <w:rFonts w:ascii="Consolas" w:hAnsi="Consolas" w:eastAsia="Consolas" w:cs="Consolas"/>
       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Consolas" w:hAnsi="Consolas" w:eastAsia="Consolas" w:cs="Consolas"/>
                <w:sz w:val="14"/>
              </w:rPr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1) Tato objednávka je návrhem na uzavření smlouvy</w:t>
            </w:r>
            <w:r>
              <w:rPr>
                <w:rFonts w:ascii="Consolas" w:hAnsi="Consolas" w:eastAsia="Consolas" w:cs="Consolas"/>
                <w:sz w:val="14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otevřeném a strojově čitelném formátu zaslaným na el. adresu uvedenou na objednávce v části Vystavil. Pouze doručením oznámení o přijetí na tuto adresu je smlouva uzavřena!</w:t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2) Objednatel informuje adresáta návrhu</w:t>
            </w:r>
            <w:r>
              <w:rPr>
                <w:rFonts w:ascii="Consolas" w:hAnsi="Consolas" w:eastAsia="Consolas" w:cs="Consolas"/>
                <w:sz w:val="14"/>
              </w:rPr>
              <w:t xml:space="preserve">, že je subjektem dle ust. § 2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Podrobnosti k RS jsou zveřejněny na http://www.mvcr.cz/clanek/registr-smluv.aspx</w:t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3) Objednatel vyzývá adresáta</w:t>
            </w:r>
            <w:r>
              <w:rPr>
                <w:rFonts w:ascii="Consolas" w:hAnsi="Consolas" w:eastAsia="Consolas" w:cs="Consolas"/>
                <w:sz w:val="14"/>
              </w:rPr>
              <w:t xml:space="preserve">, aby současně s přijetím nabídky sdělil objednateli, zda se na smlouvu, kterou s objednatelem prostřednictvím přijetí nabídky uzavře, vztahuje některá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4) Objednatel informuje adresáta</w:t>
            </w:r>
            <w:r>
              <w:rPr>
                <w:rFonts w:ascii="Consolas" w:hAnsi="Consolas" w:eastAsia="Consolas" w:cs="Consolas"/>
                <w:sz w:val="14"/>
              </w:rPr>
              <w:t xml:space="preserve"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AMU je veřejná vysoká škola zřízená Dekretem prezidenta republiky z 27.10.1945, zákon č.111/1998 Sb. ve znění pozdějších změn.</w:t>
              <w:br/>
              <w:t xml:space="preserve">IBAN: CZ5301000000195373180297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  <w:style w:type="paragraph" w:styleId="normal1">
    <w:name w:val="normal1"/>
    <w:qFormat/>
    <w:pPr>
      <w:ind w:left="20" w:right="20"/>
    </w:pPr>
    <w:rPr>
      <w:rFonts w:ascii="Times New Roman" w:hAnsi="Times New Roman" w:eastAsia="Times New Roman" w:cs="Times New Roman"/>
      <w:sz w:val="16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44" Type="http://schemas.openxmlformats.org/officeDocument/2006/relationships/image" Target="media/img_0_0_44.jpeg"/>
 <Relationship Id="img_0_0_34" Type="http://schemas.openxmlformats.org/officeDocument/2006/relationships/image" Target="media/img_0_0_34.png"/>
</Relationships>

</file>