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13191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3075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2715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18981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110,16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85660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11 435,27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3 000,82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97245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15 328,19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29.8.2012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57256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6 300,68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16945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71519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9 402,35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15 710,40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518476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65 619,65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65 730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24 nájemní smlouvy č. 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