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Nájemci: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AGRO SF s.r.o.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Na Huti 300, 37806 Suchdol nad Lužnicí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Halámky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5 632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443,24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zamokřelá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zamokřelá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zamokřelá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9 762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768,26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Hamr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277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22,17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Hrdlořezy u Suchdola nad Lužnicí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8 131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760,92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7 790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729,01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353,27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28 674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2 716,90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Klikov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AOPK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60001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12 822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1 113,17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AOPK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60001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AOPK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60001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12 501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1 085,31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9 975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866,00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37 861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3 287,00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Krabonoš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14 413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1 186,30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5 397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444,21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8 590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707,02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398,70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4 550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6 661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548,25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17 843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1 468,61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12 076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993,95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10 391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855,26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14 331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1 179,55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157 108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12 931,16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Nová Ves u Klikova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5 749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400,59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5 769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401,98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8 078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562,87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59 561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4 150,18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Rapšach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6 298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514,11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4 913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401,05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248,08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6 369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519,91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7 004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571,74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320,24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4 920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401,62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5 007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408,73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6 262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511,17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6 816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556,40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6 776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553,13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6 249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510,11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6 219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507,66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10 894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889,29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ÚZSVM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60000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8 297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677,29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10 279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839,09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361,46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4 535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370,20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336,48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6 062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494,85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9 568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781,05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312,40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AOPK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60001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5 214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425,62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9 217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752,39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16 915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1 380,79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5 942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485,05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10 175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830,60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367,01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5 546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452,73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17 886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1 460,05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9 632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786,27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357,30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6 763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552,07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ÚZSVM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60000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19 264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1 572,54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5 118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7 909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645,62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8 668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707,58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6 972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569,13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7 783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635,33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448,32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5 776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471,50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381,95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4 990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407,34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7 086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578,44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5 830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475,91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5 172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422,20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6 726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549,05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8 848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722,27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12 261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5 699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465,22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5 323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434,52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5 524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450,93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5 773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471,26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320,65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8 208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670,03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7 546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615,99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281,38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12 948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1 056,96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314,44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5 057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412,81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11 113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907,17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4 568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372,89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18 796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1 534,34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6 233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508,81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5 945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485,30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12 513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1 021,45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6 057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494,44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10 675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871,41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5 293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432,07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6 729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549,29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4 951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404,16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12 993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1 060,63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7 667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625,86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ÚZSVM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60000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6 251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510,28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339,42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8 261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674,35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AOPK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60001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5 899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481,54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10 473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854,92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7 404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604,40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5 244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428,07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15 454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1 261,53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7 152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583,82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9 179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276,48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60001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AOPK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875 465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71 465,07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Suchdol nad Lužnicí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1 300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141,01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Tušť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388,58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387,50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8 604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776,08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1 178 612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96 258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nájemní smlouvy č.54N07/17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5410717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16.4.2007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nájem: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96 258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6.8.2019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1.5.2007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