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1" w:rsidRDefault="000444C1">
      <w:pPr>
        <w:spacing w:line="1" w:lineRule="exact"/>
      </w:pPr>
    </w:p>
    <w:p w:rsidR="000444C1" w:rsidRDefault="00C0363C">
      <w:pPr>
        <w:framePr w:wrap="none" w:vAnchor="page" w:hAnchor="page" w:x="863" w:y="5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90945" cy="8839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909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C1" w:rsidRDefault="00C0363C">
      <w:pPr>
        <w:pStyle w:val="Titulekobrzku0"/>
        <w:framePr w:w="9698" w:h="749" w:hRule="exact" w:wrap="none" w:vAnchor="page" w:hAnchor="page" w:x="809" w:y="1958"/>
        <w:shd w:val="clear" w:color="auto" w:fill="auto"/>
        <w:spacing w:line="240" w:lineRule="auto"/>
        <w:ind w:left="54" w:right="11"/>
        <w:rPr>
          <w:sz w:val="22"/>
          <w:szCs w:val="22"/>
        </w:rPr>
      </w:pPr>
      <w:proofErr w:type="spellStart"/>
      <w:r>
        <w:rPr>
          <w:color w:val="A58C64"/>
          <w:sz w:val="22"/>
          <w:szCs w:val="22"/>
        </w:rPr>
        <w:t>gíy^P</w:t>
      </w:r>
      <w:r>
        <w:rPr>
          <w:color w:val="A58C64"/>
          <w:sz w:val="22"/>
          <w:szCs w:val="22"/>
          <w:vertAlign w:val="superscript"/>
        </w:rPr>
        <w:t>o,e</w:t>
      </w:r>
      <w:r>
        <w:rPr>
          <w:color w:val="A58C64"/>
          <w:sz w:val="22"/>
          <w:szCs w:val="22"/>
        </w:rPr>
        <w:t>čnost</w:t>
      </w:r>
      <w:proofErr w:type="spellEnd"/>
      <w:r>
        <w:rPr>
          <w:color w:val="A58C64"/>
          <w:sz w:val="22"/>
          <w:szCs w:val="22"/>
        </w:rPr>
        <w:t xml:space="preserve"> </w:t>
      </w:r>
      <w:r>
        <w:rPr>
          <w:sz w:val="22"/>
          <w:szCs w:val="22"/>
        </w:rPr>
        <w:t>je držitelem certifikátů systému řízení jakosti dle normy ISO 9001:2008</w:t>
      </w:r>
    </w:p>
    <w:p w:rsidR="000444C1" w:rsidRDefault="00C0363C">
      <w:pPr>
        <w:pStyle w:val="Titulekobrzku0"/>
        <w:framePr w:w="9698" w:h="749" w:hRule="exact" w:wrap="none" w:vAnchor="page" w:hAnchor="page" w:x="809" w:y="1958"/>
        <w:shd w:val="clear" w:color="auto" w:fill="auto"/>
        <w:spacing w:line="226" w:lineRule="auto"/>
        <w:ind w:left="54" w:right="11"/>
        <w:jc w:val="center"/>
      </w:pPr>
      <w:r>
        <w:t xml:space="preserve">MHD;VLD Nepravidelná doprava Oprava a údržba silničních motorových vozidel a ostatních dopravních prostředků </w:t>
      </w:r>
      <w:proofErr w:type="spellStart"/>
      <w:r>
        <w:t>vč</w:t>
      </w:r>
      <w:proofErr w:type="spellEnd"/>
      <w:r>
        <w:t xml:space="preserve"> </w:t>
      </w:r>
      <w:proofErr w:type="spellStart"/>
      <w:r>
        <w:t>karoser</w:t>
      </w:r>
      <w:proofErr w:type="spellEnd"/>
      <w:r>
        <w:t xml:space="preserve"> elektrických a</w:t>
      </w:r>
      <w:r>
        <w:br/>
        <w:t xml:space="preserve">elektrotechnických zařízeni a </w:t>
      </w:r>
      <w:r>
        <w:t>příslušenství Provozováni dopravy raněných nemocných a rodiček Autoškola</w:t>
      </w:r>
    </w:p>
    <w:p w:rsidR="000444C1" w:rsidRDefault="00C0363C">
      <w:pPr>
        <w:framePr w:wrap="none" w:vAnchor="page" w:hAnchor="page" w:x="1493" w:y="31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7378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240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C1" w:rsidRDefault="00C0363C">
      <w:pPr>
        <w:pStyle w:val="Nadpis10"/>
        <w:framePr w:w="9140" w:h="1300" w:hRule="exact" w:wrap="none" w:vAnchor="page" w:hAnchor="page" w:x="1403" w:y="3254"/>
        <w:shd w:val="clear" w:color="auto" w:fill="auto"/>
        <w:spacing w:after="0"/>
        <w:ind w:left="3132" w:right="3074"/>
      </w:pPr>
      <w:bookmarkStart w:id="0" w:name="bookmark0"/>
      <w:bookmarkStart w:id="1" w:name="bookmark1"/>
      <w:r>
        <w:rPr>
          <w:b/>
          <w:bCs/>
          <w:i w:val="0"/>
          <w:iCs w:val="0"/>
        </w:rPr>
        <w:t>SMLOUVA</w:t>
      </w:r>
      <w:r>
        <w:rPr>
          <w:b/>
          <w:bCs/>
          <w:i w:val="0"/>
          <w:iCs w:val="0"/>
        </w:rPr>
        <w:br/>
      </w:r>
      <w:r>
        <w:t>o zajištění přepravy</w:t>
      </w:r>
      <w:r>
        <w:br/>
        <w:t>č. 111/2013</w:t>
      </w:r>
      <w:bookmarkEnd w:id="0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5832"/>
      </w:tblGrid>
      <w:tr w:rsidR="000444C1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300" w:type="dxa"/>
            <w:shd w:val="clear" w:color="auto" w:fill="FFFFFF"/>
          </w:tcPr>
          <w:p w:rsidR="000444C1" w:rsidRDefault="000444C1">
            <w:pPr>
              <w:framePr w:w="8132" w:h="3337" w:wrap="none" w:vAnchor="page" w:hAnchor="page" w:x="1432" w:y="4827"/>
              <w:rPr>
                <w:sz w:val="10"/>
                <w:szCs w:val="10"/>
              </w:rPr>
            </w:pPr>
          </w:p>
        </w:tc>
        <w:tc>
          <w:tcPr>
            <w:tcW w:w="5832" w:type="dxa"/>
            <w:shd w:val="clear" w:color="auto" w:fill="FFFFFF"/>
          </w:tcPr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left="1460"/>
            </w:pPr>
            <w:r>
              <w:rPr>
                <w:b/>
                <w:bCs/>
              </w:rPr>
              <w:t>Smluvní strany</w:t>
            </w: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2300" w:type="dxa"/>
            <w:shd w:val="clear" w:color="auto" w:fill="FFFFFF"/>
            <w:vAlign w:val="center"/>
          </w:tcPr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Obchodní firma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Sídlo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IČ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DIČ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Bankovní spojení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Číslo účtu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Obchodní rejstřík</w:t>
            </w:r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left="540"/>
            </w:pPr>
            <w:r>
              <w:rPr>
                <w:b/>
                <w:bCs/>
              </w:rPr>
              <w:t xml:space="preserve">DOPRAVNÍ PODNIK měst Mostu a Litvínova, a.s. 434 </w:t>
            </w:r>
            <w:r>
              <w:rPr>
                <w:b/>
                <w:bCs/>
              </w:rPr>
              <w:t>01 Most, tř. Budovatelů 1395/23 62242504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CZ 62242504</w:t>
            </w:r>
          </w:p>
          <w:p w:rsidR="00B32B18" w:rsidRDefault="00B32B18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B32B18" w:rsidRDefault="00B32B18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Krajský soud v Ústí nad Labem</w:t>
            </w:r>
          </w:p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Oddíl B, vložka 660</w:t>
            </w: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300" w:type="dxa"/>
            <w:shd w:val="clear" w:color="auto" w:fill="FFFFFF"/>
          </w:tcPr>
          <w:p w:rsidR="000444C1" w:rsidRDefault="00C0363C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t>Zastoupená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0444C1" w:rsidRDefault="00B32B18" w:rsidP="00B32B18">
            <w:pPr>
              <w:pStyle w:val="Jin0"/>
              <w:framePr w:w="8132" w:h="3337" w:wrap="none" w:vAnchor="page" w:hAnchor="page" w:x="1432" w:y="4827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          XXX</w:t>
            </w:r>
            <w:r w:rsidR="00C0363C">
              <w:rPr>
                <w:b/>
                <w:bCs/>
              </w:rPr>
              <w:t>, ředitelem akciové společnosti</w:t>
            </w:r>
          </w:p>
        </w:tc>
      </w:tr>
    </w:tbl>
    <w:p w:rsidR="000444C1" w:rsidRDefault="00C0363C">
      <w:pPr>
        <w:pStyle w:val="Titulektabulky0"/>
        <w:framePr w:w="6818" w:h="875" w:hRule="exact" w:wrap="none" w:vAnchor="page" w:hAnchor="page" w:x="1421" w:y="8093"/>
        <w:shd w:val="clear" w:color="auto" w:fill="auto"/>
        <w:ind w:left="11" w:right="11"/>
      </w:pPr>
      <w:r>
        <w:t>(dále jen dopravce)</w:t>
      </w:r>
    </w:p>
    <w:p w:rsidR="000444C1" w:rsidRDefault="00C0363C">
      <w:pPr>
        <w:pStyle w:val="Titulektabulky0"/>
        <w:framePr w:w="6818" w:h="875" w:hRule="exact" w:wrap="none" w:vAnchor="page" w:hAnchor="page" w:x="1421" w:y="8093"/>
        <w:shd w:val="clear" w:color="auto" w:fill="auto"/>
        <w:ind w:left="11" w:right="11"/>
      </w:pPr>
      <w:r>
        <w:t xml:space="preserve">Osoba pověřená jednáním za </w:t>
      </w:r>
      <w:r>
        <w:t xml:space="preserve">dopravce ve věcech plnění této </w:t>
      </w:r>
      <w:proofErr w:type="spellStart"/>
      <w:r>
        <w:t>smlouvy:</w:t>
      </w:r>
      <w:r w:rsidR="00B32B18">
        <w:t>XXX</w:t>
      </w:r>
      <w:proofErr w:type="spellEnd"/>
      <w:r>
        <w:t>, dopravní ředitel</w:t>
      </w:r>
    </w:p>
    <w:p w:rsidR="000444C1" w:rsidRDefault="00C0363C">
      <w:pPr>
        <w:pStyle w:val="Titulektabulky0"/>
        <w:framePr w:wrap="none" w:vAnchor="page" w:hAnchor="page" w:x="5910" w:y="9205"/>
        <w:shd w:val="clear" w:color="auto" w:fill="auto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4846"/>
      </w:tblGrid>
      <w:tr w:rsidR="000444C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293" w:type="dxa"/>
            <w:shd w:val="clear" w:color="auto" w:fill="FFFFFF"/>
          </w:tcPr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Obchodní firma</w:t>
            </w:r>
          </w:p>
        </w:tc>
        <w:tc>
          <w:tcPr>
            <w:tcW w:w="4846" w:type="dxa"/>
            <w:shd w:val="clear" w:color="auto" w:fill="FFFFFF"/>
            <w:vAlign w:val="bottom"/>
          </w:tcPr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  <w:ind w:left="540"/>
            </w:pPr>
            <w:r>
              <w:rPr>
                <w:b/>
                <w:bCs/>
              </w:rPr>
              <w:t>Městská správa sociálních služeb v Mostě příspěvková organizace.</w:t>
            </w: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214"/>
        </w:trPr>
        <w:tc>
          <w:tcPr>
            <w:tcW w:w="2293" w:type="dxa"/>
            <w:shd w:val="clear" w:color="auto" w:fill="FFFFFF"/>
          </w:tcPr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Sídlo</w:t>
            </w:r>
          </w:p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IČ</w:t>
            </w:r>
          </w:p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DIČ</w:t>
            </w:r>
          </w:p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Bankovní spojení Číslo účtu</w:t>
            </w:r>
          </w:p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Obchodní rejstřík Zastoupená</w:t>
            </w:r>
          </w:p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</w:pPr>
            <w:r>
              <w:t>(dále jen objednatel)</w:t>
            </w:r>
          </w:p>
        </w:tc>
        <w:tc>
          <w:tcPr>
            <w:tcW w:w="4846" w:type="dxa"/>
            <w:tcBorders>
              <w:left w:val="single" w:sz="4" w:space="0" w:color="auto"/>
            </w:tcBorders>
            <w:shd w:val="clear" w:color="auto" w:fill="FFFFFF"/>
          </w:tcPr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  <w:ind w:left="540"/>
            </w:pPr>
            <w:r>
              <w:rPr>
                <w:b/>
                <w:bCs/>
              </w:rPr>
              <w:t xml:space="preserve">Barvířská </w:t>
            </w:r>
            <w:proofErr w:type="gramStart"/>
            <w:r>
              <w:rPr>
                <w:b/>
                <w:bCs/>
              </w:rPr>
              <w:t>č.p.</w:t>
            </w:r>
            <w:proofErr w:type="gramEnd"/>
            <w:r>
              <w:rPr>
                <w:b/>
                <w:bCs/>
              </w:rPr>
              <w:t xml:space="preserve"> 495,434 01 Most 00831212</w:t>
            </w:r>
          </w:p>
          <w:p w:rsidR="000444C1" w:rsidRDefault="00C0363C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  <w:ind w:left="540"/>
            </w:pPr>
            <w:r>
              <w:rPr>
                <w:b/>
                <w:bCs/>
              </w:rPr>
              <w:t>CZ00831212</w:t>
            </w:r>
          </w:p>
          <w:p w:rsidR="00B32B18" w:rsidRDefault="00B32B18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280"/>
              <w:ind w:left="540"/>
              <w:rPr>
                <w:b/>
                <w:bCs/>
              </w:rPr>
            </w:pPr>
          </w:p>
          <w:p w:rsidR="000444C1" w:rsidRDefault="00B32B18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280"/>
              <w:ind w:left="540"/>
            </w:pPr>
            <w:r>
              <w:rPr>
                <w:b/>
                <w:bCs/>
              </w:rPr>
              <w:t>XXX</w:t>
            </w:r>
          </w:p>
          <w:p w:rsidR="000444C1" w:rsidRDefault="00B32B18">
            <w:pPr>
              <w:pStyle w:val="Jin0"/>
              <w:framePr w:w="7139" w:h="2776" w:wrap="none" w:vAnchor="page" w:hAnchor="page" w:x="1414" w:y="9799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XXX</w:t>
            </w:r>
            <w:r w:rsidR="00C0363C">
              <w:rPr>
                <w:b/>
                <w:bCs/>
              </w:rPr>
              <w:t>, ředitelkou</w:t>
            </w:r>
          </w:p>
        </w:tc>
      </w:tr>
    </w:tbl>
    <w:p w:rsidR="000444C1" w:rsidRDefault="00C0363C">
      <w:pPr>
        <w:pStyle w:val="Titulektabulky0"/>
        <w:framePr w:w="6862" w:h="594" w:hRule="exact" w:wrap="none" w:vAnchor="page" w:hAnchor="page" w:x="1403" w:y="12531"/>
        <w:shd w:val="clear" w:color="auto" w:fill="auto"/>
        <w:ind w:left="14" w:right="14"/>
      </w:pPr>
      <w:r>
        <w:t xml:space="preserve">Osoba oprávněné jednat za objednatele ve věcech plnění této </w:t>
      </w:r>
      <w:proofErr w:type="spellStart"/>
      <w:r>
        <w:t>smlouvy:</w:t>
      </w:r>
      <w:r w:rsidR="00B32B18">
        <w:t>XXX</w:t>
      </w:r>
      <w:proofErr w:type="spellEnd"/>
      <w:r>
        <w:t>, ředitelka</w:t>
      </w:r>
    </w:p>
    <w:p w:rsidR="000444C1" w:rsidRDefault="00C0363C">
      <w:pPr>
        <w:pStyle w:val="Nadpis20"/>
        <w:framePr w:w="9140" w:h="1818" w:hRule="exact" w:wrap="none" w:vAnchor="page" w:hAnchor="page" w:x="1403" w:y="13647"/>
        <w:shd w:val="clear" w:color="auto" w:fill="auto"/>
        <w:spacing w:after="100"/>
      </w:pPr>
      <w:bookmarkStart w:id="2" w:name="bookmark2"/>
      <w:bookmarkStart w:id="3" w:name="bookmark3"/>
      <w:r>
        <w:t>Předmět a účel smlouvy</w:t>
      </w:r>
      <w:bookmarkEnd w:id="2"/>
      <w:bookmarkEnd w:id="3"/>
    </w:p>
    <w:p w:rsidR="000444C1" w:rsidRDefault="00C0363C">
      <w:pPr>
        <w:pStyle w:val="Zkladntext1"/>
        <w:framePr w:w="9140" w:h="1818" w:hRule="exact" w:wrap="none" w:vAnchor="page" w:hAnchor="page" w:x="1403" w:y="13647"/>
        <w:numPr>
          <w:ilvl w:val="0"/>
          <w:numId w:val="1"/>
        </w:numPr>
        <w:shd w:val="clear" w:color="auto" w:fill="auto"/>
        <w:tabs>
          <w:tab w:val="left" w:pos="403"/>
        </w:tabs>
        <w:spacing w:after="0"/>
        <w:ind w:left="360" w:hanging="360"/>
      </w:pPr>
      <w:r>
        <w:t xml:space="preserve">Předmětem této smlouvy je závazek dopravce vykonávat pro objednatele po dobu trvání této smlouvy, v dále uvedeném rozsahu a za níže uvedených podmínek přepravu pro </w:t>
      </w:r>
      <w:r>
        <w:rPr>
          <w:b/>
          <w:bCs/>
        </w:rPr>
        <w:t xml:space="preserve">Městskou správu sociálních služeb v Mostě příspěvkovou organizaci </w:t>
      </w:r>
      <w:r>
        <w:t>ve stanovených termínech a</w:t>
      </w:r>
      <w:r>
        <w:t xml:space="preserve"> závazek objednatele zaplatit za tuto přepravu úplatu a poskytnout dále sjednanou součinnost.</w:t>
      </w:r>
    </w:p>
    <w:p w:rsidR="000444C1" w:rsidRDefault="00C0363C">
      <w:pPr>
        <w:pStyle w:val="Zhlavnebozpat0"/>
        <w:framePr w:wrap="none" w:vAnchor="page" w:hAnchor="page" w:x="5903" w:y="16337"/>
        <w:shd w:val="clear" w:color="auto" w:fill="auto"/>
      </w:pPr>
      <w:r>
        <w:t>1</w:t>
      </w:r>
    </w:p>
    <w:p w:rsidR="000444C1" w:rsidRDefault="00B32B18">
      <w:pPr>
        <w:spacing w:line="1" w:lineRule="exact"/>
        <w:sectPr w:rsidR="000444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131885</wp:posOffset>
                </wp:positionH>
                <wp:positionV relativeFrom="paragraph">
                  <wp:posOffset>201588</wp:posOffset>
                </wp:positionV>
                <wp:extent cx="1063869" cy="1186962"/>
                <wp:effectExtent l="0" t="0" r="3175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869" cy="1186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0.4pt;margin-top:15.85pt;width:83.7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" fillcolor="white [3201]" stroked="f" strokeweight="2pt"/>
            </w:pict>
          </mc:Fallback>
        </mc:AlternateContent>
      </w:r>
    </w:p>
    <w:p w:rsidR="000444C1" w:rsidRDefault="000444C1">
      <w:pPr>
        <w:spacing w:line="1" w:lineRule="exact"/>
      </w:pP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0"/>
          <w:numId w:val="1"/>
        </w:numPr>
        <w:shd w:val="clear" w:color="auto" w:fill="auto"/>
        <w:tabs>
          <w:tab w:val="left" w:pos="410"/>
        </w:tabs>
        <w:spacing w:after="540"/>
        <w:ind w:left="360" w:hanging="360"/>
        <w:jc w:val="both"/>
      </w:pPr>
      <w:r>
        <w:t xml:space="preserve">Účelem této smlouvy je zajištění přepravy pro Městskou správu sociálních služeb v Mostě příspěvkovou organizaci dle požadavků </w:t>
      </w:r>
      <w:r>
        <w:t>objednatele.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:rsidR="000444C1" w:rsidRDefault="00C0363C">
      <w:pPr>
        <w:pStyle w:val="Nadpis20"/>
        <w:framePr w:w="9796" w:h="13291" w:hRule="exact" w:wrap="none" w:vAnchor="page" w:hAnchor="page" w:x="1273" w:y="1407"/>
        <w:shd w:val="clear" w:color="auto" w:fill="auto"/>
      </w:pPr>
      <w:bookmarkStart w:id="4" w:name="bookmark4"/>
      <w:bookmarkStart w:id="5" w:name="bookmark5"/>
      <w:r>
        <w:t>Závazky dopravce</w:t>
      </w:r>
      <w:bookmarkEnd w:id="4"/>
      <w:bookmarkEnd w:id="5"/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14"/>
        </w:tabs>
        <w:ind w:left="360" w:hanging="360"/>
        <w:jc w:val="both"/>
      </w:pPr>
      <w:r>
        <w:t>Dopravce se zavazuje zabezpečit pro plnění účelu této smlouvy dopravní prostředky způsobilé ke sjednané přepravě, dle požadavků (objednávek) objednatele, podaných dle ustanovení této smlouvy.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25"/>
        </w:tabs>
        <w:ind w:left="360" w:hanging="360"/>
        <w:jc w:val="both"/>
      </w:pPr>
      <w:r>
        <w:t>Dopravní prostředky (dále</w:t>
      </w:r>
      <w:r>
        <w:t xml:space="preserve"> jen vozidla), se dopravce zavazuje obsadit způsobilou posádkou, vybavit pohonnými hmotami a dalšími věcmi potřebnými pro sjednaný provoz.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25"/>
        </w:tabs>
        <w:ind w:left="360" w:hanging="360"/>
        <w:jc w:val="both"/>
      </w:pPr>
      <w:r>
        <w:t>Dopravce se zavazuje, že vozidla budou v řádném technickém stavu, který je možno doložit platným protokolem o provede</w:t>
      </w:r>
      <w:r>
        <w:t>ní prohlídky vozidla v STK.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28"/>
        </w:tabs>
        <w:ind w:left="360" w:hanging="360"/>
        <w:jc w:val="both"/>
      </w:pPr>
      <w:r>
        <w:t>V případě porušení platných předpisů vedoucích k ohrožení silničního provozu a při zaviněném nedodržování podmínek dále ve smlouvě stanovených, za hrubost vůči cestujícím či zaměstnancům objednatele, se dopravce zavazuje provést</w:t>
      </w:r>
      <w:r>
        <w:t xml:space="preserve"> bez odkladu výměnu řidiče vozidla, který se takového jednání dopustil.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32"/>
        </w:tabs>
      </w:pPr>
      <w:r>
        <w:t>Při poruše vozidla dopravce zajistí na vlastní náklady náhradní vozidlo.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32"/>
        </w:tabs>
        <w:ind w:left="360" w:hanging="360"/>
        <w:jc w:val="both"/>
      </w:pPr>
      <w:r>
        <w:t>Dopravce se zavazuje přistavit vozidlo nejpozději 30 minut před stanoveným odjezdem k zájezdu.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32"/>
        </w:tabs>
        <w:ind w:left="360" w:hanging="360"/>
        <w:jc w:val="both"/>
      </w:pPr>
      <w:r>
        <w:t>Pro případ jakéh</w:t>
      </w:r>
      <w:r>
        <w:t>okoliv oznámení ze strany objednatele je dopravcem zajištěn nepřetržitý telefonní styk na telefonním čísle dopravce - dopravní dispečink Most 724 743 330. dopravní dispečink Litvínov 733 784 817.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1"/>
          <w:numId w:val="1"/>
        </w:numPr>
        <w:shd w:val="clear" w:color="auto" w:fill="auto"/>
        <w:tabs>
          <w:tab w:val="left" w:pos="432"/>
        </w:tabs>
        <w:spacing w:after="280"/>
        <w:ind w:left="360" w:hanging="360"/>
        <w:jc w:val="both"/>
      </w:pPr>
      <w:r>
        <w:t xml:space="preserve">Dopravce si vyhrazuje právo nahradit smluvený typ vozidla </w:t>
      </w:r>
      <w:r>
        <w:t>jiným typem vhodným pro dohodnutou přepravu.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:rsidR="000444C1" w:rsidRDefault="00C0363C">
      <w:pPr>
        <w:pStyle w:val="Nadpis20"/>
        <w:framePr w:w="9796" w:h="13291" w:hRule="exact" w:wrap="none" w:vAnchor="page" w:hAnchor="page" w:x="1273" w:y="1407"/>
        <w:shd w:val="clear" w:color="auto" w:fill="auto"/>
      </w:pPr>
      <w:bookmarkStart w:id="6" w:name="bookmark6"/>
      <w:bookmarkStart w:id="7" w:name="bookmark7"/>
      <w:r>
        <w:t>Závazky objednatele</w:t>
      </w:r>
      <w:bookmarkEnd w:id="6"/>
      <w:bookmarkEnd w:id="7"/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0"/>
          <w:numId w:val="2"/>
        </w:numPr>
        <w:shd w:val="clear" w:color="auto" w:fill="auto"/>
        <w:tabs>
          <w:tab w:val="left" w:pos="425"/>
        </w:tabs>
        <w:ind w:left="360" w:hanging="360"/>
        <w:jc w:val="both"/>
      </w:pPr>
      <w:r>
        <w:t>Objednatel se zavazuje uhrazovat dopravci za realizovaný provoz vozidla dále uvedenou sjednanou úplatu, a to způsobem dále stanoveným.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0"/>
          <w:numId w:val="2"/>
        </w:numPr>
        <w:shd w:val="clear" w:color="auto" w:fill="auto"/>
        <w:tabs>
          <w:tab w:val="left" w:pos="428"/>
        </w:tabs>
        <w:ind w:left="360" w:hanging="360"/>
        <w:jc w:val="both"/>
      </w:pPr>
      <w:r>
        <w:t>Objednatel se zavazuje oznámit každý další nový</w:t>
      </w:r>
      <w:r>
        <w:t xml:space="preserve"> jednotlivý nebo hromadný požadavek na přepravu, minimálně pět pracovních dní před první požadovanou přepravou, a to písemně na adresu sídla společnosti nebo elektronickou poštou na adresu </w:t>
      </w:r>
      <w:hyperlink r:id="rId10" w:history="1">
        <w:r>
          <w:rPr>
            <w:color w:val="1262A5"/>
            <w:u w:val="single"/>
            <w:lang w:val="en-US" w:eastAsia="en-US" w:bidi="en-US"/>
          </w:rPr>
          <w:t>zajezdv@dpmost.cz</w:t>
        </w:r>
      </w:hyperlink>
      <w:r>
        <w:rPr>
          <w:color w:val="1262A5"/>
          <w:lang w:val="en-US" w:eastAsia="en-US" w:bidi="en-US"/>
        </w:rPr>
        <w:t xml:space="preserve">. </w:t>
      </w:r>
      <w:r>
        <w:t>Objednate</w:t>
      </w:r>
      <w:r>
        <w:t>l se dále zavazuje oznámit dopravci každou změnu v předem objednaných přepravách, jakou je změna termínu či cílového místa přepravy nebo úplné zrušení jednotlivé přepravy. Oznámení o této změně je objednatel povinen provést písemně na adresu sídla dopravce</w:t>
      </w:r>
      <w:r>
        <w:t xml:space="preserve"> uvedenou v záhlaví této smlouvy nebo elektronickou poštou na adresu </w:t>
      </w:r>
      <w:hyperlink r:id="rId11" w:history="1">
        <w:r>
          <w:rPr>
            <w:color w:val="1262A5"/>
            <w:u w:val="single"/>
            <w:lang w:val="en-US" w:eastAsia="en-US" w:bidi="en-US"/>
          </w:rPr>
          <w:t>zajezdy@dpmost.cz</w:t>
        </w:r>
      </w:hyperlink>
      <w:r>
        <w:rPr>
          <w:color w:val="1262A5"/>
          <w:lang w:val="en-US" w:eastAsia="en-US" w:bidi="en-US"/>
        </w:rPr>
        <w:t>.</w:t>
      </w:r>
    </w:p>
    <w:p w:rsidR="000444C1" w:rsidRDefault="00C0363C">
      <w:pPr>
        <w:pStyle w:val="Zkladntext1"/>
        <w:framePr w:w="9796" w:h="13291" w:hRule="exact" w:wrap="none" w:vAnchor="page" w:hAnchor="page" w:x="1273" w:y="1407"/>
        <w:numPr>
          <w:ilvl w:val="0"/>
          <w:numId w:val="2"/>
        </w:numPr>
        <w:shd w:val="clear" w:color="auto" w:fill="auto"/>
        <w:tabs>
          <w:tab w:val="left" w:pos="428"/>
        </w:tabs>
        <w:spacing w:after="0"/>
        <w:ind w:left="360" w:hanging="360"/>
        <w:jc w:val="both"/>
      </w:pPr>
      <w:r>
        <w:t xml:space="preserve">V případě, že dojde ze strany objednatele k nečekané změně termínu přepravy či cílového místa, tzn. méně než 48 hodin přede dnem </w:t>
      </w:r>
      <w:r>
        <w:t>provedení přepravy, není dopravce povinen přepravu zajistit požadovaným typem vozidla, ale může použít jiný typ vozidla. Ve výjimečných případech, kdy objednatel ohlásí změnu termínu či cílového místa v době kratší než 48 hodin před provedením přepravy, mů</w:t>
      </w:r>
      <w:r>
        <w:t>že dopravce přepravu zcela odmítnout.</w:t>
      </w:r>
    </w:p>
    <w:p w:rsidR="000444C1" w:rsidRDefault="00C0363C">
      <w:pPr>
        <w:pStyle w:val="Zhlavnebozpat0"/>
        <w:framePr w:wrap="none" w:vAnchor="page" w:hAnchor="page" w:x="5769" w:y="15944"/>
        <w:shd w:val="clear" w:color="auto" w:fill="auto"/>
      </w:pPr>
      <w:r>
        <w:t>2</w:t>
      </w:r>
    </w:p>
    <w:p w:rsidR="000444C1" w:rsidRDefault="000444C1">
      <w:pPr>
        <w:spacing w:line="1" w:lineRule="exact"/>
        <w:sectPr w:rsidR="000444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44C1" w:rsidRDefault="000444C1">
      <w:pPr>
        <w:spacing w:line="1" w:lineRule="exact"/>
      </w:pP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428"/>
        </w:tabs>
        <w:ind w:left="360" w:hanging="360"/>
        <w:jc w:val="both"/>
      </w:pPr>
      <w:r>
        <w:t xml:space="preserve">V případě, že objednatel požaduje vozidlo na více jak jeden den je povinen zajistit pro řidiče vozidla odpovídající ubytování včetně úhrady a rovněž je povinen uhradit další poplatky spojené </w:t>
      </w:r>
      <w:r>
        <w:t>s provozem vozidla jako parkovné apod.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435"/>
        </w:tabs>
        <w:ind w:left="360" w:hanging="360"/>
        <w:jc w:val="both"/>
      </w:pPr>
      <w:r>
        <w:t>Objednatel se zavazuje stanovit odjezdy na jednotlivé zájezdy ve spolupráci s dopravcem takovým způsobem, aby ze strany dopravce byla zajištěna bezpečnost provozu a řidiči vozidla mohli dodržet veškeré potřebné přestá</w:t>
      </w:r>
      <w:r>
        <w:t>vky a doby odpočinku stanovené legislativou EU a ČR.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435"/>
        </w:tabs>
        <w:ind w:left="360" w:hanging="360"/>
        <w:jc w:val="both"/>
      </w:pPr>
      <w:r>
        <w:t>Objednatel se zavazuje, že nebude požadovat na dopravci, aby vozidlo opatřil „ pevnou“ reklamou - tím je míněna reklama prováděná nástřikem barvy nebo polepem fólií na přední část, boky a zadní část vozi</w:t>
      </w:r>
      <w:r>
        <w:t>dla, pokud se smluvní strany nedohodnou jinak.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435"/>
        </w:tabs>
        <w:ind w:left="360" w:hanging="360"/>
        <w:jc w:val="both"/>
      </w:pPr>
      <w:r>
        <w:t>Objednatel se zavazuje předem určit na každou sjednanou přepravu odpovědnou osobu, která zajistí klidnou a nerušenou přepravu cestujících, za účasti řidiče provede kontrolu interiéru vozidla před a po proveden</w:t>
      </w:r>
      <w:r>
        <w:t>é přepravě, popř. sepíše společně s řidičem vozidla protokol o poškození interiéru nebo vnitřního zařízení a vybavení vozidla.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435"/>
        </w:tabs>
        <w:ind w:left="360" w:hanging="360"/>
        <w:jc w:val="both"/>
      </w:pPr>
      <w:r>
        <w:t>Objednatel se zavazuje poskytnout dopravci údaje uvedené v dotazníku „Hodnocení poskytovaných služeb,“ kterým dopravce monitoruje</w:t>
      </w:r>
      <w:r>
        <w:t xml:space="preserve"> spokojenost zákazníka.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435"/>
        </w:tabs>
        <w:ind w:left="360" w:hanging="360"/>
        <w:jc w:val="both"/>
      </w:pPr>
      <w:r>
        <w:t>Objednatel se zavazuje akceptovat jednostranné navýšení ceny za ujetý kilometr jednotlivých vozidel v případech neočekávaného růstu inflace a vstupních komodit, zejména pohonných hmot, a to maximálně ve výši 5%.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2"/>
        </w:numPr>
        <w:shd w:val="clear" w:color="auto" w:fill="auto"/>
        <w:tabs>
          <w:tab w:val="left" w:pos="716"/>
        </w:tabs>
        <w:spacing w:after="280"/>
        <w:ind w:left="360" w:hanging="360"/>
        <w:jc w:val="both"/>
      </w:pPr>
      <w:r>
        <w:t xml:space="preserve">Objednatel se </w:t>
      </w:r>
      <w:r>
        <w:t>zavazuje, s ohledem na výraznou slevu z ceny za ujetý kilometr a čekání v dopravě, nepoptávat přepravu u jiných dopravců, s výjimkou přepravy nízkokapacitními autobusy do dvaceti míst k sezení.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shd w:val="clear" w:color="auto" w:fill="auto"/>
        <w:spacing w:after="0"/>
        <w:jc w:val="center"/>
      </w:pPr>
      <w:r>
        <w:rPr>
          <w:b/>
          <w:bCs/>
        </w:rPr>
        <w:t>Článek 4</w:t>
      </w:r>
    </w:p>
    <w:p w:rsidR="000444C1" w:rsidRDefault="00C0363C">
      <w:pPr>
        <w:pStyle w:val="Nadpis20"/>
        <w:framePr w:w="9796" w:h="13867" w:hRule="exact" w:wrap="none" w:vAnchor="page" w:hAnchor="page" w:x="1273" w:y="1486"/>
        <w:shd w:val="clear" w:color="auto" w:fill="auto"/>
      </w:pPr>
      <w:bookmarkStart w:id="8" w:name="bookmark8"/>
      <w:bookmarkStart w:id="9" w:name="bookmark9"/>
      <w:r>
        <w:t>Výše úplaty, způsob úhrady a sankce</w:t>
      </w:r>
      <w:bookmarkEnd w:id="8"/>
      <w:bookmarkEnd w:id="9"/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3"/>
        </w:numPr>
        <w:shd w:val="clear" w:color="auto" w:fill="auto"/>
        <w:tabs>
          <w:tab w:val="left" w:pos="424"/>
        </w:tabs>
        <w:ind w:left="360" w:hanging="360"/>
        <w:jc w:val="both"/>
      </w:pPr>
      <w:r>
        <w:t>Po vzájemné dohod</w:t>
      </w:r>
      <w:r>
        <w:t>ě obou smluvních stran byla cena dopravních výkonů vozidel stanovena následovně: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4"/>
        </w:numPr>
        <w:shd w:val="clear" w:color="auto" w:fill="auto"/>
        <w:tabs>
          <w:tab w:val="left" w:pos="1110"/>
          <w:tab w:val="left" w:pos="6323"/>
        </w:tabs>
        <w:spacing w:after="0"/>
        <w:ind w:firstLine="760"/>
      </w:pPr>
      <w:r>
        <w:rPr>
          <w:b/>
          <w:bCs/>
        </w:rPr>
        <w:t>všechny typy autobusů</w:t>
      </w:r>
      <w:r>
        <w:rPr>
          <w:b/>
          <w:bCs/>
        </w:rPr>
        <w:tab/>
      </w:r>
      <w:r w:rsidR="00B32B18">
        <w:rPr>
          <w:b/>
          <w:bCs/>
        </w:rPr>
        <w:t>XXX</w:t>
      </w:r>
      <w:r>
        <w:rPr>
          <w:b/>
          <w:bCs/>
        </w:rPr>
        <w:t xml:space="preserve"> Kč/km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4"/>
        </w:numPr>
        <w:shd w:val="clear" w:color="auto" w:fill="auto"/>
        <w:tabs>
          <w:tab w:val="left" w:pos="1110"/>
          <w:tab w:val="left" w:pos="6323"/>
        </w:tabs>
        <w:spacing w:after="0"/>
        <w:ind w:firstLine="760"/>
      </w:pPr>
      <w:r>
        <w:rPr>
          <w:b/>
          <w:bCs/>
        </w:rPr>
        <w:t>přívěs</w:t>
      </w:r>
      <w:r>
        <w:rPr>
          <w:b/>
          <w:bCs/>
        </w:rPr>
        <w:tab/>
      </w:r>
      <w:r w:rsidR="00B32B18">
        <w:rPr>
          <w:b/>
          <w:bCs/>
        </w:rPr>
        <w:t>XXX</w:t>
      </w:r>
      <w:r>
        <w:rPr>
          <w:b/>
          <w:bCs/>
        </w:rPr>
        <w:t xml:space="preserve"> Kč/den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4"/>
        </w:numPr>
        <w:shd w:val="clear" w:color="auto" w:fill="auto"/>
        <w:tabs>
          <w:tab w:val="left" w:pos="1110"/>
          <w:tab w:val="left" w:pos="6323"/>
        </w:tabs>
        <w:ind w:firstLine="760"/>
      </w:pPr>
      <w:r>
        <w:rPr>
          <w:b/>
          <w:bCs/>
        </w:rPr>
        <w:t>čekání v dopravě</w:t>
      </w:r>
      <w:r>
        <w:rPr>
          <w:b/>
          <w:bCs/>
        </w:rPr>
        <w:tab/>
      </w:r>
      <w:r w:rsidR="00B32B18">
        <w:rPr>
          <w:b/>
          <w:bCs/>
        </w:rPr>
        <w:t>XXX</w:t>
      </w:r>
      <w:r>
        <w:rPr>
          <w:b/>
          <w:bCs/>
        </w:rPr>
        <w:t xml:space="preserve"> Kč/hod.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shd w:val="clear" w:color="auto" w:fill="auto"/>
        <w:ind w:left="360" w:firstLine="20"/>
        <w:jc w:val="both"/>
      </w:pPr>
      <w:r>
        <w:t>K této ceně bude připočtena daň z přidané hodnoty. V případě cesty do zahraničí budou objednatelem</w:t>
      </w:r>
      <w:r>
        <w:t xml:space="preserve"> hrazeny další poplatky jako stravné řidiče, resp. (řidičů) a jejich ubytování, dále pak silniční poplatky v jednotlivých státech na trase přepravy, parkovné a případné další poplatky (rozdíl ceny nafty, vjezdy do měst a podobné).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3"/>
        </w:numPr>
        <w:shd w:val="clear" w:color="auto" w:fill="auto"/>
        <w:tabs>
          <w:tab w:val="left" w:pos="435"/>
        </w:tabs>
        <w:ind w:left="360" w:hanging="360"/>
        <w:jc w:val="both"/>
      </w:pPr>
      <w:r>
        <w:t>Na každou realizovanou př</w:t>
      </w:r>
      <w:r>
        <w:t>epravu vystaví dopravce objednateli daňový doklad (fakturu) dle zákona č. 235/2004 Sb. v platném znění.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Faktury vystavené dopravcem jsou splatné do čtrnácti dnů od jejich vystavení.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3"/>
        </w:numPr>
        <w:shd w:val="clear" w:color="auto" w:fill="auto"/>
        <w:tabs>
          <w:tab w:val="left" w:pos="435"/>
        </w:tabs>
        <w:ind w:left="360" w:hanging="360"/>
        <w:jc w:val="both"/>
      </w:pPr>
      <w:r>
        <w:t>V případě prodlení objednatele s úhradou dopravcovy faktury sjednávají str</w:t>
      </w:r>
      <w:r>
        <w:t>any úrok z prodlení ve výši 0,2 % z dlužné částky denně. Dopravce si vyhrazuje právo, v případě prodlení objednatele při úhradě dopravcovy faktury o 5 kalendářních dní, nepřistavit vozidlo do doby, než objednatel za provedenou přepravu zaplatí.</w:t>
      </w:r>
    </w:p>
    <w:p w:rsidR="000444C1" w:rsidRDefault="00C0363C">
      <w:pPr>
        <w:pStyle w:val="Zkladntext1"/>
        <w:framePr w:w="9796" w:h="13867" w:hRule="exact" w:wrap="none" w:vAnchor="page" w:hAnchor="page" w:x="1273" w:y="1486"/>
        <w:numPr>
          <w:ilvl w:val="0"/>
          <w:numId w:val="3"/>
        </w:numPr>
        <w:shd w:val="clear" w:color="auto" w:fill="auto"/>
        <w:tabs>
          <w:tab w:val="left" w:pos="435"/>
        </w:tabs>
        <w:spacing w:after="0"/>
        <w:ind w:left="360" w:hanging="360"/>
        <w:jc w:val="both"/>
      </w:pPr>
      <w:r>
        <w:t xml:space="preserve">V případě, </w:t>
      </w:r>
      <w:r>
        <w:t>že objednatel neoznámí dopravci zrušení požadované přepravy alespoň 48 hodin před objednanou přepravou, uhradí dopravci 50 % z předpokládané ceny uvedené přepravy, pokud se smluvní strany nedohodnou jinak. Předpokládanou cenou se rozumí</w:t>
      </w:r>
    </w:p>
    <w:p w:rsidR="000444C1" w:rsidRDefault="00C0363C">
      <w:pPr>
        <w:pStyle w:val="Zhlavnebozpat0"/>
        <w:framePr w:wrap="none" w:vAnchor="page" w:hAnchor="page" w:x="5776" w:y="16030"/>
        <w:shd w:val="clear" w:color="auto" w:fill="auto"/>
      </w:pPr>
      <w:r>
        <w:t>3</w:t>
      </w:r>
    </w:p>
    <w:p w:rsidR="000444C1" w:rsidRDefault="000444C1">
      <w:pPr>
        <w:spacing w:line="1" w:lineRule="exact"/>
        <w:sectPr w:rsidR="000444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44C1" w:rsidRDefault="000444C1">
      <w:pPr>
        <w:spacing w:line="1" w:lineRule="exact"/>
      </w:pPr>
    </w:p>
    <w:p w:rsidR="000444C1" w:rsidRDefault="00C0363C">
      <w:pPr>
        <w:pStyle w:val="Zkladntext1"/>
        <w:framePr w:w="9796" w:h="5234" w:hRule="exact" w:wrap="none" w:vAnchor="page" w:hAnchor="page" w:x="1273" w:y="1468"/>
        <w:shd w:val="clear" w:color="auto" w:fill="auto"/>
        <w:ind w:left="360" w:firstLine="20"/>
        <w:jc w:val="both"/>
      </w:pPr>
      <w:r>
        <w:t>vzdálenost do cílového místa přepravy a zpět vynásobená příslušnou cenou za ujetý kilometr dle použitého typu vozidla a cenového ujednání dle odstavce 4.1 této smlouvy.</w:t>
      </w:r>
    </w:p>
    <w:p w:rsidR="000444C1" w:rsidRDefault="00C0363C">
      <w:pPr>
        <w:pStyle w:val="Zkladntext1"/>
        <w:framePr w:w="9796" w:h="5234" w:hRule="exact" w:wrap="none" w:vAnchor="page" w:hAnchor="page" w:x="1273" w:y="1468"/>
        <w:numPr>
          <w:ilvl w:val="0"/>
          <w:numId w:val="3"/>
        </w:numPr>
        <w:shd w:val="clear" w:color="auto" w:fill="auto"/>
        <w:tabs>
          <w:tab w:val="left" w:pos="434"/>
        </w:tabs>
        <w:ind w:left="360" w:hanging="360"/>
        <w:jc w:val="both"/>
      </w:pPr>
      <w:r>
        <w:t>V případě že dopravce nepřistaví na objednatelem smluvený den</w:t>
      </w:r>
      <w:r>
        <w:t xml:space="preserve"> a hodinu vozidlo, s výjimkou bodu 3.3 a 4.5 této smlouvy, a nezajistí ani náhradní vozidlo za cenu vozidla nepřistaveného, uhradí objednateli veškeré náklady, které v souvislosti s nepřistavením vozidla objednateli prokazatelně vzniknou.</w:t>
      </w:r>
    </w:p>
    <w:p w:rsidR="000444C1" w:rsidRDefault="00C0363C">
      <w:pPr>
        <w:pStyle w:val="Zkladntext1"/>
        <w:framePr w:w="9796" w:h="5234" w:hRule="exact" w:wrap="none" w:vAnchor="page" w:hAnchor="page" w:x="1273" w:y="1468"/>
        <w:numPr>
          <w:ilvl w:val="0"/>
          <w:numId w:val="3"/>
        </w:numPr>
        <w:shd w:val="clear" w:color="auto" w:fill="auto"/>
        <w:tabs>
          <w:tab w:val="left" w:pos="434"/>
        </w:tabs>
        <w:ind w:left="360" w:hanging="360"/>
        <w:jc w:val="both"/>
      </w:pPr>
      <w:r>
        <w:rPr>
          <w:b/>
          <w:bCs/>
        </w:rPr>
        <w:t xml:space="preserve">V </w:t>
      </w:r>
      <w:r>
        <w:t>případě, že při</w:t>
      </w:r>
      <w:r>
        <w:t xml:space="preserve"> kontrole interiéru vozidla, dle čl. 3.6 této smlouvy, zjistí řidič společně s pověřenou osobou objednatele poškození interiéru a vnitřního vybavení vozidla, sepíší o tomto poškození protokol. Pokud se bude jednat o poškození ze strany cestujících zjištěné</w:t>
      </w:r>
      <w:r>
        <w:t xml:space="preserve"> ihned po provedené přepravě, je objednatel povinen uhradit dopravci náklady nutné k uvedení vozidla do původního stavu.</w:t>
      </w:r>
    </w:p>
    <w:p w:rsidR="000444C1" w:rsidRDefault="00C0363C">
      <w:pPr>
        <w:pStyle w:val="Zkladntext1"/>
        <w:framePr w:w="9796" w:h="5234" w:hRule="exact" w:wrap="none" w:vAnchor="page" w:hAnchor="page" w:x="1273" w:y="1468"/>
        <w:numPr>
          <w:ilvl w:val="0"/>
          <w:numId w:val="3"/>
        </w:numPr>
        <w:shd w:val="clear" w:color="auto" w:fill="auto"/>
        <w:tabs>
          <w:tab w:val="left" w:pos="434"/>
        </w:tabs>
        <w:ind w:left="360" w:hanging="360"/>
        <w:jc w:val="both"/>
      </w:pPr>
      <w:r>
        <w:t>Dopravce je oprávněn jednostranně navýšit cenu za ujetý kilometr jednotlivých vozidel v případě neočekávaného růstu inflace a vstupních</w:t>
      </w:r>
      <w:r>
        <w:t xml:space="preserve"> komodit, zejména pohonných hmot, a to maximálně ve výši 5%.</w:t>
      </w:r>
    </w:p>
    <w:p w:rsidR="000444C1" w:rsidRDefault="00C0363C">
      <w:pPr>
        <w:pStyle w:val="Zkladntext1"/>
        <w:framePr w:w="9796" w:h="5234" w:hRule="exact" w:wrap="none" w:vAnchor="page" w:hAnchor="page" w:x="1273" w:y="1468"/>
        <w:numPr>
          <w:ilvl w:val="0"/>
          <w:numId w:val="3"/>
        </w:numPr>
        <w:shd w:val="clear" w:color="auto" w:fill="auto"/>
        <w:tabs>
          <w:tab w:val="left" w:pos="434"/>
        </w:tabs>
        <w:spacing w:after="0"/>
        <w:ind w:left="360" w:hanging="360"/>
        <w:jc w:val="both"/>
      </w:pPr>
      <w:r>
        <w:t xml:space="preserve">V případě porušení ustanovení odstavce 3.9 objednatelem přepravy, je dopravce oprávněn jednostranně navýšit cenu za ujetý kilometr dle platného ceníku </w:t>
      </w:r>
      <w:proofErr w:type="spellStart"/>
      <w:r>
        <w:t>DPmML</w:t>
      </w:r>
      <w:proofErr w:type="spellEnd"/>
      <w:r>
        <w:t>, a.s. pro zájezdovou dopravu.</w:t>
      </w:r>
    </w:p>
    <w:p w:rsidR="000444C1" w:rsidRDefault="00C0363C">
      <w:pPr>
        <w:pStyle w:val="Zkladntext1"/>
        <w:framePr w:w="9796" w:h="608" w:hRule="exact" w:wrap="none" w:vAnchor="page" w:hAnchor="page" w:x="1273" w:y="6933"/>
        <w:shd w:val="clear" w:color="auto" w:fill="auto"/>
        <w:spacing w:after="0"/>
        <w:jc w:val="center"/>
      </w:pPr>
      <w:r>
        <w:rPr>
          <w:b/>
          <w:bCs/>
        </w:rPr>
        <w:t>Článek 5</w:t>
      </w:r>
    </w:p>
    <w:p w:rsidR="000444C1" w:rsidRDefault="00C0363C">
      <w:pPr>
        <w:pStyle w:val="Nadpis20"/>
        <w:framePr w:w="9796" w:h="608" w:hRule="exact" w:wrap="none" w:vAnchor="page" w:hAnchor="page" w:x="1273" w:y="6933"/>
        <w:shd w:val="clear" w:color="auto" w:fill="auto"/>
        <w:spacing w:after="0"/>
      </w:pPr>
      <w:bookmarkStart w:id="10" w:name="bookmark10"/>
      <w:bookmarkStart w:id="11" w:name="bookmark11"/>
      <w:r>
        <w:t>Doba trvání smlouvy</w:t>
      </w:r>
      <w:bookmarkEnd w:id="10"/>
      <w:bookmarkEnd w:id="11"/>
    </w:p>
    <w:p w:rsidR="000444C1" w:rsidRDefault="00C0363C">
      <w:pPr>
        <w:pStyle w:val="Zkladntext1"/>
        <w:framePr w:w="9796" w:h="1667" w:hRule="exact" w:wrap="none" w:vAnchor="page" w:hAnchor="page" w:x="1273" w:y="7606"/>
        <w:numPr>
          <w:ilvl w:val="0"/>
          <w:numId w:val="5"/>
        </w:numPr>
        <w:shd w:val="clear" w:color="auto" w:fill="auto"/>
        <w:tabs>
          <w:tab w:val="left" w:pos="420"/>
        </w:tabs>
      </w:pPr>
      <w:r>
        <w:t>Tuto smlouvu sjednávají strany na dobu neurčitou od 1. dubna 2013.</w:t>
      </w:r>
    </w:p>
    <w:p w:rsidR="000444C1" w:rsidRDefault="00C0363C">
      <w:pPr>
        <w:pStyle w:val="Zkladntext1"/>
        <w:framePr w:w="9796" w:h="1667" w:hRule="exact" w:wrap="none" w:vAnchor="page" w:hAnchor="page" w:x="1273" w:y="7606"/>
        <w:numPr>
          <w:ilvl w:val="0"/>
          <w:numId w:val="5"/>
        </w:numPr>
        <w:shd w:val="clear" w:color="auto" w:fill="auto"/>
        <w:tabs>
          <w:tab w:val="left" w:pos="427"/>
        </w:tabs>
        <w:ind w:left="360" w:hanging="360"/>
        <w:jc w:val="both"/>
      </w:pPr>
      <w:r>
        <w:t>Kterákoli ze smluvních stran je oprávněna tuto smlouvu písemně vypovědět, a to ke konci kalendářního měsíce, v němž byla výpověď druhé straně doručena.</w:t>
      </w:r>
    </w:p>
    <w:p w:rsidR="000444C1" w:rsidRDefault="00C0363C">
      <w:pPr>
        <w:pStyle w:val="Zkladntext1"/>
        <w:framePr w:w="9796" w:h="1667" w:hRule="exact" w:wrap="none" w:vAnchor="page" w:hAnchor="page" w:x="1273" w:y="7606"/>
        <w:numPr>
          <w:ilvl w:val="0"/>
          <w:numId w:val="5"/>
        </w:numPr>
        <w:shd w:val="clear" w:color="auto" w:fill="auto"/>
        <w:tabs>
          <w:tab w:val="left" w:pos="427"/>
        </w:tabs>
        <w:spacing w:after="0"/>
        <w:ind w:left="360" w:hanging="360"/>
        <w:jc w:val="both"/>
      </w:pPr>
      <w:r>
        <w:t xml:space="preserve">Tuto smlouvu </w:t>
      </w:r>
      <w:r>
        <w:t>mohou smluvní strany písemně zrušit ke kterémukoli dni písemnou dohodou.</w:t>
      </w:r>
    </w:p>
    <w:p w:rsidR="000444C1" w:rsidRDefault="00C0363C">
      <w:pPr>
        <w:pStyle w:val="Nadpis20"/>
        <w:framePr w:w="9796" w:h="608" w:hRule="exact" w:wrap="none" w:vAnchor="page" w:hAnchor="page" w:x="1273" w:y="9511"/>
        <w:pBdr>
          <w:bottom w:val="single" w:sz="4" w:space="0" w:color="auto"/>
        </w:pBdr>
        <w:shd w:val="clear" w:color="auto" w:fill="auto"/>
        <w:spacing w:after="0"/>
      </w:pPr>
      <w:bookmarkStart w:id="12" w:name="bookmark12"/>
      <w:bookmarkStart w:id="13" w:name="bookmark13"/>
      <w:r>
        <w:rPr>
          <w:u w:val="none"/>
        </w:rPr>
        <w:t>Článek 6</w:t>
      </w:r>
      <w:r>
        <w:rPr>
          <w:u w:val="none"/>
        </w:rPr>
        <w:br/>
      </w:r>
      <w:r>
        <w:t>Závěrečná ujednání</w:t>
      </w:r>
      <w:bookmarkEnd w:id="12"/>
      <w:bookmarkEnd w:id="13"/>
    </w:p>
    <w:p w:rsidR="000444C1" w:rsidRDefault="00C0363C">
      <w:pPr>
        <w:pStyle w:val="Zkladntext1"/>
        <w:framePr w:w="9796" w:h="2513" w:hRule="exact" w:wrap="none" w:vAnchor="page" w:hAnchor="page" w:x="1273" w:y="10187"/>
        <w:numPr>
          <w:ilvl w:val="0"/>
          <w:numId w:val="6"/>
        </w:numPr>
        <w:shd w:val="clear" w:color="auto" w:fill="auto"/>
        <w:tabs>
          <w:tab w:val="left" w:pos="416"/>
        </w:tabs>
        <w:ind w:left="360" w:hanging="360"/>
        <w:jc w:val="both"/>
      </w:pPr>
      <w:r>
        <w:t xml:space="preserve">Tuto smlouvu uzavírají strany dle obchodního zákoníku, kterým se řídí. </w:t>
      </w:r>
      <w:proofErr w:type="spellStart"/>
      <w:r>
        <w:t>Subsidiámě</w:t>
      </w:r>
      <w:proofErr w:type="spellEnd"/>
      <w:r>
        <w:t xml:space="preserve"> se vztahy smluvních stran řídí občanským zákoníkem. Osoby podepisující </w:t>
      </w:r>
      <w:r>
        <w:t>tuto smlouvu prohlašují, že jsou plně oprávněné a způsobilé k právním úkonům v rozsahu této smlouvy a prohlašují, že smlouva byla uzavřena po vzájemném projednání podle jejich svobodné vůle, nikoliv v tísni nebo za jinak nápadně jednostranně nevýhodných po</w:t>
      </w:r>
      <w:r>
        <w:t>dmínek.</w:t>
      </w:r>
    </w:p>
    <w:p w:rsidR="000444C1" w:rsidRDefault="00C0363C">
      <w:pPr>
        <w:pStyle w:val="Zkladntext1"/>
        <w:framePr w:w="9796" w:h="2513" w:hRule="exact" w:wrap="none" w:vAnchor="page" w:hAnchor="page" w:x="1273" w:y="10187"/>
        <w:numPr>
          <w:ilvl w:val="0"/>
          <w:numId w:val="6"/>
        </w:numPr>
        <w:shd w:val="clear" w:color="auto" w:fill="auto"/>
        <w:tabs>
          <w:tab w:val="left" w:pos="427"/>
        </w:tabs>
        <w:ind w:left="360" w:hanging="360"/>
        <w:jc w:val="both"/>
      </w:pPr>
      <w:r>
        <w:t>Jakékoli změny či doplňky této smlouvy mohou smluvní strany sjednat pouze písemně, a to ve formě dodatků k této smlouvě číslovaných vzestupnou řadou.</w:t>
      </w:r>
    </w:p>
    <w:p w:rsidR="000444C1" w:rsidRDefault="00C0363C">
      <w:pPr>
        <w:pStyle w:val="Zkladntext1"/>
        <w:framePr w:w="9796" w:h="2513" w:hRule="exact" w:wrap="none" w:vAnchor="page" w:hAnchor="page" w:x="1273" w:y="10187"/>
        <w:numPr>
          <w:ilvl w:val="0"/>
          <w:numId w:val="6"/>
        </w:numPr>
        <w:shd w:val="clear" w:color="auto" w:fill="auto"/>
        <w:tabs>
          <w:tab w:val="left" w:pos="427"/>
        </w:tabs>
        <w:spacing w:after="0"/>
      </w:pPr>
      <w:proofErr w:type="gramStart"/>
      <w:r>
        <w:t>Smlouvaje</w:t>
      </w:r>
      <w:proofErr w:type="gramEnd"/>
      <w:r>
        <w:t xml:space="preserve"> sepsána ve dvou vyhotoveních, z nichž každá strana obdrží po jednom.</w:t>
      </w:r>
    </w:p>
    <w:p w:rsidR="000444C1" w:rsidRDefault="00B32B18">
      <w:pPr>
        <w:framePr w:wrap="none" w:vAnchor="page" w:hAnchor="page" w:x="1320" w:y="12819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-2296</wp:posOffset>
                </wp:positionH>
                <wp:positionV relativeFrom="paragraph">
                  <wp:posOffset>2247</wp:posOffset>
                </wp:positionV>
                <wp:extent cx="2576146" cy="1072515"/>
                <wp:effectExtent l="0" t="0" r="0" b="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46" cy="1072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.2pt;margin-top:.2pt;width:202.85pt;height:8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3514627</wp:posOffset>
                </wp:positionH>
                <wp:positionV relativeFrom="paragraph">
                  <wp:posOffset>2247</wp:posOffset>
                </wp:positionV>
                <wp:extent cx="2751993" cy="1072661"/>
                <wp:effectExtent l="0" t="0" r="0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993" cy="1072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276.75pt;margin-top:.2pt;width:216.7pt;height:8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" fillcolor="white [3201]" stroked="f" strokeweight="2pt"/>
            </w:pict>
          </mc:Fallback>
        </mc:AlternateContent>
      </w:r>
      <w:r w:rsidR="00C0363C">
        <w:rPr>
          <w:noProof/>
          <w:lang w:bidi="ar-SA"/>
        </w:rPr>
        <w:drawing>
          <wp:inline distT="0" distB="0" distL="0" distR="0">
            <wp:extent cx="5431790" cy="1420495"/>
            <wp:effectExtent l="0" t="0" r="0" b="825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3179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C1" w:rsidRDefault="00C0363C">
      <w:pPr>
        <w:pStyle w:val="Titulekobrzku0"/>
        <w:framePr w:wrap="none" w:vAnchor="page" w:hAnchor="page" w:x="2360" w:y="15026"/>
        <w:shd w:val="clear" w:color="auto" w:fill="auto"/>
        <w:tabs>
          <w:tab w:val="left" w:pos="5169"/>
        </w:tabs>
        <w:spacing w:line="240" w:lineRule="auto"/>
        <w:ind w:left="14" w:right="1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Mostu a Litvínova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a.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 Mostě,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44C1" w:rsidRDefault="00C0363C">
      <w:pPr>
        <w:pStyle w:val="Zkladntext20"/>
        <w:framePr w:w="9796" w:h="475" w:hRule="exact" w:wrap="none" w:vAnchor="page" w:hAnchor="page" w:x="1273" w:y="13226"/>
        <w:shd w:val="clear" w:color="auto" w:fill="auto"/>
        <w:spacing w:after="0"/>
        <w:ind w:left="7214" w:right="21"/>
        <w:rPr>
          <w:sz w:val="16"/>
          <w:szCs w:val="16"/>
        </w:rPr>
      </w:pPr>
      <w:proofErr w:type="spellStart"/>
      <w:r>
        <w:t>Méstská</w:t>
      </w:r>
      <w:proofErr w:type="spellEnd"/>
      <w:r>
        <w:t xml:space="preserve"> správa sociálních služeb</w:t>
      </w:r>
      <w:r>
        <w:br/>
      </w: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Mostěpříspěvková</w:t>
      </w:r>
      <w:proofErr w:type="spellEnd"/>
      <w:r>
        <w:rPr>
          <w:sz w:val="16"/>
          <w:szCs w:val="16"/>
        </w:rPr>
        <w:t xml:space="preserve"> organizace</w:t>
      </w:r>
    </w:p>
    <w:p w:rsidR="000444C1" w:rsidRDefault="00C0363C">
      <w:pPr>
        <w:pStyle w:val="Zkladntext30"/>
        <w:framePr w:w="1904" w:h="421" w:hRule="exact" w:wrap="none" w:vAnchor="page" w:hAnchor="page" w:x="9168" w:y="13615"/>
        <w:shd w:val="clear" w:color="auto" w:fill="auto"/>
        <w:ind w:left="43" w:right="25"/>
      </w:pPr>
      <w:r>
        <w:t>'ířská05,434Ol</w:t>
      </w:r>
    </w:p>
    <w:p w:rsidR="000444C1" w:rsidRDefault="00C0363C">
      <w:pPr>
        <w:pStyle w:val="Zkladntext30"/>
        <w:framePr w:w="1904" w:h="421" w:hRule="exact" w:wrap="none" w:vAnchor="page" w:hAnchor="page" w:x="9168" w:y="13615"/>
        <w:shd w:val="clear" w:color="auto" w:fill="auto"/>
        <w:tabs>
          <w:tab w:val="left" w:pos="1645"/>
        </w:tabs>
        <w:ind w:left="43" w:right="25"/>
      </w:pPr>
      <w:r>
        <w:t xml:space="preserve">. </w:t>
      </w:r>
      <w:proofErr w:type="spellStart"/>
      <w:r>
        <w:t>ičd</w:t>
      </w:r>
      <w:proofErr w:type="spellEnd"/>
      <w:r>
        <w:t xml:space="preserve"> 00831212</w:t>
      </w:r>
      <w:r>
        <w:tab/>
        <w:t>(1)</w:t>
      </w:r>
    </w:p>
    <w:p w:rsidR="000444C1" w:rsidRDefault="00C0363C">
      <w:pPr>
        <w:pStyle w:val="Zhlavnebozpat0"/>
        <w:framePr w:wrap="none" w:vAnchor="page" w:hAnchor="page" w:x="5751" w:y="16005"/>
        <w:shd w:val="clear" w:color="auto" w:fill="auto"/>
      </w:pPr>
      <w:r>
        <w:t>4</w:t>
      </w:r>
    </w:p>
    <w:p w:rsidR="000444C1" w:rsidRDefault="00C0363C">
      <w:pPr>
        <w:spacing w:line="1" w:lineRule="exact"/>
        <w:sectPr w:rsidR="000444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4609465</wp:posOffset>
            </wp:positionH>
            <wp:positionV relativeFrom="page">
              <wp:posOffset>8093710</wp:posOffset>
            </wp:positionV>
            <wp:extent cx="1591310" cy="135318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913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4C1" w:rsidRDefault="000444C1">
      <w:pPr>
        <w:spacing w:line="1" w:lineRule="exact"/>
      </w:pPr>
      <w:bookmarkStart w:id="14" w:name="_GoBack"/>
      <w:bookmarkEnd w:id="14"/>
    </w:p>
    <w:p w:rsidR="000444C1" w:rsidRDefault="000444C1">
      <w:pPr>
        <w:framePr w:wrap="none" w:vAnchor="page" w:hAnchor="page" w:x="5879" w:y="1380"/>
      </w:pPr>
    </w:p>
    <w:p w:rsidR="000444C1" w:rsidRDefault="00C0363C">
      <w:pPr>
        <w:pStyle w:val="Titulektabulky0"/>
        <w:framePr w:wrap="none" w:vAnchor="page" w:hAnchor="page" w:x="1454" w:y="1398"/>
        <w:shd w:val="clear" w:color="auto" w:fill="auto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[Zpracovatel smlouvy?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390"/>
        <w:gridCol w:w="1400"/>
        <w:gridCol w:w="1393"/>
        <w:gridCol w:w="1440"/>
      </w:tblGrid>
      <w:tr w:rsidR="000444C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Příjmení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Funkce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Podpis </w:t>
            </w:r>
            <w:r>
              <w:rPr>
                <w:rFonts w:ascii="Arial" w:eastAsia="Arial" w:hAnsi="Arial" w:cs="Arial"/>
                <w:i/>
                <w:iCs/>
                <w:color w:val="4F5887"/>
                <w:sz w:val="19"/>
                <w:szCs w:val="19"/>
              </w:rPr>
              <w:t>//v</w:t>
            </w: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Vypracoval: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Odborný ředitel: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 xml:space="preserve">&amp;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>Ij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>/ft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  <w:vertAlign w:val="subscript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>LtfMvMý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ind w:firstLine="580"/>
              <w:rPr>
                <w:sz w:val="28"/>
                <w:szCs w:val="28"/>
              </w:rPr>
            </w:pPr>
            <w:r>
              <w:rPr>
                <w:i/>
                <w:iCs/>
                <w:color w:val="5C69B2"/>
                <w:sz w:val="28"/>
                <w:szCs w:val="28"/>
              </w:rPr>
              <w:t>/l</w:t>
            </w: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Odborné posouzení: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Ekonomické posouzení: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ind w:firstLine="5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F5887"/>
                <w:sz w:val="19"/>
                <w:szCs w:val="19"/>
              </w:rPr>
              <w:t>5&lt; W3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color w:val="4F5887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>.MM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>'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4F5887"/>
                <w:sz w:val="22"/>
                <w:szCs w:val="22"/>
              </w:rPr>
              <w:t>ĚM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tabs>
                <w:tab w:val="left" w:pos="1076"/>
              </w:tabs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5C69B2"/>
                <w:sz w:val="28"/>
                <w:szCs w:val="28"/>
              </w:rPr>
              <w:t>/r,</w:t>
            </w:r>
            <w:r>
              <w:rPr>
                <w:i/>
                <w:iCs/>
                <w:color w:val="4F5887"/>
                <w:sz w:val="28"/>
                <w:szCs w:val="28"/>
              </w:rPr>
              <w:t>)</w:t>
            </w:r>
            <w:r>
              <w:rPr>
                <w:i/>
                <w:iCs/>
                <w:color w:val="4F5887"/>
                <w:sz w:val="28"/>
                <w:szCs w:val="28"/>
              </w:rPr>
              <w:tab/>
            </w:r>
            <w:r>
              <w:rPr>
                <w:i/>
                <w:iCs/>
                <w:color w:val="5C69B2"/>
                <w:sz w:val="28"/>
                <w:szCs w:val="28"/>
              </w:rPr>
              <w:t>/</w:t>
            </w:r>
            <w:proofErr w:type="gramEnd"/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Obchodní posouzení: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color w:val="4F5887"/>
                <w:sz w:val="20"/>
                <w:szCs w:val="20"/>
              </w:rPr>
              <w:t>z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</w:tr>
      <w:tr w:rsidR="000444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Právní posouzení: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4C1" w:rsidRDefault="000444C1">
            <w:pPr>
              <w:framePr w:w="8662" w:h="1778" w:wrap="none" w:vAnchor="page" w:hAnchor="page" w:x="1469" w:y="19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tabs>
                <w:tab w:val="left" w:pos="389"/>
              </w:tabs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7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'</w:t>
            </w:r>
          </w:p>
          <w:p w:rsidR="000444C1" w:rsidRDefault="00C0363C">
            <w:pPr>
              <w:pStyle w:val="Jin0"/>
              <w:framePr w:w="8662" w:h="1778" w:wrap="none" w:vAnchor="page" w:hAnchor="page" w:x="1469" w:y="191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</w:t>
            </w:r>
          </w:p>
        </w:tc>
      </w:tr>
    </w:tbl>
    <w:p w:rsidR="000444C1" w:rsidRDefault="00B32B1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254977</wp:posOffset>
                </wp:positionH>
                <wp:positionV relativeFrom="paragraph">
                  <wp:posOffset>-53389</wp:posOffset>
                </wp:positionV>
                <wp:extent cx="6462346" cy="2593731"/>
                <wp:effectExtent l="0" t="0" r="0" b="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46" cy="25937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20.1pt;margin-top:-4.2pt;width:508.85pt;height:2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" fillcolor="white [3201]" stroked="f" strokeweight="2pt"/>
            </w:pict>
          </mc:Fallback>
        </mc:AlternateContent>
      </w:r>
      <w:r w:rsidR="00C0363C"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4596130</wp:posOffset>
            </wp:positionH>
            <wp:positionV relativeFrom="page">
              <wp:posOffset>249555</wp:posOffset>
            </wp:positionV>
            <wp:extent cx="2139950" cy="2176145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3995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4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3C" w:rsidRDefault="00C0363C">
      <w:r>
        <w:separator/>
      </w:r>
    </w:p>
  </w:endnote>
  <w:endnote w:type="continuationSeparator" w:id="0">
    <w:p w:rsidR="00C0363C" w:rsidRDefault="00C0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3C" w:rsidRDefault="00C0363C"/>
  </w:footnote>
  <w:footnote w:type="continuationSeparator" w:id="0">
    <w:p w:rsidR="00C0363C" w:rsidRDefault="00C036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FFF"/>
    <w:multiLevelType w:val="multilevel"/>
    <w:tmpl w:val="D7C40D1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F7747"/>
    <w:multiLevelType w:val="multilevel"/>
    <w:tmpl w:val="5576275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86D6A"/>
    <w:multiLevelType w:val="multilevel"/>
    <w:tmpl w:val="AC6AE66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012C3"/>
    <w:multiLevelType w:val="multilevel"/>
    <w:tmpl w:val="C7D83FD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43102"/>
    <w:multiLevelType w:val="multilevel"/>
    <w:tmpl w:val="D334F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A30BA"/>
    <w:multiLevelType w:val="multilevel"/>
    <w:tmpl w:val="21EA5E3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44C1"/>
    <w:rsid w:val="000444C1"/>
    <w:rsid w:val="00B32B18"/>
    <w:rsid w:val="00C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D1B277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</w:pPr>
    <w:rPr>
      <w:rFonts w:ascii="Arial" w:eastAsia="Arial" w:hAnsi="Arial" w:cs="Arial"/>
      <w:color w:val="D1B277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11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B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D1B277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</w:pPr>
    <w:rPr>
      <w:rFonts w:ascii="Arial" w:eastAsia="Arial" w:hAnsi="Arial" w:cs="Arial"/>
      <w:color w:val="D1B277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11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B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jezdy@dpmo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jezdv@dpmo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2019-08-28T07:18:00Z</dcterms:created>
  <dcterms:modified xsi:type="dcterms:W3CDTF">2019-08-28T07:18:00Z</dcterms:modified>
</cp:coreProperties>
</file>