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269" w:rsidRPr="00E21269" w:rsidRDefault="00E21269" w:rsidP="00E21269">
      <w:pPr>
        <w:spacing w:after="0" w:line="240" w:lineRule="auto"/>
        <w:jc w:val="right"/>
        <w:rPr>
          <w:rFonts w:ascii="Arial" w:eastAsia="Times New Roman" w:hAnsi="Arial" w:cs="Arial"/>
          <w:sz w:val="20"/>
          <w:szCs w:val="20"/>
          <w:lang w:eastAsia="cs-CZ"/>
        </w:rPr>
      </w:pPr>
      <w:r w:rsidRPr="00E21269">
        <w:rPr>
          <w:rFonts w:ascii="Arial" w:eastAsia="Times New Roman" w:hAnsi="Arial" w:cs="Arial"/>
          <w:sz w:val="20"/>
          <w:szCs w:val="20"/>
          <w:lang w:eastAsia="cs-CZ"/>
        </w:rPr>
        <w:t xml:space="preserve">ev.č.: </w:t>
      </w:r>
      <w:r w:rsidR="00205DF5">
        <w:rPr>
          <w:rFonts w:ascii="Arial" w:eastAsia="Times New Roman" w:hAnsi="Arial" w:cs="Arial"/>
          <w:sz w:val="20"/>
          <w:szCs w:val="20"/>
          <w:lang w:eastAsia="cs-CZ"/>
        </w:rPr>
        <w:t>484</w:t>
      </w:r>
      <w:r w:rsidRPr="00E21269">
        <w:rPr>
          <w:rFonts w:ascii="Arial" w:eastAsia="Times New Roman" w:hAnsi="Arial" w:cs="Arial"/>
          <w:sz w:val="20"/>
          <w:szCs w:val="20"/>
          <w:lang w:eastAsia="cs-CZ"/>
        </w:rPr>
        <w:t>/1</w:t>
      </w:r>
      <w:r>
        <w:rPr>
          <w:rFonts w:ascii="Arial" w:eastAsia="Times New Roman" w:hAnsi="Arial" w:cs="Arial"/>
          <w:sz w:val="20"/>
          <w:szCs w:val="20"/>
          <w:lang w:eastAsia="cs-CZ"/>
        </w:rPr>
        <w:t>9</w:t>
      </w:r>
      <w:r w:rsidRPr="00E21269">
        <w:rPr>
          <w:rFonts w:ascii="Arial" w:eastAsia="Times New Roman" w:hAnsi="Arial" w:cs="Arial"/>
          <w:sz w:val="20"/>
          <w:szCs w:val="20"/>
          <w:lang w:eastAsia="cs-CZ"/>
        </w:rPr>
        <w:t>/22</w:t>
      </w:r>
    </w:p>
    <w:p w:rsidR="00E21269" w:rsidRPr="00E21269" w:rsidRDefault="00E21269" w:rsidP="00E21269">
      <w:pPr>
        <w:spacing w:after="0" w:line="240" w:lineRule="auto"/>
        <w:jc w:val="right"/>
        <w:rPr>
          <w:rFonts w:ascii="Arial" w:eastAsia="Times New Roman" w:hAnsi="Arial" w:cs="Arial"/>
          <w:sz w:val="20"/>
          <w:szCs w:val="20"/>
          <w:lang w:eastAsia="cs-CZ"/>
        </w:rPr>
      </w:pPr>
    </w:p>
    <w:p w:rsidR="00E21269" w:rsidRPr="00E21269" w:rsidRDefault="00E21269" w:rsidP="00E21269">
      <w:pPr>
        <w:spacing w:after="0" w:line="240" w:lineRule="auto"/>
        <w:jc w:val="right"/>
        <w:rPr>
          <w:rFonts w:ascii="Arial" w:eastAsia="Times New Roman" w:hAnsi="Arial" w:cs="Arial"/>
          <w:sz w:val="20"/>
          <w:szCs w:val="20"/>
          <w:lang w:eastAsia="cs-CZ"/>
        </w:rPr>
      </w:pPr>
    </w:p>
    <w:p w:rsidR="00E21269" w:rsidRPr="00E21269" w:rsidRDefault="00E21269" w:rsidP="00E21269">
      <w:pPr>
        <w:spacing w:after="0" w:line="240" w:lineRule="auto"/>
        <w:jc w:val="center"/>
        <w:rPr>
          <w:rFonts w:ascii="Arial" w:eastAsia="Times New Roman" w:hAnsi="Arial" w:cs="Arial"/>
          <w:b/>
          <w:sz w:val="28"/>
          <w:szCs w:val="28"/>
          <w:lang w:eastAsia="cs-CZ"/>
        </w:rPr>
      </w:pPr>
      <w:r w:rsidRPr="00E21269">
        <w:rPr>
          <w:rFonts w:ascii="Arial" w:eastAsia="Times New Roman" w:hAnsi="Arial" w:cs="Arial"/>
          <w:b/>
          <w:sz w:val="28"/>
          <w:szCs w:val="28"/>
          <w:lang w:eastAsia="cs-CZ"/>
        </w:rPr>
        <w:t>Dodatek č.</w:t>
      </w:r>
      <w:r w:rsidR="004F2EDB">
        <w:rPr>
          <w:rFonts w:ascii="Arial" w:eastAsia="Times New Roman" w:hAnsi="Arial" w:cs="Arial"/>
          <w:b/>
          <w:sz w:val="28"/>
          <w:szCs w:val="28"/>
          <w:lang w:eastAsia="cs-CZ"/>
        </w:rPr>
        <w:t xml:space="preserve"> </w:t>
      </w:r>
      <w:r>
        <w:rPr>
          <w:rFonts w:ascii="Arial" w:eastAsia="Times New Roman" w:hAnsi="Arial" w:cs="Arial"/>
          <w:b/>
          <w:sz w:val="28"/>
          <w:szCs w:val="28"/>
          <w:lang w:eastAsia="cs-CZ"/>
        </w:rPr>
        <w:t>2</w:t>
      </w:r>
      <w:r w:rsidR="004F2EDB">
        <w:rPr>
          <w:rFonts w:ascii="Arial" w:eastAsia="Times New Roman" w:hAnsi="Arial" w:cs="Arial"/>
          <w:b/>
          <w:sz w:val="28"/>
          <w:szCs w:val="28"/>
          <w:lang w:eastAsia="cs-CZ"/>
        </w:rPr>
        <w:t xml:space="preserve"> </w:t>
      </w:r>
      <w:r w:rsidRPr="00E21269">
        <w:rPr>
          <w:rFonts w:ascii="Arial" w:eastAsia="Times New Roman" w:hAnsi="Arial" w:cs="Arial"/>
          <w:b/>
          <w:sz w:val="28"/>
          <w:szCs w:val="28"/>
          <w:lang w:eastAsia="cs-CZ"/>
        </w:rPr>
        <w:t>ke Smlouvě o zajištění části provozních činností</w:t>
      </w:r>
    </w:p>
    <w:p w:rsidR="00E21269" w:rsidRPr="00E21269" w:rsidRDefault="00E21269" w:rsidP="00E21269">
      <w:pPr>
        <w:spacing w:after="0" w:line="240" w:lineRule="auto"/>
        <w:jc w:val="center"/>
        <w:rPr>
          <w:rFonts w:ascii="Arial" w:eastAsia="Times New Roman" w:hAnsi="Arial" w:cs="Arial"/>
          <w:b/>
          <w:sz w:val="28"/>
          <w:szCs w:val="28"/>
          <w:lang w:eastAsia="cs-CZ"/>
        </w:rPr>
      </w:pPr>
      <w:r w:rsidRPr="00E21269">
        <w:rPr>
          <w:rFonts w:ascii="Arial" w:eastAsia="Times New Roman" w:hAnsi="Arial" w:cs="Arial"/>
          <w:b/>
          <w:sz w:val="28"/>
          <w:szCs w:val="28"/>
          <w:lang w:eastAsia="cs-CZ"/>
        </w:rPr>
        <w:t>Aquacentra Šutka</w:t>
      </w:r>
    </w:p>
    <w:p w:rsidR="00E21269" w:rsidRPr="00E21269" w:rsidRDefault="00E21269" w:rsidP="00E21269">
      <w:pPr>
        <w:spacing w:after="0" w:line="240" w:lineRule="auto"/>
        <w:jc w:val="center"/>
        <w:rPr>
          <w:rFonts w:ascii="Arial" w:eastAsia="Times New Roman" w:hAnsi="Arial" w:cs="Arial"/>
          <w:b/>
          <w:lang w:eastAsia="cs-CZ"/>
        </w:rPr>
      </w:pPr>
    </w:p>
    <w:p w:rsidR="00E21269" w:rsidRDefault="00E21269" w:rsidP="00E21269">
      <w:pPr>
        <w:spacing w:after="0" w:line="240" w:lineRule="auto"/>
        <w:jc w:val="center"/>
        <w:rPr>
          <w:rFonts w:ascii="Arial" w:eastAsia="Times New Roman" w:hAnsi="Arial" w:cs="Arial"/>
          <w:b/>
          <w:lang w:eastAsia="cs-CZ"/>
        </w:rPr>
      </w:pPr>
      <w:r w:rsidRPr="00E21269">
        <w:rPr>
          <w:rFonts w:ascii="Arial" w:eastAsia="Times New Roman" w:hAnsi="Arial" w:cs="Arial"/>
          <w:b/>
          <w:lang w:eastAsia="cs-CZ"/>
        </w:rPr>
        <w:t>ev.č 161/15/22 ze dne 25. 3. 2015</w:t>
      </w:r>
    </w:p>
    <w:p w:rsidR="00E21269" w:rsidRDefault="00E21269" w:rsidP="00E21269">
      <w:pPr>
        <w:spacing w:after="0" w:line="240" w:lineRule="auto"/>
        <w:jc w:val="center"/>
        <w:rPr>
          <w:rFonts w:ascii="Arial" w:eastAsia="Times New Roman" w:hAnsi="Arial" w:cs="Arial"/>
          <w:b/>
          <w:lang w:eastAsia="cs-CZ"/>
        </w:rPr>
      </w:pPr>
    </w:p>
    <w:p w:rsidR="00E21269" w:rsidRPr="00E21269" w:rsidRDefault="00E21269" w:rsidP="00E21269">
      <w:pPr>
        <w:spacing w:after="0" w:line="240" w:lineRule="auto"/>
        <w:jc w:val="center"/>
        <w:rPr>
          <w:rFonts w:ascii="Arial" w:eastAsia="Times New Roman" w:hAnsi="Arial" w:cs="Arial"/>
          <w:b/>
          <w:lang w:eastAsia="cs-CZ"/>
        </w:rPr>
      </w:pPr>
      <w:r>
        <w:rPr>
          <w:rFonts w:ascii="Arial" w:eastAsia="Times New Roman" w:hAnsi="Arial" w:cs="Arial"/>
          <w:b/>
          <w:lang w:eastAsia="cs-CZ"/>
        </w:rPr>
        <w:t>ve znění dodatku č. 1 ev.č. 87/17/22 ze dne 31. 3. 2017</w:t>
      </w:r>
    </w:p>
    <w:p w:rsidR="00E21269" w:rsidRPr="00E21269" w:rsidRDefault="00E21269" w:rsidP="00E21269">
      <w:pPr>
        <w:spacing w:after="0" w:line="240" w:lineRule="auto"/>
        <w:jc w:val="center"/>
        <w:rPr>
          <w:rFonts w:ascii="Arial" w:eastAsia="Times New Roman" w:hAnsi="Arial" w:cs="Arial"/>
          <w:b/>
          <w:sz w:val="28"/>
          <w:szCs w:val="28"/>
          <w:lang w:eastAsia="cs-CZ"/>
        </w:rPr>
      </w:pPr>
    </w:p>
    <w:p w:rsidR="00E21269" w:rsidRPr="00E21269" w:rsidRDefault="00E21269" w:rsidP="00E21269">
      <w:pPr>
        <w:spacing w:after="0" w:line="240" w:lineRule="auto"/>
        <w:jc w:val="center"/>
        <w:rPr>
          <w:rFonts w:ascii="Arial" w:eastAsia="Times New Roman" w:hAnsi="Arial" w:cs="Arial"/>
          <w:lang w:eastAsia="cs-CZ"/>
        </w:rPr>
      </w:pPr>
      <w:r w:rsidRPr="00E21269">
        <w:rPr>
          <w:rFonts w:ascii="Arial" w:eastAsia="Times New Roman" w:hAnsi="Arial" w:cs="Arial"/>
          <w:lang w:eastAsia="cs-CZ"/>
        </w:rPr>
        <w:t>uzavřený podle § 1746 ve spojení s § 2430 a násl. zákona č. 89/2012 Sb., občanský zákoník</w:t>
      </w:r>
      <w:r>
        <w:rPr>
          <w:rFonts w:ascii="Arial" w:eastAsia="Times New Roman" w:hAnsi="Arial" w:cs="Arial"/>
          <w:lang w:eastAsia="cs-CZ"/>
        </w:rPr>
        <w:t>, v platném znění (dále také i jen „občanský zákoník“)</w:t>
      </w:r>
    </w:p>
    <w:p w:rsidR="00E21269" w:rsidRPr="00E21269" w:rsidRDefault="00E21269" w:rsidP="00E21269">
      <w:pPr>
        <w:spacing w:after="0" w:line="240" w:lineRule="auto"/>
        <w:jc w:val="center"/>
        <w:rPr>
          <w:rFonts w:ascii="Arial" w:eastAsia="Times New Roman" w:hAnsi="Arial" w:cs="Arial"/>
          <w:b/>
          <w:lang w:eastAsia="cs-CZ"/>
        </w:rPr>
      </w:pPr>
    </w:p>
    <w:p w:rsidR="00E21269" w:rsidRPr="00E21269" w:rsidRDefault="00E21269" w:rsidP="00E21269">
      <w:pPr>
        <w:spacing w:after="0" w:line="240" w:lineRule="auto"/>
        <w:jc w:val="center"/>
        <w:rPr>
          <w:rFonts w:ascii="Arial" w:eastAsia="Times New Roman" w:hAnsi="Arial" w:cs="Arial"/>
          <w:b/>
          <w:lang w:eastAsia="cs-CZ"/>
        </w:rPr>
      </w:pPr>
    </w:p>
    <w:p w:rsidR="00E21269" w:rsidRPr="00E21269" w:rsidRDefault="00E21269" w:rsidP="00E21269">
      <w:pPr>
        <w:spacing w:after="0" w:line="240" w:lineRule="auto"/>
        <w:jc w:val="center"/>
        <w:rPr>
          <w:rFonts w:ascii="Arial" w:eastAsia="Times New Roman" w:hAnsi="Arial" w:cs="Arial"/>
          <w:b/>
          <w:lang w:eastAsia="cs-CZ"/>
        </w:rPr>
      </w:pPr>
    </w:p>
    <w:p w:rsidR="00E21269" w:rsidRPr="00E21269" w:rsidRDefault="00E21269" w:rsidP="00E21269">
      <w:pPr>
        <w:spacing w:after="0" w:line="240" w:lineRule="auto"/>
        <w:jc w:val="center"/>
        <w:rPr>
          <w:rFonts w:ascii="Arial" w:eastAsia="Times New Roman" w:hAnsi="Arial" w:cs="Arial"/>
          <w:b/>
          <w:lang w:eastAsia="cs-CZ"/>
        </w:rPr>
      </w:pPr>
      <w:r w:rsidRPr="00E21269">
        <w:rPr>
          <w:rFonts w:ascii="Arial" w:eastAsia="Times New Roman" w:hAnsi="Arial" w:cs="Arial"/>
          <w:b/>
          <w:lang w:eastAsia="cs-CZ"/>
        </w:rPr>
        <w:t>Článek I.</w:t>
      </w:r>
    </w:p>
    <w:p w:rsidR="00E21269" w:rsidRPr="00E21269" w:rsidRDefault="00E21269" w:rsidP="00E21269">
      <w:pPr>
        <w:spacing w:after="0" w:line="240" w:lineRule="auto"/>
        <w:jc w:val="center"/>
        <w:rPr>
          <w:rFonts w:ascii="Arial" w:eastAsia="Times New Roman" w:hAnsi="Arial" w:cs="Arial"/>
          <w:b/>
          <w:u w:val="single"/>
          <w:lang w:eastAsia="cs-CZ"/>
        </w:rPr>
      </w:pPr>
      <w:r w:rsidRPr="00E21269">
        <w:rPr>
          <w:rFonts w:ascii="Arial" w:eastAsia="Times New Roman" w:hAnsi="Arial" w:cs="Arial"/>
          <w:b/>
          <w:u w:val="single"/>
          <w:lang w:eastAsia="cs-CZ"/>
        </w:rPr>
        <w:t>Smluvní strany</w:t>
      </w:r>
    </w:p>
    <w:p w:rsidR="00E21269" w:rsidRPr="00E21269" w:rsidRDefault="00E21269" w:rsidP="00E21269">
      <w:pPr>
        <w:spacing w:after="0" w:line="240" w:lineRule="auto"/>
        <w:jc w:val="center"/>
        <w:rPr>
          <w:rFonts w:ascii="Arial" w:eastAsia="Times New Roman" w:hAnsi="Arial" w:cs="Arial"/>
          <w:lang w:eastAsia="cs-CZ"/>
        </w:rPr>
      </w:pPr>
    </w:p>
    <w:p w:rsidR="00E21269" w:rsidRPr="00E21269" w:rsidRDefault="00E21269" w:rsidP="00E21269">
      <w:pPr>
        <w:spacing w:after="0" w:line="240" w:lineRule="auto"/>
        <w:jc w:val="center"/>
        <w:rPr>
          <w:rFonts w:ascii="Arial" w:eastAsia="Times New Roman" w:hAnsi="Arial" w:cs="Arial"/>
          <w:lang w:eastAsia="cs-CZ"/>
        </w:rPr>
      </w:pPr>
    </w:p>
    <w:p w:rsidR="00E21269" w:rsidRPr="00E21269" w:rsidRDefault="00E21269" w:rsidP="00E21269">
      <w:pPr>
        <w:spacing w:after="0" w:line="276" w:lineRule="auto"/>
        <w:jc w:val="both"/>
        <w:rPr>
          <w:rFonts w:ascii="Arial" w:eastAsia="Times New Roman" w:hAnsi="Arial" w:cs="Arial"/>
          <w:b/>
          <w:lang w:eastAsia="cs-CZ"/>
        </w:rPr>
      </w:pPr>
      <w:r w:rsidRPr="00E21269">
        <w:rPr>
          <w:rFonts w:ascii="Arial" w:eastAsia="Times New Roman" w:hAnsi="Arial" w:cs="Arial"/>
          <w:b/>
          <w:lang w:eastAsia="cs-CZ"/>
        </w:rPr>
        <w:t>HLAVNÍ MĚSTO PRAHA</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se sídlem:  Mariánské náměstí 2/2, 110 00  Praha 1</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IČO: 00064581  DIČ:  CZ00064581</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Zastoupený </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TRADE CENTRE PRAHA a.s.</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Blanická  1008/28, 120 00  Praha 2</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zastoupená </w:t>
      </w:r>
      <w:r>
        <w:rPr>
          <w:rFonts w:ascii="Arial" w:eastAsia="Times New Roman" w:hAnsi="Arial" w:cs="Arial"/>
          <w:lang w:eastAsia="cs-CZ"/>
        </w:rPr>
        <w:t>Filipem Veselým</w:t>
      </w:r>
      <w:r w:rsidRPr="00E21269">
        <w:rPr>
          <w:rFonts w:ascii="Arial" w:eastAsia="Times New Roman" w:hAnsi="Arial" w:cs="Arial"/>
          <w:lang w:eastAsia="cs-CZ"/>
        </w:rPr>
        <w:t>, předsedou představenstva a</w:t>
      </w:r>
    </w:p>
    <w:p w:rsidR="00E21269" w:rsidRPr="00E21269" w:rsidRDefault="00E21269" w:rsidP="00E21269">
      <w:pPr>
        <w:suppressAutoHyphens/>
        <w:spacing w:after="0" w:line="276" w:lineRule="auto"/>
        <w:contextualSpacing/>
        <w:jc w:val="both"/>
        <w:rPr>
          <w:rFonts w:ascii="Calibri" w:eastAsia="Calibri" w:hAnsi="Calibri" w:cs="Times New Roman"/>
        </w:rPr>
      </w:pPr>
      <w:r>
        <w:rPr>
          <w:rFonts w:ascii="Arial" w:eastAsia="Times New Roman" w:hAnsi="Arial" w:cs="Arial"/>
          <w:lang w:eastAsia="cs-CZ"/>
        </w:rPr>
        <w:t>Mgr. Janem Bouškou</w:t>
      </w:r>
      <w:r w:rsidRPr="00E21269">
        <w:rPr>
          <w:rFonts w:ascii="Arial" w:eastAsia="Times New Roman" w:hAnsi="Arial" w:cs="Arial"/>
          <w:lang w:eastAsia="cs-CZ"/>
        </w:rPr>
        <w:t>, místopředsedou představenstva</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IČO: 00409316  DIČ: CZ00409316</w:t>
      </w:r>
    </w:p>
    <w:p w:rsidR="00205DF5"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bankovní spojení: , číslo účtu: </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zapsaná v obchodním rejstříku vedeném Městským soudem v Praze, </w:t>
      </w:r>
      <w:r>
        <w:rPr>
          <w:rFonts w:ascii="Arial" w:eastAsia="Times New Roman" w:hAnsi="Arial" w:cs="Arial"/>
          <w:lang w:eastAsia="cs-CZ"/>
        </w:rPr>
        <w:t>spis.zn.: B 43</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i/>
          <w:lang w:eastAsia="cs-CZ"/>
        </w:rPr>
        <w:t>na straně jedné</w:t>
      </w:r>
      <w:r w:rsidRPr="00E21269">
        <w:rPr>
          <w:rFonts w:ascii="Arial" w:eastAsia="Times New Roman" w:hAnsi="Arial" w:cs="Arial"/>
          <w:lang w:eastAsia="cs-CZ"/>
        </w:rPr>
        <w:t xml:space="preserve"> </w:t>
      </w:r>
    </w:p>
    <w:p w:rsidR="00A6376F" w:rsidRDefault="00A6376F" w:rsidP="00E21269">
      <w:pPr>
        <w:tabs>
          <w:tab w:val="left" w:pos="-5103"/>
          <w:tab w:val="left" w:pos="1843"/>
        </w:tabs>
        <w:spacing w:after="0" w:line="276" w:lineRule="auto"/>
        <w:rPr>
          <w:rFonts w:ascii="Arial" w:eastAsia="Times New Roman" w:hAnsi="Arial" w:cs="Arial"/>
          <w:lang w:eastAsia="cs-CZ"/>
        </w:rPr>
      </w:pP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 xml:space="preserve">(dále také i jen „TCP“ nebo „správce“) </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a</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p>
    <w:p w:rsidR="00E21269" w:rsidRPr="00E21269" w:rsidRDefault="00E21269" w:rsidP="00E21269">
      <w:pPr>
        <w:tabs>
          <w:tab w:val="left" w:pos="-5103"/>
          <w:tab w:val="left" w:pos="1843"/>
        </w:tabs>
        <w:spacing w:after="0" w:line="276" w:lineRule="auto"/>
        <w:rPr>
          <w:rFonts w:ascii="Arial" w:eastAsia="Times New Roman" w:hAnsi="Arial" w:cs="Arial"/>
          <w:b/>
          <w:lang w:eastAsia="cs-CZ"/>
        </w:rPr>
      </w:pPr>
      <w:r w:rsidRPr="00E21269">
        <w:rPr>
          <w:rFonts w:ascii="Arial" w:eastAsia="Times New Roman" w:hAnsi="Arial" w:cs="Arial"/>
          <w:b/>
          <w:lang w:eastAsia="cs-CZ"/>
        </w:rPr>
        <w:t>MONTSERVIS PRAHA, a.s.</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se sídlem: Prachatická 209, 199 00  Praha 9</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 xml:space="preserve">zastoupená </w:t>
      </w:r>
      <w:r w:rsidR="00205DF5">
        <w:rPr>
          <w:rFonts w:ascii="Arial" w:eastAsia="Times New Roman" w:hAnsi="Arial" w:cs="Arial"/>
          <w:lang w:eastAsia="cs-CZ"/>
        </w:rPr>
        <w:t>Ing. Tomášem Tesařem</w:t>
      </w:r>
      <w:r w:rsidRPr="00E21269">
        <w:rPr>
          <w:rFonts w:ascii="Arial" w:eastAsia="Times New Roman" w:hAnsi="Arial" w:cs="Arial"/>
          <w:lang w:eastAsia="cs-CZ"/>
        </w:rPr>
        <w:t>, předsedou představenstva</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 xml:space="preserve">a </w:t>
      </w:r>
      <w:r>
        <w:rPr>
          <w:rFonts w:ascii="Arial" w:eastAsia="Times New Roman" w:hAnsi="Arial" w:cs="Arial"/>
          <w:lang w:eastAsia="cs-CZ"/>
        </w:rPr>
        <w:t>Ing. Jiřím Djakovem</w:t>
      </w:r>
      <w:r w:rsidRPr="00E21269">
        <w:rPr>
          <w:rFonts w:ascii="Arial" w:eastAsia="Times New Roman" w:hAnsi="Arial" w:cs="Arial"/>
          <w:lang w:eastAsia="cs-CZ"/>
        </w:rPr>
        <w:t>, členem představenstva</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IČO: 00551899  DIČ: CZ00551899</w:t>
      </w: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bankovní spojení: </w:t>
      </w:r>
      <w:r w:rsidR="00205DF5">
        <w:rPr>
          <w:rFonts w:ascii="Arial" w:eastAsia="Times New Roman" w:hAnsi="Arial" w:cs="Arial"/>
          <w:lang w:eastAsia="cs-CZ"/>
        </w:rPr>
        <w:t xml:space="preserve">, </w:t>
      </w:r>
      <w:r w:rsidRPr="00E21269">
        <w:rPr>
          <w:rFonts w:ascii="Arial" w:eastAsia="Times New Roman" w:hAnsi="Arial" w:cs="Arial"/>
          <w:lang w:eastAsia="cs-CZ"/>
        </w:rPr>
        <w:t xml:space="preserve">číslo účtu: </w:t>
      </w:r>
    </w:p>
    <w:p w:rsidR="00E21269" w:rsidRPr="00E21269" w:rsidRDefault="00E21269" w:rsidP="00E21269">
      <w:pPr>
        <w:spacing w:after="0" w:line="276" w:lineRule="auto"/>
        <w:jc w:val="both"/>
        <w:rPr>
          <w:rFonts w:ascii="Arial" w:eastAsia="Calibri" w:hAnsi="Arial" w:cs="Arial"/>
        </w:rPr>
      </w:pPr>
      <w:r w:rsidRPr="00E21269">
        <w:rPr>
          <w:rFonts w:ascii="Arial" w:eastAsia="Times New Roman" w:hAnsi="Arial" w:cs="Arial"/>
          <w:lang w:eastAsia="cs-CZ"/>
        </w:rPr>
        <w:t xml:space="preserve">zapsaná v obchodním rejstříku vedeném Městským soudem v Praze, </w:t>
      </w:r>
      <w:r>
        <w:rPr>
          <w:rFonts w:ascii="Arial" w:eastAsia="Times New Roman" w:hAnsi="Arial" w:cs="Arial"/>
          <w:lang w:eastAsia="cs-CZ"/>
        </w:rPr>
        <w:t>spis.zn.: B</w:t>
      </w:r>
      <w:r w:rsidRPr="00E21269">
        <w:rPr>
          <w:rFonts w:ascii="Arial" w:eastAsia="Times New Roman" w:hAnsi="Arial" w:cs="Arial"/>
          <w:lang w:eastAsia="cs-CZ"/>
        </w:rPr>
        <w:t xml:space="preserve"> 270</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i/>
          <w:lang w:eastAsia="cs-CZ"/>
        </w:rPr>
        <w:t>na straně druhé</w:t>
      </w:r>
      <w:r w:rsidRPr="00E21269">
        <w:rPr>
          <w:rFonts w:ascii="Arial" w:eastAsia="Times New Roman" w:hAnsi="Arial" w:cs="Arial"/>
          <w:lang w:eastAsia="cs-CZ"/>
        </w:rPr>
        <w:t xml:space="preserve"> </w:t>
      </w:r>
    </w:p>
    <w:p w:rsidR="00A6376F" w:rsidRDefault="00A6376F" w:rsidP="00E21269">
      <w:pPr>
        <w:tabs>
          <w:tab w:val="left" w:pos="-5103"/>
          <w:tab w:val="left" w:pos="1843"/>
        </w:tabs>
        <w:spacing w:after="0" w:line="276" w:lineRule="auto"/>
        <w:rPr>
          <w:rFonts w:ascii="Arial" w:eastAsia="Times New Roman" w:hAnsi="Arial" w:cs="Arial"/>
          <w:lang w:eastAsia="cs-CZ"/>
        </w:rPr>
      </w:pP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r w:rsidRPr="00E21269">
        <w:rPr>
          <w:rFonts w:ascii="Arial" w:eastAsia="Times New Roman" w:hAnsi="Arial" w:cs="Arial"/>
          <w:lang w:eastAsia="cs-CZ"/>
        </w:rPr>
        <w:t xml:space="preserve">(dále také i jen „provozovatel“) </w:t>
      </w:r>
    </w:p>
    <w:p w:rsidR="00E21269" w:rsidRPr="00E21269" w:rsidRDefault="00E21269" w:rsidP="00E21269">
      <w:pPr>
        <w:tabs>
          <w:tab w:val="left" w:pos="-5103"/>
          <w:tab w:val="left" w:pos="1843"/>
        </w:tabs>
        <w:spacing w:after="0" w:line="276" w:lineRule="auto"/>
        <w:rPr>
          <w:rFonts w:ascii="Arial" w:eastAsia="Times New Roman" w:hAnsi="Arial" w:cs="Arial"/>
          <w:lang w:eastAsia="cs-CZ"/>
        </w:rPr>
      </w:pPr>
    </w:p>
    <w:p w:rsidR="00A6376F" w:rsidRDefault="00A6376F" w:rsidP="00E21269">
      <w:pPr>
        <w:spacing w:after="0" w:line="276" w:lineRule="auto"/>
        <w:jc w:val="both"/>
        <w:rPr>
          <w:rFonts w:ascii="Arial" w:eastAsia="Times New Roman" w:hAnsi="Arial" w:cs="Arial"/>
          <w:lang w:eastAsia="cs-CZ"/>
        </w:rPr>
      </w:pPr>
    </w:p>
    <w:p w:rsidR="004F2EDB"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uzavírají níže uvedeného dne, měsíce a roku tento Dodatek č.</w:t>
      </w:r>
      <w:r>
        <w:rPr>
          <w:rFonts w:ascii="Arial" w:eastAsia="Times New Roman" w:hAnsi="Arial" w:cs="Arial"/>
          <w:lang w:eastAsia="cs-CZ"/>
        </w:rPr>
        <w:t xml:space="preserve"> 2</w:t>
      </w:r>
      <w:r w:rsidRPr="00E21269">
        <w:rPr>
          <w:rFonts w:ascii="Arial" w:eastAsia="Times New Roman" w:hAnsi="Arial" w:cs="Arial"/>
          <w:lang w:eastAsia="cs-CZ"/>
        </w:rPr>
        <w:t xml:space="preserve"> ke Smlouvě o zajištění části provozních činností Aquacentra Šutka, ev.č. 161/15/22 ze dne 25. 3. 2015</w:t>
      </w:r>
      <w:r>
        <w:rPr>
          <w:rFonts w:ascii="Arial" w:eastAsia="Times New Roman" w:hAnsi="Arial" w:cs="Arial"/>
          <w:lang w:eastAsia="cs-CZ"/>
        </w:rPr>
        <w:t xml:space="preserve"> platné ve znění Dodatku č. 1 </w:t>
      </w:r>
      <w:r w:rsidRPr="00E21269">
        <w:rPr>
          <w:rFonts w:ascii="Arial" w:eastAsia="Times New Roman" w:hAnsi="Arial" w:cs="Arial"/>
          <w:lang w:eastAsia="cs-CZ"/>
        </w:rPr>
        <w:t>ev.č. 87/17/22 ze dne 31. 3. 2017</w:t>
      </w:r>
      <w:r>
        <w:rPr>
          <w:rFonts w:ascii="Arial" w:eastAsia="Times New Roman" w:hAnsi="Arial" w:cs="Arial"/>
          <w:lang w:eastAsia="cs-CZ"/>
        </w:rPr>
        <w:t xml:space="preserve"> </w:t>
      </w:r>
      <w:r w:rsidRPr="00E21269">
        <w:rPr>
          <w:rFonts w:ascii="Arial" w:eastAsia="Times New Roman" w:hAnsi="Arial" w:cs="Arial"/>
          <w:lang w:eastAsia="cs-CZ"/>
        </w:rPr>
        <w:t xml:space="preserve"> (dále také i jen „smlouva“) z důvodu nových skutečností, které nebyly smluvním stranám známy při uzavírání smlouvy</w:t>
      </w:r>
      <w:r>
        <w:rPr>
          <w:rFonts w:ascii="Arial" w:eastAsia="Times New Roman" w:hAnsi="Arial" w:cs="Arial"/>
          <w:lang w:eastAsia="cs-CZ"/>
        </w:rPr>
        <w:t>. Jedná se</w:t>
      </w:r>
      <w:r w:rsidRPr="00E21269">
        <w:rPr>
          <w:rFonts w:ascii="Arial" w:eastAsia="Times New Roman" w:hAnsi="Arial" w:cs="Arial"/>
          <w:lang w:eastAsia="cs-CZ"/>
        </w:rPr>
        <w:t xml:space="preserve"> zejména </w:t>
      </w:r>
      <w:r w:rsidRPr="00E21269">
        <w:rPr>
          <w:rFonts w:ascii="Arial" w:eastAsia="Times New Roman" w:hAnsi="Arial" w:cs="Arial"/>
          <w:lang w:eastAsia="cs-CZ"/>
        </w:rPr>
        <w:lastRenderedPageBreak/>
        <w:t xml:space="preserve">o </w:t>
      </w:r>
      <w:r>
        <w:rPr>
          <w:rFonts w:ascii="Arial" w:eastAsia="Times New Roman" w:hAnsi="Arial" w:cs="Arial"/>
          <w:lang w:eastAsia="cs-CZ"/>
        </w:rPr>
        <w:t xml:space="preserve">změnu podmínek na pracovním trhu, kdy došlo několikrát v průběhu trvání smlouvy k navýšení minimální a tedy i zaručené mzdy pro jednotlivé pracovní pozice </w:t>
      </w:r>
      <w:r w:rsidR="00236D5C">
        <w:rPr>
          <w:rFonts w:ascii="Arial" w:eastAsia="Times New Roman" w:hAnsi="Arial" w:cs="Arial"/>
          <w:lang w:eastAsia="cs-CZ"/>
        </w:rPr>
        <w:t xml:space="preserve">na což musel provozovatel reagovat zvýšením mezd svých zaměstnanců </w:t>
      </w:r>
      <w:r>
        <w:rPr>
          <w:rFonts w:ascii="Arial" w:eastAsia="Times New Roman" w:hAnsi="Arial" w:cs="Arial"/>
          <w:lang w:eastAsia="cs-CZ"/>
        </w:rPr>
        <w:t xml:space="preserve">a dále s ohledem na neustále stoupající náklady na chemické prostředky pro čištění vody, prostředků na úklid objektu, spotřeba materiálu jako jsou papírové ručníky, toaletní papír atd. </w:t>
      </w:r>
      <w:r w:rsidR="00236D5C">
        <w:rPr>
          <w:rFonts w:ascii="Arial" w:eastAsia="Times New Roman" w:hAnsi="Arial" w:cs="Arial"/>
          <w:lang w:eastAsia="cs-CZ"/>
        </w:rPr>
        <w:t xml:space="preserve">a to i s ohledem na stoupající návštěvnost Aquacentra Šutka rostou náklady provozovatele. </w:t>
      </w:r>
    </w:p>
    <w:p w:rsidR="004F2EDB" w:rsidRDefault="004F2EDB" w:rsidP="00E21269">
      <w:pPr>
        <w:spacing w:after="0" w:line="276" w:lineRule="auto"/>
        <w:jc w:val="both"/>
        <w:rPr>
          <w:rFonts w:ascii="Arial" w:eastAsia="Times New Roman" w:hAnsi="Arial" w:cs="Arial"/>
          <w:lang w:eastAsia="cs-CZ"/>
        </w:rPr>
      </w:pPr>
    </w:p>
    <w:p w:rsidR="00E21269" w:rsidRDefault="004F2EDB" w:rsidP="00E21269">
      <w:pPr>
        <w:spacing w:after="0" w:line="276" w:lineRule="auto"/>
        <w:jc w:val="both"/>
        <w:rPr>
          <w:rFonts w:ascii="Arial" w:eastAsia="Times New Roman" w:hAnsi="Arial" w:cs="Arial"/>
          <w:lang w:eastAsia="cs-CZ"/>
        </w:rPr>
      </w:pPr>
      <w:r>
        <w:rPr>
          <w:rFonts w:ascii="Arial" w:eastAsia="Times New Roman" w:hAnsi="Arial" w:cs="Arial"/>
          <w:lang w:eastAsia="cs-CZ"/>
        </w:rPr>
        <w:t xml:space="preserve">S účinností od 1. 9. 2019 dojde k navýšení vstupného do Aquacentra Šutka a tedy ke změně platného ceníku (příloha č. 1 smlouvy). Tuto skutečnost oznámí správce provozovateli v souladu s článkem III. odst. 3.1. písm. f) smlouvy. </w:t>
      </w:r>
    </w:p>
    <w:p w:rsidR="004F2EDB" w:rsidRPr="00E21269" w:rsidRDefault="004F2EDB" w:rsidP="00E21269">
      <w:pPr>
        <w:spacing w:after="0" w:line="276" w:lineRule="auto"/>
        <w:jc w:val="both"/>
        <w:rPr>
          <w:rFonts w:ascii="Arial" w:eastAsia="Times New Roman" w:hAnsi="Arial" w:cs="Arial"/>
          <w:lang w:eastAsia="cs-CZ"/>
        </w:rPr>
      </w:pPr>
    </w:p>
    <w:p w:rsidR="00E21269" w:rsidRPr="00E21269" w:rsidRDefault="00E21269" w:rsidP="00E21269">
      <w:pPr>
        <w:spacing w:after="0" w:line="276" w:lineRule="auto"/>
        <w:jc w:val="both"/>
        <w:rPr>
          <w:rFonts w:ascii="Arial" w:eastAsia="Times New Roman" w:hAnsi="Arial" w:cs="Arial"/>
          <w:lang w:eastAsia="cs-CZ"/>
        </w:rPr>
      </w:pPr>
    </w:p>
    <w:p w:rsidR="00E21269" w:rsidRPr="00E21269" w:rsidRDefault="00E21269" w:rsidP="00E21269">
      <w:pPr>
        <w:spacing w:after="0" w:line="276" w:lineRule="auto"/>
        <w:jc w:val="center"/>
        <w:rPr>
          <w:rFonts w:ascii="Arial" w:eastAsia="Times New Roman" w:hAnsi="Arial" w:cs="Arial"/>
          <w:b/>
          <w:lang w:eastAsia="cs-CZ"/>
        </w:rPr>
      </w:pPr>
      <w:r w:rsidRPr="00E21269">
        <w:rPr>
          <w:rFonts w:ascii="Arial" w:eastAsia="Times New Roman" w:hAnsi="Arial" w:cs="Arial"/>
          <w:b/>
          <w:lang w:eastAsia="cs-CZ"/>
        </w:rPr>
        <w:t>Preambule</w:t>
      </w:r>
    </w:p>
    <w:p w:rsidR="00E21269" w:rsidRPr="00E21269" w:rsidRDefault="00E21269" w:rsidP="00E21269">
      <w:pPr>
        <w:spacing w:after="0" w:line="276" w:lineRule="auto"/>
        <w:jc w:val="center"/>
        <w:rPr>
          <w:rFonts w:ascii="Arial" w:eastAsia="Times New Roman" w:hAnsi="Arial" w:cs="Arial"/>
          <w:b/>
          <w:lang w:eastAsia="cs-CZ"/>
        </w:rPr>
      </w:pPr>
      <w:r w:rsidRPr="00E21269">
        <w:rPr>
          <w:rFonts w:ascii="Arial" w:eastAsia="Times New Roman" w:hAnsi="Arial" w:cs="Arial"/>
          <w:b/>
          <w:lang w:eastAsia="cs-CZ"/>
        </w:rPr>
        <w:t>Odůvodnění změny smluvního vztahu</w:t>
      </w:r>
    </w:p>
    <w:p w:rsidR="00E21269" w:rsidRPr="00E21269" w:rsidRDefault="00E21269" w:rsidP="00E21269">
      <w:pPr>
        <w:spacing w:after="0" w:line="276" w:lineRule="auto"/>
        <w:jc w:val="both"/>
        <w:rPr>
          <w:rFonts w:ascii="Arial" w:eastAsia="Times New Roman" w:hAnsi="Arial" w:cs="Arial"/>
          <w:lang w:eastAsia="cs-CZ"/>
        </w:rPr>
      </w:pPr>
    </w:p>
    <w:p w:rsidR="00E21269" w:rsidRP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b/>
          <w:lang w:eastAsia="cs-CZ"/>
        </w:rPr>
        <w:t>Změna smluvního vztahu</w:t>
      </w:r>
      <w:r w:rsidRPr="00E21269">
        <w:rPr>
          <w:rFonts w:ascii="Arial" w:eastAsia="Times New Roman" w:hAnsi="Arial" w:cs="Arial"/>
          <w:lang w:eastAsia="cs-CZ"/>
        </w:rPr>
        <w:t xml:space="preserve"> založeného smlouvou </w:t>
      </w:r>
      <w:r w:rsidRPr="00E21269">
        <w:rPr>
          <w:rFonts w:ascii="Arial" w:eastAsia="Times New Roman" w:hAnsi="Arial" w:cs="Arial"/>
          <w:b/>
          <w:lang w:eastAsia="cs-CZ"/>
        </w:rPr>
        <w:t>nepředstavuje podstatnou změnu smluvního závazku ve smyslu § 222 zákona č. 134/2016 Sb., o zadávání veřejných zakázek</w:t>
      </w:r>
      <w:r w:rsidR="004F2EDB">
        <w:rPr>
          <w:rFonts w:ascii="Arial" w:eastAsia="Times New Roman" w:hAnsi="Arial" w:cs="Arial"/>
          <w:b/>
          <w:lang w:eastAsia="cs-CZ"/>
        </w:rPr>
        <w:t>,</w:t>
      </w:r>
      <w:r w:rsidRPr="00E21269">
        <w:rPr>
          <w:rFonts w:ascii="Arial" w:eastAsia="Times New Roman" w:hAnsi="Arial" w:cs="Arial"/>
          <w:b/>
          <w:lang w:eastAsia="cs-CZ"/>
        </w:rPr>
        <w:t xml:space="preserve"> v platném znění</w:t>
      </w:r>
      <w:r w:rsidRPr="00E21269">
        <w:rPr>
          <w:rFonts w:ascii="Arial" w:eastAsia="Times New Roman" w:hAnsi="Arial" w:cs="Arial"/>
          <w:lang w:eastAsia="cs-CZ"/>
        </w:rPr>
        <w:t xml:space="preserve">. </w:t>
      </w:r>
    </w:p>
    <w:p w:rsidR="00E21269" w:rsidRPr="00E21269" w:rsidRDefault="00E21269" w:rsidP="00E21269">
      <w:pPr>
        <w:spacing w:after="0" w:line="276" w:lineRule="auto"/>
        <w:rPr>
          <w:rFonts w:ascii="Arial" w:eastAsia="Times New Roman" w:hAnsi="Arial" w:cs="Arial"/>
          <w:lang w:eastAsia="cs-CZ"/>
        </w:rPr>
      </w:pPr>
    </w:p>
    <w:p w:rsidR="00E21269" w:rsidRDefault="00E21269" w:rsidP="00E21269">
      <w:pPr>
        <w:spacing w:after="0" w:line="276" w:lineRule="auto"/>
        <w:jc w:val="both"/>
        <w:rPr>
          <w:rFonts w:ascii="Arial" w:eastAsia="Times New Roman" w:hAnsi="Arial" w:cs="Arial"/>
          <w:lang w:eastAsia="cs-CZ"/>
        </w:rPr>
      </w:pPr>
      <w:r w:rsidRPr="00E21269">
        <w:rPr>
          <w:rFonts w:ascii="Arial" w:eastAsia="Times New Roman" w:hAnsi="Arial" w:cs="Arial"/>
          <w:lang w:eastAsia="cs-CZ"/>
        </w:rPr>
        <w:t xml:space="preserve">Změna smluvního závazku </w:t>
      </w:r>
      <w:r w:rsidR="00236D5C">
        <w:rPr>
          <w:rFonts w:ascii="Arial" w:eastAsia="Times New Roman" w:hAnsi="Arial" w:cs="Arial"/>
          <w:lang w:eastAsia="cs-CZ"/>
        </w:rPr>
        <w:t>s</w:t>
      </w:r>
      <w:r w:rsidRPr="00E21269">
        <w:rPr>
          <w:rFonts w:ascii="Arial" w:eastAsia="Times New Roman" w:hAnsi="Arial" w:cs="Arial"/>
          <w:lang w:eastAsia="cs-CZ"/>
        </w:rPr>
        <w:t>e týká, s ohledem na výše uvedené, navýšení odměny p</w:t>
      </w:r>
      <w:r w:rsidR="00236D5C">
        <w:rPr>
          <w:rFonts w:ascii="Arial" w:eastAsia="Times New Roman" w:hAnsi="Arial" w:cs="Arial"/>
          <w:lang w:eastAsia="cs-CZ"/>
        </w:rPr>
        <w:t>rovozovatele</w:t>
      </w:r>
      <w:r w:rsidRPr="00E21269">
        <w:rPr>
          <w:rFonts w:ascii="Arial" w:eastAsia="Times New Roman" w:hAnsi="Arial" w:cs="Arial"/>
          <w:lang w:eastAsia="cs-CZ"/>
        </w:rPr>
        <w:t xml:space="preserve"> v návaznosti na vícenáklady vyplývající z nezbytného navýšen</w:t>
      </w:r>
      <w:r w:rsidR="00236D5C">
        <w:rPr>
          <w:rFonts w:ascii="Arial" w:eastAsia="Times New Roman" w:hAnsi="Arial" w:cs="Arial"/>
          <w:lang w:eastAsia="cs-CZ"/>
        </w:rPr>
        <w:t>í mezd zaměstnanců a úhrady vyšších nákladů na provoz Aquacentra Šutka</w:t>
      </w:r>
      <w:r w:rsidRPr="00E21269">
        <w:rPr>
          <w:rFonts w:ascii="Arial" w:eastAsia="Times New Roman" w:hAnsi="Arial" w:cs="Arial"/>
          <w:lang w:eastAsia="cs-CZ"/>
        </w:rPr>
        <w:t xml:space="preserve"> (čl. IV. odst 4.2. </w:t>
      </w:r>
      <w:r w:rsidR="00B96016">
        <w:rPr>
          <w:rFonts w:ascii="Arial" w:eastAsia="Times New Roman" w:hAnsi="Arial" w:cs="Arial"/>
          <w:lang w:eastAsia="cs-CZ"/>
        </w:rPr>
        <w:t>s</w:t>
      </w:r>
      <w:r w:rsidRPr="00E21269">
        <w:rPr>
          <w:rFonts w:ascii="Arial" w:eastAsia="Times New Roman" w:hAnsi="Arial" w:cs="Arial"/>
          <w:lang w:eastAsia="cs-CZ"/>
        </w:rPr>
        <w:t>mlouvy)</w:t>
      </w:r>
      <w:r w:rsidR="00236D5C">
        <w:rPr>
          <w:rFonts w:ascii="Arial" w:eastAsia="Times New Roman" w:hAnsi="Arial" w:cs="Arial"/>
          <w:lang w:eastAsia="cs-CZ"/>
        </w:rPr>
        <w:t>, a to ze současné výš</w:t>
      </w:r>
      <w:r w:rsidR="004F2EDB">
        <w:rPr>
          <w:rFonts w:ascii="Arial" w:eastAsia="Times New Roman" w:hAnsi="Arial" w:cs="Arial"/>
          <w:lang w:eastAsia="cs-CZ"/>
        </w:rPr>
        <w:t>e</w:t>
      </w:r>
      <w:r w:rsidR="00236D5C">
        <w:rPr>
          <w:rFonts w:ascii="Arial" w:eastAsia="Times New Roman" w:hAnsi="Arial" w:cs="Arial"/>
          <w:lang w:eastAsia="cs-CZ"/>
        </w:rPr>
        <w:t xml:space="preserve"> 1.820.000 Kč měsíčně na částku 2.250.000 Kč měsíčně</w:t>
      </w:r>
      <w:r w:rsidR="00A1307D">
        <w:rPr>
          <w:rFonts w:ascii="Arial" w:eastAsia="Times New Roman" w:hAnsi="Arial" w:cs="Arial"/>
          <w:lang w:eastAsia="cs-CZ"/>
        </w:rPr>
        <w:t>, což představuje nárůst o 430.000 Kč měsíčně</w:t>
      </w:r>
      <w:r w:rsidRPr="00E21269">
        <w:rPr>
          <w:rFonts w:ascii="Arial" w:eastAsia="Times New Roman" w:hAnsi="Arial" w:cs="Arial"/>
          <w:lang w:eastAsia="cs-CZ"/>
        </w:rPr>
        <w:t>.</w:t>
      </w:r>
      <w:r w:rsidR="00A1307D">
        <w:rPr>
          <w:rFonts w:ascii="Arial" w:eastAsia="Times New Roman" w:hAnsi="Arial" w:cs="Arial"/>
          <w:lang w:eastAsia="cs-CZ"/>
        </w:rPr>
        <w:t xml:space="preserve"> Navýšení odměny provozovatele je doloženo Zprávou nezávislého auditora o ověření účtování nákladů a výnosů Aquacentra Šutka ze dne 1. 7. 2019 zpracované auditorskou společností Audit Activity s.r.o., se sídlem Na Výsluní 201/13, 100 00 Praha 10, IČO: 62915592, evidenční číslo KAČR 149, jenž tvoří samostatnou přílohu tohoto dodatku č. 2. </w:t>
      </w:r>
    </w:p>
    <w:p w:rsidR="00A1307D" w:rsidRPr="00E21269" w:rsidRDefault="00A1307D" w:rsidP="00E21269">
      <w:pPr>
        <w:spacing w:after="0" w:line="276" w:lineRule="auto"/>
        <w:jc w:val="both"/>
        <w:rPr>
          <w:rFonts w:ascii="Arial" w:eastAsia="Times New Roman" w:hAnsi="Arial" w:cs="Arial"/>
          <w:b/>
          <w:lang w:eastAsia="cs-CZ"/>
        </w:rPr>
      </w:pPr>
    </w:p>
    <w:p w:rsidR="00E21269" w:rsidRDefault="00E21269" w:rsidP="00E21269">
      <w:pPr>
        <w:spacing w:after="0" w:line="276" w:lineRule="auto"/>
        <w:jc w:val="both"/>
        <w:rPr>
          <w:rFonts w:ascii="Arial" w:eastAsia="Times New Roman" w:hAnsi="Arial" w:cs="Arial"/>
          <w:b/>
          <w:lang w:eastAsia="cs-CZ"/>
        </w:rPr>
      </w:pPr>
      <w:r w:rsidRPr="00E21269">
        <w:rPr>
          <w:rFonts w:ascii="Arial" w:eastAsia="Times New Roman" w:hAnsi="Arial" w:cs="Arial"/>
          <w:b/>
          <w:lang w:eastAsia="cs-CZ"/>
        </w:rPr>
        <w:t>Změna smluvního závazku ve finančním vyjádření představuje cca</w:t>
      </w:r>
      <w:r w:rsidR="004F2EDB">
        <w:rPr>
          <w:rFonts w:ascii="Arial" w:eastAsia="Times New Roman" w:hAnsi="Arial" w:cs="Arial"/>
          <w:b/>
          <w:lang w:eastAsia="cs-CZ"/>
        </w:rPr>
        <w:t xml:space="preserve"> 21,33 % </w:t>
      </w:r>
      <w:r w:rsidRPr="00E21269">
        <w:rPr>
          <w:rFonts w:ascii="Arial" w:eastAsia="Times New Roman" w:hAnsi="Arial" w:cs="Arial"/>
          <w:b/>
          <w:lang w:eastAsia="cs-CZ"/>
        </w:rPr>
        <w:t>původního smluvního závazku.</w:t>
      </w:r>
    </w:p>
    <w:p w:rsidR="00A6376F" w:rsidRDefault="00A6376F" w:rsidP="00E21269">
      <w:pPr>
        <w:spacing w:after="0" w:line="276" w:lineRule="auto"/>
        <w:jc w:val="both"/>
        <w:rPr>
          <w:rFonts w:ascii="Arial" w:eastAsia="Times New Roman" w:hAnsi="Arial" w:cs="Arial"/>
          <w:b/>
          <w:lang w:eastAsia="cs-CZ"/>
        </w:rPr>
      </w:pPr>
    </w:p>
    <w:p w:rsidR="00A6376F" w:rsidRPr="00E21269" w:rsidRDefault="00A6376F" w:rsidP="00E21269">
      <w:pPr>
        <w:spacing w:after="0" w:line="276" w:lineRule="auto"/>
        <w:jc w:val="both"/>
        <w:rPr>
          <w:rFonts w:ascii="Arial" w:eastAsia="Times New Roman" w:hAnsi="Arial" w:cs="Arial"/>
          <w:lang w:eastAsia="cs-CZ"/>
        </w:rPr>
      </w:pPr>
    </w:p>
    <w:p w:rsidR="00E21269" w:rsidRPr="00E21269" w:rsidRDefault="00E21269" w:rsidP="00E21269">
      <w:pPr>
        <w:spacing w:after="0" w:line="276" w:lineRule="auto"/>
        <w:rPr>
          <w:rFonts w:ascii="Arial" w:eastAsia="Times New Roman" w:hAnsi="Arial" w:cs="Arial"/>
          <w:lang w:eastAsia="cs-CZ"/>
        </w:rPr>
      </w:pPr>
    </w:p>
    <w:p w:rsidR="00E21269" w:rsidRPr="00E21269" w:rsidRDefault="00E21269" w:rsidP="00E21269">
      <w:pPr>
        <w:spacing w:after="0" w:line="276" w:lineRule="auto"/>
        <w:mirrorIndents/>
        <w:jc w:val="center"/>
        <w:rPr>
          <w:rFonts w:ascii="Arial" w:eastAsia="Times New Roman" w:hAnsi="Arial" w:cs="Arial"/>
          <w:b/>
          <w:lang w:eastAsia="cs-CZ"/>
        </w:rPr>
      </w:pPr>
      <w:r w:rsidRPr="00E21269">
        <w:rPr>
          <w:rFonts w:ascii="Arial" w:eastAsia="Times New Roman" w:hAnsi="Arial" w:cs="Arial"/>
          <w:b/>
          <w:lang w:eastAsia="cs-CZ"/>
        </w:rPr>
        <w:t>I.</w:t>
      </w:r>
    </w:p>
    <w:p w:rsidR="00E21269" w:rsidRPr="00E21269" w:rsidRDefault="00E21269" w:rsidP="00E21269">
      <w:pPr>
        <w:spacing w:after="0" w:line="276" w:lineRule="auto"/>
        <w:mirrorIndents/>
        <w:jc w:val="center"/>
        <w:rPr>
          <w:rFonts w:ascii="Arial" w:eastAsia="Times New Roman" w:hAnsi="Arial" w:cs="Arial"/>
          <w:b/>
          <w:lang w:eastAsia="cs-CZ"/>
        </w:rPr>
      </w:pPr>
      <w:r w:rsidRPr="00E21269">
        <w:rPr>
          <w:rFonts w:ascii="Arial" w:eastAsia="Times New Roman" w:hAnsi="Arial" w:cs="Arial"/>
          <w:b/>
          <w:lang w:eastAsia="cs-CZ"/>
        </w:rPr>
        <w:t>Změny Smlouvy</w:t>
      </w:r>
    </w:p>
    <w:p w:rsidR="00E21269" w:rsidRPr="00E21269" w:rsidRDefault="00E21269" w:rsidP="00E21269">
      <w:pPr>
        <w:spacing w:after="0" w:line="276" w:lineRule="auto"/>
        <w:mirrorIndents/>
        <w:jc w:val="center"/>
        <w:rPr>
          <w:rFonts w:ascii="Arial" w:eastAsia="Times New Roman" w:hAnsi="Arial" w:cs="Arial"/>
          <w:b/>
          <w:lang w:eastAsia="cs-CZ"/>
        </w:rPr>
      </w:pPr>
    </w:p>
    <w:p w:rsidR="004F2EDB" w:rsidRPr="00E21269" w:rsidRDefault="004F2EDB" w:rsidP="004F2EDB">
      <w:pPr>
        <w:spacing w:after="0" w:line="276" w:lineRule="auto"/>
        <w:mirrorIndents/>
        <w:jc w:val="both"/>
        <w:rPr>
          <w:rFonts w:ascii="Arial" w:eastAsia="Times New Roman" w:hAnsi="Arial" w:cs="Arial"/>
          <w:u w:val="single"/>
          <w:lang w:eastAsia="cs-CZ"/>
        </w:rPr>
      </w:pPr>
      <w:r w:rsidRPr="00E21269">
        <w:rPr>
          <w:rFonts w:ascii="Arial" w:eastAsia="Times New Roman" w:hAnsi="Arial" w:cs="Arial"/>
          <w:b/>
          <w:u w:val="single"/>
          <w:lang w:eastAsia="cs-CZ"/>
        </w:rPr>
        <w:t>1.</w:t>
      </w:r>
      <w:r w:rsidRPr="00E21269">
        <w:rPr>
          <w:rFonts w:ascii="Arial" w:eastAsia="Times New Roman" w:hAnsi="Arial" w:cs="Arial"/>
          <w:u w:val="single"/>
          <w:lang w:eastAsia="cs-CZ"/>
        </w:rPr>
        <w:t xml:space="preserve"> V Článku </w:t>
      </w:r>
      <w:r>
        <w:rPr>
          <w:rFonts w:ascii="Arial" w:eastAsia="Times New Roman" w:hAnsi="Arial" w:cs="Arial"/>
          <w:u w:val="single"/>
          <w:lang w:eastAsia="cs-CZ"/>
        </w:rPr>
        <w:t>III</w:t>
      </w:r>
      <w:r w:rsidRPr="00E21269">
        <w:rPr>
          <w:rFonts w:ascii="Arial" w:eastAsia="Times New Roman" w:hAnsi="Arial" w:cs="Arial"/>
          <w:u w:val="single"/>
          <w:lang w:eastAsia="cs-CZ"/>
        </w:rPr>
        <w:t xml:space="preserve">. </w:t>
      </w:r>
      <w:r>
        <w:rPr>
          <w:rFonts w:ascii="Arial" w:eastAsia="Times New Roman" w:hAnsi="Arial" w:cs="Arial"/>
          <w:u w:val="single"/>
          <w:lang w:eastAsia="cs-CZ"/>
        </w:rPr>
        <w:t xml:space="preserve">odst. </w:t>
      </w:r>
      <w:r w:rsidR="001815B3">
        <w:rPr>
          <w:rFonts w:ascii="Arial" w:eastAsia="Times New Roman" w:hAnsi="Arial" w:cs="Arial"/>
          <w:u w:val="single"/>
          <w:lang w:eastAsia="cs-CZ"/>
        </w:rPr>
        <w:t>3.1. písm. h) se mění a nově zní</w:t>
      </w:r>
      <w:r w:rsidRPr="00E21269">
        <w:rPr>
          <w:rFonts w:ascii="Arial" w:eastAsia="Times New Roman" w:hAnsi="Arial" w:cs="Arial"/>
          <w:u w:val="single"/>
          <w:lang w:eastAsia="cs-CZ"/>
        </w:rPr>
        <w:t>:</w:t>
      </w:r>
    </w:p>
    <w:p w:rsidR="004F2EDB" w:rsidRPr="00E21269" w:rsidRDefault="004F2EDB" w:rsidP="004F2EDB">
      <w:pPr>
        <w:spacing w:after="0" w:line="276" w:lineRule="auto"/>
        <w:mirrorIndents/>
        <w:jc w:val="both"/>
        <w:rPr>
          <w:rFonts w:ascii="Arial" w:eastAsia="Times New Roman" w:hAnsi="Arial" w:cs="Arial"/>
          <w:u w:val="single"/>
          <w:lang w:eastAsia="cs-CZ"/>
        </w:rPr>
      </w:pPr>
    </w:p>
    <w:p w:rsidR="004F2EDB" w:rsidRPr="00E21269" w:rsidRDefault="004F2EDB" w:rsidP="004F2EDB">
      <w:pPr>
        <w:spacing w:after="120" w:line="276" w:lineRule="auto"/>
        <w:contextualSpacing/>
        <w:jc w:val="both"/>
        <w:rPr>
          <w:rFonts w:ascii="Arial" w:eastAsia="Times New Roman" w:hAnsi="Arial" w:cs="Arial"/>
          <w:lang w:eastAsia="cs-CZ"/>
        </w:rPr>
      </w:pPr>
      <w:r w:rsidRPr="00E21269">
        <w:rPr>
          <w:rFonts w:ascii="Arial" w:eastAsia="Times New Roman" w:hAnsi="Arial" w:cs="Arial"/>
          <w:lang w:eastAsia="cs-CZ"/>
        </w:rPr>
        <w:t>„</w:t>
      </w:r>
      <w:r w:rsidR="001815B3">
        <w:rPr>
          <w:rFonts w:ascii="Arial" w:eastAsia="Times New Roman" w:hAnsi="Arial" w:cs="Arial"/>
          <w:lang w:eastAsia="cs-CZ"/>
        </w:rPr>
        <w:t xml:space="preserve"> h) </w:t>
      </w:r>
      <w:r w:rsidR="001815B3" w:rsidRPr="001815B3">
        <w:rPr>
          <w:rFonts w:ascii="Arial" w:eastAsia="Times New Roman" w:hAnsi="Arial" w:cs="Arial"/>
          <w:lang w:eastAsia="cs-CZ"/>
        </w:rPr>
        <w:t>Provozování občerstvení u bazénu (tj. bufet u vodního světa a bazénový bar) a občerstvení ve wellness s tím, že TCP má právo určovat sortiment prodávaného zboží;</w:t>
      </w:r>
      <w:r w:rsidR="001815B3">
        <w:rPr>
          <w:rFonts w:ascii="Arial" w:eastAsia="Times New Roman" w:hAnsi="Arial" w:cs="Arial"/>
          <w:lang w:eastAsia="cs-CZ"/>
        </w:rPr>
        <w:t>. Občerstvení bude obsahovat nealkoholické nápoje teplé a studené, z alkoholických nápojů pouze desetistupňové pivo, dále balené potraviny sladké i slané, a dále ohřívané potraviny, jejichž přípravu je možno zajistit prostřednictvím vybavení kuchyně, bez nároku na její další rozšiřování v souladu s projektovou dokumentací, kolaudačním rozhodnutím stavby a hygienickými předpisy. Provozování občerstvení u bazénového baru je provozovatel povinen zajistit vždy na základě písemného pokyn správce učiněného alespoň tři dny předem (postačí e-mailem), a to pro konání jednorázových akcí. Provozovatel je povinen při prodávání alkoholických nápojů (desetistupňového piva) zajistit dodržování veškerých právních předpisů s</w:t>
      </w:r>
      <w:r w:rsidR="00A6376F">
        <w:rPr>
          <w:rFonts w:ascii="Arial" w:eastAsia="Times New Roman" w:hAnsi="Arial" w:cs="Arial"/>
          <w:lang w:eastAsia="cs-CZ"/>
        </w:rPr>
        <w:t> </w:t>
      </w:r>
      <w:r w:rsidR="001815B3">
        <w:rPr>
          <w:rFonts w:ascii="Arial" w:eastAsia="Times New Roman" w:hAnsi="Arial" w:cs="Arial"/>
          <w:lang w:eastAsia="cs-CZ"/>
        </w:rPr>
        <w:t>tímto</w:t>
      </w:r>
      <w:r w:rsidR="00A6376F">
        <w:rPr>
          <w:rFonts w:ascii="Arial" w:eastAsia="Times New Roman" w:hAnsi="Arial" w:cs="Arial"/>
          <w:lang w:eastAsia="cs-CZ"/>
        </w:rPr>
        <w:t xml:space="preserve"> prodejem</w:t>
      </w:r>
      <w:r w:rsidR="001815B3">
        <w:rPr>
          <w:rFonts w:ascii="Arial" w:eastAsia="Times New Roman" w:hAnsi="Arial" w:cs="Arial"/>
          <w:lang w:eastAsia="cs-CZ"/>
        </w:rPr>
        <w:t xml:space="preserve"> spojený</w:t>
      </w:r>
      <w:r w:rsidR="00A6376F">
        <w:rPr>
          <w:rFonts w:ascii="Arial" w:eastAsia="Times New Roman" w:hAnsi="Arial" w:cs="Arial"/>
          <w:lang w:eastAsia="cs-CZ"/>
        </w:rPr>
        <w:t xml:space="preserve">ch, </w:t>
      </w:r>
      <w:r w:rsidR="001815B3">
        <w:rPr>
          <w:rFonts w:ascii="Arial" w:eastAsia="Times New Roman" w:hAnsi="Arial" w:cs="Arial"/>
          <w:lang w:eastAsia="cs-CZ"/>
        </w:rPr>
        <w:t>včetně dodržování Provozního řádu Aquacentra Šutka.“</w:t>
      </w:r>
    </w:p>
    <w:p w:rsidR="004F2EDB" w:rsidRDefault="004F2EDB" w:rsidP="00E21269">
      <w:pPr>
        <w:spacing w:after="0" w:line="276" w:lineRule="auto"/>
        <w:mirrorIndents/>
        <w:jc w:val="both"/>
        <w:rPr>
          <w:rFonts w:ascii="Arial" w:eastAsia="Times New Roman" w:hAnsi="Arial" w:cs="Arial"/>
          <w:b/>
          <w:u w:val="single"/>
          <w:lang w:eastAsia="cs-CZ"/>
        </w:rPr>
      </w:pPr>
    </w:p>
    <w:p w:rsidR="00A6376F" w:rsidRDefault="00A6376F" w:rsidP="00E21269">
      <w:pPr>
        <w:spacing w:after="0" w:line="276" w:lineRule="auto"/>
        <w:mirrorIndents/>
        <w:jc w:val="both"/>
        <w:rPr>
          <w:rFonts w:ascii="Arial" w:eastAsia="Times New Roman" w:hAnsi="Arial" w:cs="Arial"/>
          <w:b/>
          <w:u w:val="single"/>
          <w:lang w:eastAsia="cs-CZ"/>
        </w:rPr>
      </w:pPr>
    </w:p>
    <w:p w:rsidR="00E21269" w:rsidRPr="00E21269" w:rsidRDefault="001815B3" w:rsidP="00E21269">
      <w:pPr>
        <w:spacing w:after="0" w:line="276" w:lineRule="auto"/>
        <w:mirrorIndents/>
        <w:jc w:val="both"/>
        <w:rPr>
          <w:rFonts w:ascii="Arial" w:eastAsia="Times New Roman" w:hAnsi="Arial" w:cs="Arial"/>
          <w:u w:val="single"/>
          <w:lang w:eastAsia="cs-CZ"/>
        </w:rPr>
      </w:pPr>
      <w:r>
        <w:rPr>
          <w:rFonts w:ascii="Arial" w:eastAsia="Times New Roman" w:hAnsi="Arial" w:cs="Arial"/>
          <w:b/>
          <w:u w:val="single"/>
          <w:lang w:eastAsia="cs-CZ"/>
        </w:rPr>
        <w:t>2</w:t>
      </w:r>
      <w:r w:rsidR="00E21269" w:rsidRPr="00E21269">
        <w:rPr>
          <w:rFonts w:ascii="Arial" w:eastAsia="Times New Roman" w:hAnsi="Arial" w:cs="Arial"/>
          <w:b/>
          <w:u w:val="single"/>
          <w:lang w:eastAsia="cs-CZ"/>
        </w:rPr>
        <w:t>.</w:t>
      </w:r>
      <w:r w:rsidR="00E21269" w:rsidRPr="00E21269">
        <w:rPr>
          <w:rFonts w:ascii="Arial" w:eastAsia="Times New Roman" w:hAnsi="Arial" w:cs="Arial"/>
          <w:u w:val="single"/>
          <w:lang w:eastAsia="cs-CZ"/>
        </w:rPr>
        <w:t xml:space="preserve"> V Článku IV. se </w:t>
      </w:r>
      <w:r w:rsidR="00B96016">
        <w:rPr>
          <w:rFonts w:ascii="Arial" w:eastAsia="Times New Roman" w:hAnsi="Arial" w:cs="Arial"/>
          <w:u w:val="single"/>
          <w:lang w:eastAsia="cs-CZ"/>
        </w:rPr>
        <w:t xml:space="preserve">s účinností od 1. 9. 2019 </w:t>
      </w:r>
      <w:r w:rsidR="00E21269" w:rsidRPr="00E21269">
        <w:rPr>
          <w:rFonts w:ascii="Arial" w:eastAsia="Times New Roman" w:hAnsi="Arial" w:cs="Arial"/>
          <w:u w:val="single"/>
          <w:lang w:eastAsia="cs-CZ"/>
        </w:rPr>
        <w:t>mění odstavec č. 4.2 ve znění:</w:t>
      </w:r>
    </w:p>
    <w:p w:rsidR="00E21269" w:rsidRPr="00E21269" w:rsidRDefault="00E21269" w:rsidP="00E21269">
      <w:pPr>
        <w:spacing w:after="0" w:line="276" w:lineRule="auto"/>
        <w:mirrorIndents/>
        <w:jc w:val="both"/>
        <w:rPr>
          <w:rFonts w:ascii="Arial" w:eastAsia="Times New Roman" w:hAnsi="Arial" w:cs="Arial"/>
          <w:u w:val="single"/>
          <w:lang w:eastAsia="cs-CZ"/>
        </w:rPr>
      </w:pPr>
    </w:p>
    <w:p w:rsidR="00E21269" w:rsidRPr="00E21269" w:rsidRDefault="00E21269" w:rsidP="00E21269">
      <w:pPr>
        <w:spacing w:after="120" w:line="276" w:lineRule="auto"/>
        <w:contextualSpacing/>
        <w:jc w:val="both"/>
        <w:rPr>
          <w:rFonts w:ascii="Arial" w:eastAsia="Times New Roman" w:hAnsi="Arial" w:cs="Arial"/>
          <w:lang w:eastAsia="cs-CZ"/>
        </w:rPr>
      </w:pPr>
      <w:r w:rsidRPr="00E21269">
        <w:rPr>
          <w:rFonts w:ascii="Arial" w:eastAsia="Times New Roman" w:hAnsi="Arial" w:cs="Arial"/>
          <w:lang w:eastAsia="cs-CZ"/>
        </w:rPr>
        <w:t xml:space="preserve">„4.2. Za realizaci činností provozovatele specifikovaných v čl. III. této smlouvy TCP zaplatí provozovateli měsíční odměnu ve výši </w:t>
      </w:r>
      <w:r w:rsidR="00A1307D">
        <w:rPr>
          <w:rFonts w:ascii="Arial" w:eastAsia="Times New Roman" w:hAnsi="Arial" w:cs="Arial"/>
          <w:b/>
          <w:lang w:eastAsia="cs-CZ"/>
        </w:rPr>
        <w:t>2</w:t>
      </w:r>
      <w:r w:rsidRPr="00E21269">
        <w:rPr>
          <w:rFonts w:ascii="Arial" w:eastAsia="Times New Roman" w:hAnsi="Arial" w:cs="Arial"/>
          <w:b/>
          <w:lang w:eastAsia="cs-CZ"/>
        </w:rPr>
        <w:t>.</w:t>
      </w:r>
      <w:r w:rsidR="00A1307D">
        <w:rPr>
          <w:rFonts w:ascii="Arial" w:eastAsia="Times New Roman" w:hAnsi="Arial" w:cs="Arial"/>
          <w:b/>
          <w:lang w:eastAsia="cs-CZ"/>
        </w:rPr>
        <w:t>250.</w:t>
      </w:r>
      <w:r w:rsidRPr="00E21269">
        <w:rPr>
          <w:rFonts w:ascii="Arial" w:eastAsia="Times New Roman" w:hAnsi="Arial" w:cs="Arial"/>
          <w:b/>
          <w:lang w:eastAsia="cs-CZ"/>
        </w:rPr>
        <w:t>000 Kč</w:t>
      </w:r>
      <w:r w:rsidRPr="00E21269">
        <w:rPr>
          <w:rFonts w:ascii="Arial" w:eastAsia="Times New Roman" w:hAnsi="Arial" w:cs="Arial"/>
          <w:lang w:eastAsia="cs-CZ"/>
        </w:rPr>
        <w:t xml:space="preserve"> (slovy: </w:t>
      </w:r>
      <w:r w:rsidR="00A1307D">
        <w:rPr>
          <w:rFonts w:ascii="Arial" w:eastAsia="Times New Roman" w:hAnsi="Arial" w:cs="Arial"/>
          <w:lang w:eastAsia="cs-CZ"/>
        </w:rPr>
        <w:t xml:space="preserve">Dva miliony dvě stě padesát tisíc </w:t>
      </w:r>
      <w:r w:rsidRPr="00E21269">
        <w:rPr>
          <w:rFonts w:ascii="Arial" w:eastAsia="Times New Roman" w:hAnsi="Arial" w:cs="Arial"/>
          <w:lang w:eastAsia="cs-CZ"/>
        </w:rPr>
        <w:t>korun českých) s připočtením daně z přidané hodnoty. Odměna bude fakturována se zdanitelným plněním k poslednímu dni běžného měsíce. Faktura bude vystavena provozovatelem nejpozději do 5. dne následujícího měsíce se splatností nejméně 15 dní ode dne doručení faktury do sídla TCP. Účastníci této smlouvy sjednávají, že TCP je oprávněna pozastavit proplacení faktury dle tohoto odstavce v případě, že provozovatel na základě písemného upozornění TCP na porušení svých povinností stanovených v této smlouvě ve stanovené lhůtě nezajistil nápravu. Specifikace odměny za jednotlivé činnosti provozovatele je obsahem Přílohy č. 5 smlouvy.“</w:t>
      </w:r>
    </w:p>
    <w:p w:rsidR="00E21269" w:rsidRDefault="00E21269" w:rsidP="00E21269">
      <w:pPr>
        <w:spacing w:after="120" w:line="276" w:lineRule="auto"/>
        <w:contextualSpacing/>
        <w:jc w:val="both"/>
        <w:rPr>
          <w:rFonts w:ascii="Arial" w:eastAsia="Times New Roman" w:hAnsi="Arial" w:cs="Arial"/>
          <w:lang w:eastAsia="cs-CZ"/>
        </w:rPr>
      </w:pPr>
    </w:p>
    <w:p w:rsidR="00A6376F" w:rsidRPr="00E21269" w:rsidRDefault="00A6376F" w:rsidP="00E21269">
      <w:pPr>
        <w:spacing w:after="120" w:line="276" w:lineRule="auto"/>
        <w:contextualSpacing/>
        <w:jc w:val="both"/>
        <w:rPr>
          <w:rFonts w:ascii="Arial" w:eastAsia="Times New Roman" w:hAnsi="Arial" w:cs="Arial"/>
          <w:lang w:eastAsia="cs-CZ"/>
        </w:rPr>
      </w:pPr>
    </w:p>
    <w:p w:rsidR="00E21269" w:rsidRPr="00E21269" w:rsidRDefault="00A6376F" w:rsidP="00E21269">
      <w:pPr>
        <w:spacing w:after="120" w:line="276" w:lineRule="auto"/>
        <w:contextualSpacing/>
        <w:jc w:val="both"/>
        <w:rPr>
          <w:rFonts w:ascii="Arial" w:eastAsia="Times New Roman" w:hAnsi="Arial" w:cs="Arial"/>
          <w:u w:val="single"/>
          <w:lang w:eastAsia="cs-CZ"/>
        </w:rPr>
      </w:pPr>
      <w:r>
        <w:rPr>
          <w:rFonts w:ascii="Arial" w:eastAsia="Times New Roman" w:hAnsi="Arial" w:cs="Arial"/>
          <w:b/>
          <w:u w:val="single"/>
          <w:lang w:eastAsia="cs-CZ"/>
        </w:rPr>
        <w:t>3</w:t>
      </w:r>
      <w:r w:rsidR="00F66532" w:rsidRPr="00E21269">
        <w:rPr>
          <w:rFonts w:ascii="Arial" w:eastAsia="Times New Roman" w:hAnsi="Arial" w:cs="Arial"/>
          <w:b/>
          <w:u w:val="single"/>
          <w:lang w:eastAsia="cs-CZ"/>
        </w:rPr>
        <w:t>.</w:t>
      </w:r>
      <w:r w:rsidR="00F66532" w:rsidRPr="00E21269">
        <w:rPr>
          <w:rFonts w:ascii="Arial" w:eastAsia="Times New Roman" w:hAnsi="Arial" w:cs="Arial"/>
          <w:u w:val="single"/>
          <w:lang w:eastAsia="cs-CZ"/>
        </w:rPr>
        <w:t xml:space="preserve"> </w:t>
      </w:r>
      <w:r w:rsidR="00E21269" w:rsidRPr="00E21269">
        <w:rPr>
          <w:rFonts w:ascii="Arial" w:eastAsia="Times New Roman" w:hAnsi="Arial" w:cs="Arial"/>
          <w:u w:val="single"/>
          <w:lang w:eastAsia="cs-CZ"/>
        </w:rPr>
        <w:t>Dosavadní Příloha č.</w:t>
      </w:r>
      <w:r>
        <w:rPr>
          <w:rFonts w:ascii="Arial" w:eastAsia="Times New Roman" w:hAnsi="Arial" w:cs="Arial"/>
          <w:u w:val="single"/>
          <w:lang w:eastAsia="cs-CZ"/>
        </w:rPr>
        <w:t xml:space="preserve"> </w:t>
      </w:r>
      <w:r w:rsidR="00E21269" w:rsidRPr="00E21269">
        <w:rPr>
          <w:rFonts w:ascii="Arial" w:eastAsia="Times New Roman" w:hAnsi="Arial" w:cs="Arial"/>
          <w:u w:val="single"/>
          <w:lang w:eastAsia="cs-CZ"/>
        </w:rPr>
        <w:t xml:space="preserve">5 (Kalkulace nabídkové ceny) se ruší a nahrazuje se novou </w:t>
      </w:r>
      <w:r w:rsidR="00E21269" w:rsidRPr="00E21269">
        <w:rPr>
          <w:rFonts w:ascii="Arial" w:eastAsia="Times New Roman" w:hAnsi="Arial" w:cs="Arial"/>
          <w:u w:val="single"/>
          <w:lang w:eastAsia="cs-CZ"/>
        </w:rPr>
        <w:br/>
        <w:t>Přílohou č. 5 smlouvy – specifikace odměny za jednotlivé činnosti provozovatele dle článku IV. odstavec 4.2. Smlouvy o zajištění části provozních činností Aquacentra Šutka.</w:t>
      </w:r>
    </w:p>
    <w:p w:rsidR="00E21269" w:rsidRPr="00E21269" w:rsidRDefault="00E21269" w:rsidP="00E21269">
      <w:pPr>
        <w:spacing w:after="120" w:line="276" w:lineRule="auto"/>
        <w:contextualSpacing/>
        <w:jc w:val="both"/>
        <w:rPr>
          <w:rFonts w:ascii="Arial" w:eastAsia="Times New Roman" w:hAnsi="Arial" w:cs="Arial"/>
          <w:lang w:eastAsia="cs-CZ"/>
        </w:rPr>
      </w:pPr>
    </w:p>
    <w:p w:rsidR="00E21269" w:rsidRDefault="00E21269" w:rsidP="00E21269">
      <w:pPr>
        <w:spacing w:after="0" w:line="276" w:lineRule="auto"/>
        <w:mirrorIndents/>
        <w:jc w:val="both"/>
        <w:rPr>
          <w:rFonts w:ascii="Arial" w:eastAsia="Times New Roman" w:hAnsi="Arial" w:cs="Arial"/>
          <w:lang w:eastAsia="cs-CZ"/>
        </w:rPr>
      </w:pPr>
    </w:p>
    <w:p w:rsidR="00A6376F" w:rsidRPr="00E21269" w:rsidRDefault="00A6376F" w:rsidP="00E21269">
      <w:pPr>
        <w:spacing w:after="0" w:line="276" w:lineRule="auto"/>
        <w:mirrorIndents/>
        <w:jc w:val="both"/>
        <w:rPr>
          <w:rFonts w:ascii="Arial" w:eastAsia="Times New Roman" w:hAnsi="Arial" w:cs="Arial"/>
          <w:lang w:eastAsia="cs-CZ"/>
        </w:rPr>
      </w:pPr>
    </w:p>
    <w:p w:rsidR="00E21269" w:rsidRPr="00E21269" w:rsidRDefault="00E21269" w:rsidP="00E21269">
      <w:pPr>
        <w:spacing w:after="0" w:line="276" w:lineRule="auto"/>
        <w:mirrorIndents/>
        <w:jc w:val="center"/>
        <w:rPr>
          <w:rFonts w:ascii="Arial" w:eastAsia="Times New Roman" w:hAnsi="Arial" w:cs="Arial"/>
          <w:b/>
          <w:lang w:eastAsia="cs-CZ"/>
        </w:rPr>
      </w:pPr>
      <w:r w:rsidRPr="00E21269">
        <w:rPr>
          <w:rFonts w:ascii="Arial" w:eastAsia="Times New Roman" w:hAnsi="Arial" w:cs="Arial"/>
          <w:b/>
          <w:lang w:eastAsia="cs-CZ"/>
        </w:rPr>
        <w:t>II.</w:t>
      </w:r>
    </w:p>
    <w:p w:rsidR="00E21269" w:rsidRPr="00E21269" w:rsidRDefault="00E21269" w:rsidP="00E21269">
      <w:pPr>
        <w:spacing w:after="0" w:line="276" w:lineRule="auto"/>
        <w:mirrorIndents/>
        <w:jc w:val="center"/>
        <w:rPr>
          <w:rFonts w:ascii="Arial" w:eastAsia="Times New Roman" w:hAnsi="Arial" w:cs="Arial"/>
          <w:b/>
          <w:lang w:eastAsia="cs-CZ"/>
        </w:rPr>
      </w:pPr>
      <w:r w:rsidRPr="00E21269">
        <w:rPr>
          <w:rFonts w:ascii="Arial" w:eastAsia="Times New Roman" w:hAnsi="Arial" w:cs="Arial"/>
          <w:b/>
          <w:lang w:eastAsia="cs-CZ"/>
        </w:rPr>
        <w:t>Ostatní a závěrečná ujednání</w:t>
      </w:r>
    </w:p>
    <w:p w:rsidR="00E21269" w:rsidRPr="00E21269" w:rsidRDefault="00E21269" w:rsidP="00E21269">
      <w:pPr>
        <w:spacing w:after="0" w:line="276" w:lineRule="auto"/>
        <w:mirrorIndents/>
        <w:jc w:val="center"/>
        <w:rPr>
          <w:rFonts w:ascii="Arial" w:eastAsia="Times New Roman" w:hAnsi="Arial" w:cs="Arial"/>
          <w:b/>
          <w:lang w:eastAsia="cs-CZ"/>
        </w:rPr>
      </w:pPr>
    </w:p>
    <w:p w:rsidR="00E21269" w:rsidRPr="00E21269" w:rsidRDefault="00E21269" w:rsidP="00E21269">
      <w:pPr>
        <w:spacing w:after="200" w:line="276" w:lineRule="auto"/>
        <w:jc w:val="both"/>
        <w:rPr>
          <w:rFonts w:ascii="Arial" w:eastAsia="Times New Roman" w:hAnsi="Arial" w:cs="Arial"/>
          <w:lang w:eastAsia="cs-CZ"/>
        </w:rPr>
      </w:pPr>
      <w:r w:rsidRPr="00E21269">
        <w:rPr>
          <w:rFonts w:ascii="Arial" w:eastAsia="Times New Roman" w:hAnsi="Arial" w:cs="Arial"/>
          <w:b/>
          <w:lang w:eastAsia="cs-CZ"/>
        </w:rPr>
        <w:t>1.</w:t>
      </w:r>
      <w:r w:rsidRPr="00E21269">
        <w:rPr>
          <w:rFonts w:ascii="Arial" w:eastAsia="Times New Roman" w:hAnsi="Arial" w:cs="Arial"/>
          <w:lang w:eastAsia="cs-CZ"/>
        </w:rPr>
        <w:t xml:space="preserve"> Ustanovení Smlouvy o zajištění části provozních činností Aquacentra Šutka, ev.č.  161/15/22 ze dne 25. 3. 2015</w:t>
      </w:r>
      <w:r w:rsidR="00F66532">
        <w:rPr>
          <w:rFonts w:ascii="Arial" w:eastAsia="Times New Roman" w:hAnsi="Arial" w:cs="Arial"/>
          <w:lang w:eastAsia="cs-CZ"/>
        </w:rPr>
        <w:t xml:space="preserve"> v platném znění</w:t>
      </w:r>
      <w:r w:rsidRPr="00E21269">
        <w:rPr>
          <w:rFonts w:ascii="Arial" w:eastAsia="Times New Roman" w:hAnsi="Arial" w:cs="Arial"/>
          <w:lang w:eastAsia="cs-CZ"/>
        </w:rPr>
        <w:t xml:space="preserve">, nedotčená ujednáními uvedenými v článku I tohoto Dodatku č. </w:t>
      </w:r>
      <w:r w:rsidR="00F66532">
        <w:rPr>
          <w:rFonts w:ascii="Arial" w:eastAsia="Times New Roman" w:hAnsi="Arial" w:cs="Arial"/>
          <w:lang w:eastAsia="cs-CZ"/>
        </w:rPr>
        <w:t>2</w:t>
      </w:r>
      <w:r w:rsidRPr="00E21269">
        <w:rPr>
          <w:rFonts w:ascii="Arial" w:eastAsia="Times New Roman" w:hAnsi="Arial" w:cs="Arial"/>
          <w:lang w:eastAsia="cs-CZ"/>
        </w:rPr>
        <w:t xml:space="preserve"> zůstávají beze změn. Smluvní strany prohlašují, že dohodou obsaženou v tomto Dodatku č. </w:t>
      </w:r>
      <w:r w:rsidR="00F66532">
        <w:rPr>
          <w:rFonts w:ascii="Arial" w:eastAsia="Times New Roman" w:hAnsi="Arial" w:cs="Arial"/>
          <w:lang w:eastAsia="cs-CZ"/>
        </w:rPr>
        <w:t>2</w:t>
      </w:r>
      <w:r w:rsidRPr="00E21269">
        <w:rPr>
          <w:rFonts w:ascii="Arial" w:eastAsia="Times New Roman" w:hAnsi="Arial" w:cs="Arial"/>
          <w:lang w:eastAsia="cs-CZ"/>
        </w:rPr>
        <w:t xml:space="preserve"> jejich původní závazky ze Smlouvy o zajištění části provozních činností Aquacentra Šutka, ev.č.  161/15/22 ze dne 25. 3. 2015</w:t>
      </w:r>
      <w:r w:rsidR="00F66532">
        <w:rPr>
          <w:rFonts w:ascii="Arial" w:eastAsia="Times New Roman" w:hAnsi="Arial" w:cs="Arial"/>
          <w:lang w:eastAsia="cs-CZ"/>
        </w:rPr>
        <w:t xml:space="preserve"> v platném znění</w:t>
      </w:r>
      <w:r w:rsidRPr="00E21269">
        <w:rPr>
          <w:rFonts w:ascii="Arial" w:eastAsia="Times New Roman" w:hAnsi="Arial" w:cs="Arial"/>
          <w:lang w:eastAsia="cs-CZ"/>
        </w:rPr>
        <w:t xml:space="preserve">, nezanikají ve smyslu § 1902 </w:t>
      </w:r>
      <w:r w:rsidR="00F66532">
        <w:rPr>
          <w:rFonts w:ascii="Arial" w:eastAsia="Times New Roman" w:hAnsi="Arial" w:cs="Arial"/>
          <w:lang w:eastAsia="cs-CZ"/>
        </w:rPr>
        <w:t>občanského zákoníku</w:t>
      </w:r>
      <w:r w:rsidRPr="00E21269">
        <w:rPr>
          <w:rFonts w:ascii="Arial" w:eastAsia="Times New Roman" w:hAnsi="Arial" w:cs="Arial"/>
          <w:lang w:eastAsia="cs-CZ"/>
        </w:rPr>
        <w:t xml:space="preserve">, nýbrž se pouze mění. </w:t>
      </w:r>
    </w:p>
    <w:p w:rsidR="00E21269" w:rsidRPr="00E21269" w:rsidRDefault="00E21269" w:rsidP="00E21269">
      <w:pPr>
        <w:spacing w:after="0" w:line="276" w:lineRule="auto"/>
        <w:mirrorIndents/>
        <w:jc w:val="both"/>
        <w:rPr>
          <w:rFonts w:ascii="Arial" w:eastAsia="Times New Roman" w:hAnsi="Arial" w:cs="Arial"/>
          <w:lang w:eastAsia="cs-CZ"/>
        </w:rPr>
      </w:pPr>
      <w:r w:rsidRPr="00E21269">
        <w:rPr>
          <w:rFonts w:ascii="Arial" w:eastAsia="Times New Roman" w:hAnsi="Arial" w:cs="Arial"/>
          <w:b/>
          <w:lang w:eastAsia="cs-CZ"/>
        </w:rPr>
        <w:t>2.</w:t>
      </w:r>
      <w:r w:rsidRPr="00E21269">
        <w:rPr>
          <w:rFonts w:ascii="Arial" w:eastAsia="Times New Roman" w:hAnsi="Arial" w:cs="Arial"/>
          <w:lang w:eastAsia="cs-CZ"/>
        </w:rPr>
        <w:t xml:space="preserve"> Tento Dodatek č.</w:t>
      </w:r>
      <w:r w:rsidR="00F66532">
        <w:rPr>
          <w:rFonts w:ascii="Arial" w:eastAsia="Times New Roman" w:hAnsi="Arial" w:cs="Arial"/>
          <w:lang w:eastAsia="cs-CZ"/>
        </w:rPr>
        <w:t xml:space="preserve"> 2</w:t>
      </w:r>
      <w:r w:rsidRPr="00E21269">
        <w:rPr>
          <w:rFonts w:ascii="Arial" w:eastAsia="Times New Roman" w:hAnsi="Arial" w:cs="Arial"/>
          <w:lang w:eastAsia="cs-CZ"/>
        </w:rPr>
        <w:t xml:space="preserve"> je vyhotoven ve čtyřech stejnopisech, z nichž tři vyhotovení obdrží TCP a jedno vyhotovení obdrží p</w:t>
      </w:r>
      <w:r w:rsidR="00F66532">
        <w:rPr>
          <w:rFonts w:ascii="Arial" w:eastAsia="Times New Roman" w:hAnsi="Arial" w:cs="Arial"/>
          <w:lang w:eastAsia="cs-CZ"/>
        </w:rPr>
        <w:t>rovozovatel</w:t>
      </w:r>
      <w:r w:rsidRPr="00E21269">
        <w:rPr>
          <w:rFonts w:ascii="Arial" w:eastAsia="Times New Roman" w:hAnsi="Arial" w:cs="Arial"/>
          <w:lang w:eastAsia="cs-CZ"/>
        </w:rPr>
        <w:t>.</w:t>
      </w:r>
    </w:p>
    <w:p w:rsidR="00E21269" w:rsidRPr="00E21269" w:rsidRDefault="00E21269" w:rsidP="00E21269">
      <w:pPr>
        <w:spacing w:after="0" w:line="276" w:lineRule="auto"/>
        <w:mirrorIndents/>
        <w:jc w:val="both"/>
        <w:rPr>
          <w:rFonts w:ascii="Arial" w:eastAsia="Times New Roman" w:hAnsi="Arial" w:cs="Arial"/>
          <w:lang w:eastAsia="cs-CZ"/>
        </w:rPr>
      </w:pPr>
    </w:p>
    <w:p w:rsidR="00E21269" w:rsidRPr="00E21269" w:rsidRDefault="00E21269" w:rsidP="00E21269">
      <w:pPr>
        <w:spacing w:after="0" w:line="276" w:lineRule="auto"/>
        <w:mirrorIndents/>
        <w:jc w:val="both"/>
        <w:rPr>
          <w:rFonts w:ascii="Arial" w:eastAsia="Times New Roman" w:hAnsi="Arial" w:cs="Arial"/>
          <w:lang w:eastAsia="cs-CZ"/>
        </w:rPr>
      </w:pPr>
      <w:r w:rsidRPr="00E21269">
        <w:rPr>
          <w:rFonts w:ascii="Arial" w:eastAsia="Times New Roman" w:hAnsi="Arial" w:cs="Arial"/>
          <w:b/>
          <w:lang w:eastAsia="cs-CZ"/>
        </w:rPr>
        <w:t>3.</w:t>
      </w:r>
      <w:r w:rsidRPr="00E21269">
        <w:rPr>
          <w:rFonts w:ascii="Arial" w:eastAsia="Times New Roman" w:hAnsi="Arial" w:cs="Arial"/>
          <w:lang w:eastAsia="cs-CZ"/>
        </w:rPr>
        <w:t xml:space="preserve"> Tento Dodatek č. </w:t>
      </w:r>
      <w:r w:rsidR="00F66532">
        <w:rPr>
          <w:rFonts w:ascii="Arial" w:eastAsia="Times New Roman" w:hAnsi="Arial" w:cs="Arial"/>
          <w:lang w:eastAsia="cs-CZ"/>
        </w:rPr>
        <w:t>2</w:t>
      </w:r>
      <w:r w:rsidRPr="00E21269">
        <w:rPr>
          <w:rFonts w:ascii="Arial" w:eastAsia="Times New Roman" w:hAnsi="Arial" w:cs="Arial"/>
          <w:lang w:eastAsia="cs-CZ"/>
        </w:rPr>
        <w:t xml:space="preserve"> nabývá platnosti dnem podpisu smluvních stran a účinnosti dnem </w:t>
      </w:r>
      <w:r w:rsidRPr="00E21269">
        <w:rPr>
          <w:rFonts w:ascii="Arial" w:eastAsia="Times New Roman" w:hAnsi="Arial" w:cs="Arial"/>
          <w:lang w:eastAsia="cs-CZ"/>
        </w:rPr>
        <w:br/>
      </w:r>
      <w:r w:rsidR="00F66532">
        <w:rPr>
          <w:rFonts w:ascii="Arial" w:eastAsia="Times New Roman" w:hAnsi="Arial" w:cs="Arial"/>
          <w:lang w:eastAsia="cs-CZ"/>
        </w:rPr>
        <w:t>uveřejnění v registru smluv dle odstavce 7 tohoto článku.</w:t>
      </w:r>
    </w:p>
    <w:p w:rsidR="00E21269" w:rsidRPr="00E21269" w:rsidRDefault="00E21269" w:rsidP="00E21269">
      <w:pPr>
        <w:spacing w:after="0" w:line="276" w:lineRule="auto"/>
        <w:mirrorIndents/>
        <w:jc w:val="both"/>
        <w:rPr>
          <w:rFonts w:ascii="Arial" w:eastAsia="Times New Roman" w:hAnsi="Arial" w:cs="Arial"/>
          <w:lang w:eastAsia="cs-CZ"/>
        </w:rPr>
      </w:pPr>
    </w:p>
    <w:p w:rsidR="00E21269" w:rsidRPr="00E21269" w:rsidRDefault="00E21269" w:rsidP="00E21269">
      <w:pPr>
        <w:spacing w:after="0" w:line="276" w:lineRule="auto"/>
        <w:mirrorIndents/>
        <w:jc w:val="both"/>
        <w:rPr>
          <w:rFonts w:ascii="Arial" w:eastAsia="Times New Roman" w:hAnsi="Arial" w:cs="Arial"/>
          <w:lang w:eastAsia="cs-CZ"/>
        </w:rPr>
      </w:pPr>
      <w:r w:rsidRPr="00E21269">
        <w:rPr>
          <w:rFonts w:ascii="Arial" w:eastAsia="Times New Roman" w:hAnsi="Arial" w:cs="Arial"/>
          <w:b/>
          <w:lang w:eastAsia="cs-CZ"/>
        </w:rPr>
        <w:t>4.</w:t>
      </w:r>
      <w:r w:rsidRPr="00E21269">
        <w:rPr>
          <w:rFonts w:ascii="Arial" w:eastAsia="Times New Roman" w:hAnsi="Arial" w:cs="Arial"/>
          <w:lang w:eastAsia="cs-CZ"/>
        </w:rPr>
        <w:t xml:space="preserve"> Podle výslovné dohody účastníků této smlouvy se vztahy touto smlouvou výslovně neupravené řídí občanským zákoníkem.</w:t>
      </w:r>
    </w:p>
    <w:p w:rsidR="00E21269" w:rsidRPr="00E21269" w:rsidRDefault="00E21269" w:rsidP="00E21269">
      <w:pPr>
        <w:spacing w:after="0" w:line="276" w:lineRule="auto"/>
        <w:mirrorIndents/>
        <w:jc w:val="both"/>
        <w:rPr>
          <w:rFonts w:ascii="Arial" w:eastAsia="Times New Roman" w:hAnsi="Arial" w:cs="Arial"/>
          <w:lang w:eastAsia="cs-CZ"/>
        </w:rPr>
      </w:pPr>
    </w:p>
    <w:p w:rsidR="00E21269" w:rsidRPr="00E21269" w:rsidRDefault="00E21269" w:rsidP="00E21269">
      <w:pPr>
        <w:tabs>
          <w:tab w:val="left" w:pos="709"/>
        </w:tabs>
        <w:spacing w:after="120" w:line="276" w:lineRule="auto"/>
        <w:contextualSpacing/>
        <w:jc w:val="both"/>
        <w:outlineLvl w:val="1"/>
        <w:rPr>
          <w:rFonts w:ascii="Arial" w:eastAsia="Myriad Web" w:hAnsi="Arial" w:cs="Arial"/>
          <w:lang w:eastAsia="cs-CZ"/>
        </w:rPr>
      </w:pPr>
      <w:r w:rsidRPr="00E21269">
        <w:rPr>
          <w:rFonts w:ascii="Arial" w:eastAsia="Myriad Web" w:hAnsi="Arial" w:cs="Arial"/>
          <w:b/>
          <w:lang w:eastAsia="cs-CZ"/>
        </w:rPr>
        <w:t>5.</w:t>
      </w:r>
      <w:r w:rsidRPr="00E21269">
        <w:rPr>
          <w:rFonts w:ascii="Arial" w:eastAsia="Myriad Web" w:hAnsi="Arial" w:cs="Arial"/>
          <w:lang w:eastAsia="cs-CZ"/>
        </w:rPr>
        <w:t xml:space="preserve"> Smluvní strany výslovně souhlasí s tím, aby tento Dodatek č. </w:t>
      </w:r>
      <w:r w:rsidR="00F66532">
        <w:rPr>
          <w:rFonts w:ascii="Arial" w:eastAsia="Myriad Web" w:hAnsi="Arial" w:cs="Arial"/>
          <w:lang w:eastAsia="cs-CZ"/>
        </w:rPr>
        <w:t>2</w:t>
      </w:r>
      <w:r w:rsidRPr="00E21269">
        <w:rPr>
          <w:rFonts w:ascii="Arial" w:eastAsia="Myriad Web" w:hAnsi="Arial" w:cs="Arial"/>
          <w:lang w:eastAsia="cs-CZ"/>
        </w:rPr>
        <w:t xml:space="preserve"> byl uveden v Centrální evidenci smluv (CES) vedené hl. m. Prahou, která je veřejně přístupná a která obsahuje údaje o smluvních stranách, předmětu dodatku, číselné označení tohoto dodatku smlouvy, datum jeho podpisu a text tohoto dodatku.</w:t>
      </w:r>
    </w:p>
    <w:p w:rsidR="00E21269" w:rsidRPr="00E21269" w:rsidRDefault="00E21269" w:rsidP="00E21269">
      <w:pPr>
        <w:tabs>
          <w:tab w:val="left" w:pos="709"/>
        </w:tabs>
        <w:spacing w:after="120" w:line="276" w:lineRule="auto"/>
        <w:contextualSpacing/>
        <w:jc w:val="both"/>
        <w:outlineLvl w:val="1"/>
        <w:rPr>
          <w:rFonts w:ascii="Arial" w:eastAsia="Myriad Web" w:hAnsi="Arial" w:cs="Arial"/>
          <w:lang w:eastAsia="cs-CZ"/>
        </w:rPr>
      </w:pPr>
    </w:p>
    <w:p w:rsidR="00E21269" w:rsidRPr="00E21269" w:rsidRDefault="00E21269" w:rsidP="00E21269">
      <w:pPr>
        <w:tabs>
          <w:tab w:val="left" w:pos="709"/>
        </w:tabs>
        <w:spacing w:after="0" w:line="276" w:lineRule="auto"/>
        <w:mirrorIndents/>
        <w:jc w:val="both"/>
        <w:outlineLvl w:val="1"/>
        <w:rPr>
          <w:rFonts w:ascii="Arial" w:eastAsia="Myriad Web" w:hAnsi="Arial" w:cs="Arial"/>
          <w:lang w:eastAsia="cs-CZ"/>
        </w:rPr>
      </w:pPr>
      <w:r w:rsidRPr="00E21269">
        <w:rPr>
          <w:rFonts w:ascii="Arial" w:eastAsia="Myriad Web" w:hAnsi="Arial" w:cs="Arial"/>
          <w:b/>
          <w:lang w:eastAsia="cs-CZ"/>
        </w:rPr>
        <w:t>6.</w:t>
      </w:r>
      <w:r w:rsidRPr="00E21269">
        <w:rPr>
          <w:rFonts w:ascii="Arial" w:eastAsia="Myriad Web" w:hAnsi="Arial" w:cs="Arial"/>
          <w:lang w:eastAsia="cs-CZ"/>
        </w:rPr>
        <w:t xml:space="preserve"> Smluvní strany prohlašují, že </w:t>
      </w:r>
      <w:r w:rsidRPr="00E21269">
        <w:rPr>
          <w:rFonts w:ascii="Arial" w:eastAsia="Calibri" w:hAnsi="Arial" w:cs="Arial"/>
          <w:spacing w:val="-3"/>
        </w:rPr>
        <w:t xml:space="preserve">skutečnosti uvedené v tomto Dodatku č. 1 nepovažují za obchodní tajemství ve smyslu § 504 </w:t>
      </w:r>
      <w:r w:rsidR="00F66532">
        <w:rPr>
          <w:rFonts w:ascii="Arial" w:eastAsia="Calibri" w:hAnsi="Arial" w:cs="Arial"/>
          <w:spacing w:val="-3"/>
        </w:rPr>
        <w:t>občanského zákoníku</w:t>
      </w:r>
      <w:r w:rsidRPr="00E21269">
        <w:rPr>
          <w:rFonts w:ascii="Arial" w:eastAsia="Calibri" w:hAnsi="Arial" w:cs="Arial"/>
          <w:spacing w:val="-3"/>
        </w:rPr>
        <w:t xml:space="preserve"> a udělují svolení k jejich užití a zveřejnění bez stanovení jakýchkoli dalších podmínek.</w:t>
      </w:r>
    </w:p>
    <w:p w:rsidR="00E21269" w:rsidRPr="00E21269" w:rsidRDefault="00E21269" w:rsidP="00E21269">
      <w:pPr>
        <w:spacing w:after="0" w:line="276" w:lineRule="auto"/>
        <w:jc w:val="both"/>
        <w:rPr>
          <w:rFonts w:ascii="Arial" w:eastAsia="Calibri" w:hAnsi="Arial" w:cs="Arial"/>
          <w:lang w:eastAsia="cs-CZ"/>
        </w:rPr>
      </w:pPr>
    </w:p>
    <w:p w:rsidR="00E21269" w:rsidRPr="00E21269" w:rsidRDefault="00E21269" w:rsidP="00E21269">
      <w:pPr>
        <w:tabs>
          <w:tab w:val="left" w:pos="709"/>
        </w:tabs>
        <w:spacing w:after="0" w:line="276" w:lineRule="auto"/>
        <w:mirrorIndents/>
        <w:jc w:val="both"/>
        <w:outlineLvl w:val="1"/>
        <w:rPr>
          <w:rFonts w:ascii="Arial" w:eastAsia="Calibri" w:hAnsi="Arial" w:cs="Arial"/>
          <w:lang w:eastAsia="cs-CZ"/>
        </w:rPr>
      </w:pPr>
      <w:r w:rsidRPr="00E21269">
        <w:rPr>
          <w:rFonts w:ascii="Arial" w:eastAsia="Myriad Web" w:hAnsi="Arial" w:cs="Arial"/>
          <w:b/>
          <w:lang w:eastAsia="cs-CZ"/>
        </w:rPr>
        <w:lastRenderedPageBreak/>
        <w:t>7.</w:t>
      </w:r>
      <w:r w:rsidRPr="00E21269">
        <w:rPr>
          <w:rFonts w:ascii="Arial" w:eastAsia="Myriad Web" w:hAnsi="Arial" w:cs="Arial"/>
          <w:lang w:eastAsia="cs-CZ"/>
        </w:rPr>
        <w:t xml:space="preserve">  Tento Dodatek č. </w:t>
      </w:r>
      <w:r w:rsidR="00F66532">
        <w:rPr>
          <w:rFonts w:ascii="Arial" w:eastAsia="Myriad Web" w:hAnsi="Arial" w:cs="Arial"/>
          <w:lang w:eastAsia="cs-CZ"/>
        </w:rPr>
        <w:t>2</w:t>
      </w:r>
      <w:r w:rsidRPr="00E21269">
        <w:rPr>
          <w:rFonts w:ascii="Arial" w:eastAsia="Calibri" w:hAnsi="Arial" w:cs="Arial"/>
          <w:lang w:eastAsia="cs-CZ"/>
        </w:rPr>
        <w:t xml:space="preserve"> bude uveřejněn společností TRADE CENTRE PRAHA a.s. v souladu se zákonem č. 340/2015 Sb., o zvláštních podmínkách účinnosti některých smluv, uveřejňování těchto smluv a o registru smluv (zákon o registru smluv).</w:t>
      </w:r>
    </w:p>
    <w:p w:rsidR="00E21269" w:rsidRPr="00E21269" w:rsidRDefault="00E21269" w:rsidP="00E21269">
      <w:pPr>
        <w:spacing w:after="0" w:line="276" w:lineRule="auto"/>
        <w:jc w:val="center"/>
        <w:rPr>
          <w:rFonts w:ascii="Arial" w:eastAsia="Times New Roman" w:hAnsi="Arial" w:cs="Arial"/>
          <w:b/>
          <w:lang w:eastAsia="cs-CZ"/>
        </w:rPr>
      </w:pPr>
    </w:p>
    <w:p w:rsidR="00E21269" w:rsidRPr="00E21269" w:rsidRDefault="00F66532" w:rsidP="00B96016">
      <w:pPr>
        <w:spacing w:after="0" w:line="276" w:lineRule="auto"/>
        <w:jc w:val="both"/>
        <w:rPr>
          <w:rFonts w:ascii="Arial" w:eastAsia="Times New Roman" w:hAnsi="Arial" w:cs="Arial"/>
          <w:lang w:eastAsia="cs-CZ"/>
        </w:rPr>
      </w:pPr>
      <w:r>
        <w:rPr>
          <w:rFonts w:ascii="Arial" w:eastAsia="Times New Roman" w:hAnsi="Arial" w:cs="Arial"/>
          <w:u w:val="single"/>
          <w:lang w:eastAsia="cs-CZ"/>
        </w:rPr>
        <w:t>Příloh</w:t>
      </w:r>
      <w:r w:rsidR="00B96016">
        <w:rPr>
          <w:rFonts w:ascii="Arial" w:eastAsia="Times New Roman" w:hAnsi="Arial" w:cs="Arial"/>
          <w:u w:val="single"/>
          <w:lang w:eastAsia="cs-CZ"/>
        </w:rPr>
        <w:t>y dle textu</w:t>
      </w:r>
    </w:p>
    <w:p w:rsidR="00E21269" w:rsidRPr="00E21269" w:rsidRDefault="00E21269" w:rsidP="00E21269">
      <w:pPr>
        <w:spacing w:after="0" w:line="276" w:lineRule="auto"/>
        <w:rPr>
          <w:rFonts w:ascii="Arial" w:eastAsia="Times New Roman" w:hAnsi="Arial" w:cs="Arial"/>
          <w:lang w:eastAsia="cs-CZ"/>
        </w:rPr>
      </w:pPr>
    </w:p>
    <w:tbl>
      <w:tblPr>
        <w:tblW w:w="0" w:type="auto"/>
        <w:jc w:val="center"/>
        <w:tblLook w:val="04A0" w:firstRow="1" w:lastRow="0" w:firstColumn="1" w:lastColumn="0" w:noHBand="0" w:noVBand="1"/>
      </w:tblPr>
      <w:tblGrid>
        <w:gridCol w:w="4536"/>
        <w:gridCol w:w="4536"/>
      </w:tblGrid>
      <w:tr w:rsidR="00E21269" w:rsidRPr="00E21269" w:rsidTr="00A55E62">
        <w:trPr>
          <w:jc w:val="center"/>
        </w:trPr>
        <w:tc>
          <w:tcPr>
            <w:tcW w:w="4536" w:type="dxa"/>
            <w:shd w:val="clear" w:color="auto" w:fill="auto"/>
          </w:tcPr>
          <w:p w:rsidR="00F66532" w:rsidRDefault="00F66532" w:rsidP="00E21269">
            <w:pPr>
              <w:tabs>
                <w:tab w:val="left" w:pos="709"/>
              </w:tabs>
              <w:spacing w:after="0" w:line="276" w:lineRule="auto"/>
              <w:jc w:val="both"/>
              <w:outlineLvl w:val="1"/>
              <w:rPr>
                <w:rFonts w:ascii="Arial" w:eastAsia="Myriad Web" w:hAnsi="Arial" w:cs="Arial"/>
                <w:lang w:eastAsia="cs-CZ"/>
              </w:rPr>
            </w:pPr>
          </w:p>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r w:rsidRPr="00E21269">
              <w:rPr>
                <w:rFonts w:ascii="Arial" w:eastAsia="Myriad Web" w:hAnsi="Arial" w:cs="Arial"/>
                <w:lang w:eastAsia="cs-CZ"/>
              </w:rPr>
              <w:t>TCP:</w:t>
            </w:r>
          </w:p>
        </w:tc>
        <w:tc>
          <w:tcPr>
            <w:tcW w:w="4536" w:type="dxa"/>
            <w:shd w:val="clear" w:color="auto" w:fill="auto"/>
          </w:tcPr>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p>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r w:rsidRPr="00E21269">
              <w:rPr>
                <w:rFonts w:ascii="Arial" w:eastAsia="Myriad Web" w:hAnsi="Arial" w:cs="Arial"/>
                <w:lang w:eastAsia="cs-CZ"/>
              </w:rPr>
              <w:t>Provozovatel:</w:t>
            </w:r>
          </w:p>
        </w:tc>
      </w:tr>
      <w:tr w:rsidR="00E21269" w:rsidRPr="00E21269" w:rsidTr="00A55E62">
        <w:trPr>
          <w:jc w:val="center"/>
        </w:trPr>
        <w:tc>
          <w:tcPr>
            <w:tcW w:w="4536" w:type="dxa"/>
            <w:shd w:val="clear" w:color="auto" w:fill="auto"/>
          </w:tcPr>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p>
        </w:tc>
        <w:tc>
          <w:tcPr>
            <w:tcW w:w="4536" w:type="dxa"/>
            <w:shd w:val="clear" w:color="auto" w:fill="auto"/>
          </w:tcPr>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p>
        </w:tc>
      </w:tr>
      <w:tr w:rsidR="00E21269" w:rsidRPr="00E21269" w:rsidTr="00A55E62">
        <w:trPr>
          <w:jc w:val="center"/>
        </w:trPr>
        <w:tc>
          <w:tcPr>
            <w:tcW w:w="4536" w:type="dxa"/>
            <w:shd w:val="clear" w:color="auto" w:fill="auto"/>
          </w:tcPr>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r w:rsidRPr="00E21269">
              <w:rPr>
                <w:rFonts w:ascii="Arial" w:eastAsia="Myriad Web" w:hAnsi="Arial" w:cs="Arial"/>
                <w:lang w:eastAsia="cs-CZ"/>
              </w:rPr>
              <w:t>V Praze dne ……………………</w:t>
            </w:r>
          </w:p>
        </w:tc>
        <w:tc>
          <w:tcPr>
            <w:tcW w:w="4536" w:type="dxa"/>
            <w:shd w:val="clear" w:color="auto" w:fill="auto"/>
          </w:tcPr>
          <w:p w:rsidR="00E21269" w:rsidRPr="00E21269" w:rsidRDefault="00E21269" w:rsidP="00E21269">
            <w:pPr>
              <w:tabs>
                <w:tab w:val="left" w:pos="709"/>
              </w:tabs>
              <w:spacing w:after="0" w:line="276" w:lineRule="auto"/>
              <w:jc w:val="both"/>
              <w:outlineLvl w:val="1"/>
              <w:rPr>
                <w:rFonts w:ascii="Arial" w:eastAsia="Myriad Web" w:hAnsi="Arial" w:cs="Arial"/>
                <w:lang w:eastAsia="cs-CZ"/>
              </w:rPr>
            </w:pPr>
            <w:r w:rsidRPr="00E21269">
              <w:rPr>
                <w:rFonts w:ascii="Arial" w:eastAsia="Myriad Web" w:hAnsi="Arial" w:cs="Arial"/>
                <w:lang w:eastAsia="cs-CZ"/>
              </w:rPr>
              <w:t>V Praze dne ……………………</w:t>
            </w:r>
          </w:p>
        </w:tc>
      </w:tr>
      <w:tr w:rsidR="00E21269" w:rsidRPr="00E21269" w:rsidTr="00A55E62">
        <w:trPr>
          <w:trHeight w:val="1134"/>
          <w:jc w:val="center"/>
        </w:trPr>
        <w:tc>
          <w:tcPr>
            <w:tcW w:w="4536" w:type="dxa"/>
            <w:shd w:val="clear" w:color="auto" w:fill="auto"/>
            <w:vAlign w:val="bottom"/>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w:t>
            </w:r>
          </w:p>
        </w:tc>
        <w:tc>
          <w:tcPr>
            <w:tcW w:w="4536" w:type="dxa"/>
            <w:shd w:val="clear" w:color="auto" w:fill="auto"/>
            <w:vAlign w:val="bottom"/>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w:t>
            </w:r>
          </w:p>
        </w:tc>
      </w:tr>
      <w:tr w:rsidR="00E21269" w:rsidRPr="00E21269" w:rsidTr="00A55E62">
        <w:trPr>
          <w:jc w:val="center"/>
        </w:trPr>
        <w:tc>
          <w:tcPr>
            <w:tcW w:w="4536" w:type="dxa"/>
            <w:shd w:val="clear" w:color="auto" w:fill="auto"/>
          </w:tcPr>
          <w:p w:rsidR="00E21269" w:rsidRPr="00E21269" w:rsidRDefault="00F66532" w:rsidP="00E21269">
            <w:pPr>
              <w:spacing w:after="0" w:line="276" w:lineRule="auto"/>
              <w:rPr>
                <w:rFonts w:ascii="Arial" w:eastAsia="Times New Roman" w:hAnsi="Arial" w:cs="Arial"/>
                <w:lang w:eastAsia="cs-CZ"/>
              </w:rPr>
            </w:pPr>
            <w:r>
              <w:rPr>
                <w:rFonts w:ascii="Arial" w:eastAsia="Times New Roman" w:hAnsi="Arial" w:cs="Arial"/>
                <w:lang w:eastAsia="cs-CZ"/>
              </w:rPr>
              <w:t>Filip Veselý</w:t>
            </w:r>
          </w:p>
        </w:tc>
        <w:tc>
          <w:tcPr>
            <w:tcW w:w="4536" w:type="dxa"/>
            <w:shd w:val="clear" w:color="auto" w:fill="auto"/>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 xml:space="preserve">Ing. </w:t>
            </w:r>
            <w:r w:rsidR="00205DF5">
              <w:rPr>
                <w:rFonts w:ascii="Arial" w:eastAsia="Times New Roman" w:hAnsi="Arial" w:cs="Arial"/>
                <w:lang w:eastAsia="cs-CZ"/>
              </w:rPr>
              <w:t>Tomáš Tesař</w:t>
            </w:r>
            <w:bookmarkStart w:id="0" w:name="_GoBack"/>
            <w:bookmarkEnd w:id="0"/>
          </w:p>
        </w:tc>
      </w:tr>
      <w:tr w:rsidR="00E21269" w:rsidRPr="00E21269" w:rsidTr="00A55E62">
        <w:trPr>
          <w:jc w:val="center"/>
        </w:trPr>
        <w:tc>
          <w:tcPr>
            <w:tcW w:w="4536" w:type="dxa"/>
            <w:shd w:val="clear" w:color="auto" w:fill="auto"/>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předseda představenstva</w:t>
            </w:r>
          </w:p>
        </w:tc>
        <w:tc>
          <w:tcPr>
            <w:tcW w:w="4536" w:type="dxa"/>
            <w:shd w:val="clear" w:color="auto" w:fill="auto"/>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předseda představenstva</w:t>
            </w:r>
          </w:p>
        </w:tc>
      </w:tr>
      <w:tr w:rsidR="00E21269" w:rsidRPr="00E21269" w:rsidTr="00A55E62">
        <w:trPr>
          <w:trHeight w:val="1134"/>
          <w:jc w:val="center"/>
        </w:trPr>
        <w:tc>
          <w:tcPr>
            <w:tcW w:w="4536" w:type="dxa"/>
            <w:shd w:val="clear" w:color="auto" w:fill="auto"/>
            <w:vAlign w:val="bottom"/>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w:t>
            </w:r>
          </w:p>
        </w:tc>
        <w:tc>
          <w:tcPr>
            <w:tcW w:w="4536" w:type="dxa"/>
            <w:shd w:val="clear" w:color="auto" w:fill="auto"/>
            <w:vAlign w:val="bottom"/>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w:t>
            </w:r>
          </w:p>
        </w:tc>
      </w:tr>
      <w:tr w:rsidR="00E21269" w:rsidRPr="00E21269" w:rsidTr="00A55E62">
        <w:trPr>
          <w:jc w:val="center"/>
        </w:trPr>
        <w:tc>
          <w:tcPr>
            <w:tcW w:w="4536" w:type="dxa"/>
            <w:shd w:val="clear" w:color="auto" w:fill="auto"/>
          </w:tcPr>
          <w:p w:rsidR="00E21269" w:rsidRPr="00E21269" w:rsidRDefault="00F66532" w:rsidP="00E21269">
            <w:pPr>
              <w:spacing w:after="0" w:line="276" w:lineRule="auto"/>
              <w:rPr>
                <w:rFonts w:ascii="Arial" w:eastAsia="Times New Roman" w:hAnsi="Arial" w:cs="Arial"/>
                <w:lang w:eastAsia="cs-CZ"/>
              </w:rPr>
            </w:pPr>
            <w:r>
              <w:rPr>
                <w:rFonts w:ascii="Arial" w:eastAsia="Times New Roman" w:hAnsi="Arial" w:cs="Arial"/>
                <w:lang w:eastAsia="cs-CZ"/>
              </w:rPr>
              <w:t>Mgr. Jan Bouška</w:t>
            </w:r>
          </w:p>
        </w:tc>
        <w:tc>
          <w:tcPr>
            <w:tcW w:w="4536" w:type="dxa"/>
            <w:shd w:val="clear" w:color="auto" w:fill="auto"/>
          </w:tcPr>
          <w:p w:rsidR="00E21269" w:rsidRPr="00E21269" w:rsidRDefault="00F66532" w:rsidP="00E21269">
            <w:pPr>
              <w:spacing w:after="0" w:line="276" w:lineRule="auto"/>
              <w:rPr>
                <w:rFonts w:ascii="Arial" w:eastAsia="Times New Roman" w:hAnsi="Arial" w:cs="Arial"/>
                <w:lang w:eastAsia="cs-CZ"/>
              </w:rPr>
            </w:pPr>
            <w:r>
              <w:rPr>
                <w:rFonts w:ascii="Arial" w:eastAsia="Times New Roman" w:hAnsi="Arial" w:cs="Arial"/>
                <w:lang w:eastAsia="cs-CZ"/>
              </w:rPr>
              <w:t>Ing.  Jiří Djakov</w:t>
            </w:r>
          </w:p>
        </w:tc>
      </w:tr>
      <w:tr w:rsidR="00E21269" w:rsidRPr="00E21269" w:rsidTr="00A55E62">
        <w:trPr>
          <w:jc w:val="center"/>
        </w:trPr>
        <w:tc>
          <w:tcPr>
            <w:tcW w:w="4536" w:type="dxa"/>
            <w:shd w:val="clear" w:color="auto" w:fill="auto"/>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místopředseda představenstva</w:t>
            </w:r>
          </w:p>
        </w:tc>
        <w:tc>
          <w:tcPr>
            <w:tcW w:w="4536" w:type="dxa"/>
            <w:shd w:val="clear" w:color="auto" w:fill="auto"/>
          </w:tcPr>
          <w:p w:rsidR="00E21269" w:rsidRPr="00E21269" w:rsidRDefault="00E21269" w:rsidP="00E21269">
            <w:pPr>
              <w:spacing w:after="0" w:line="276" w:lineRule="auto"/>
              <w:rPr>
                <w:rFonts w:ascii="Arial" w:eastAsia="Times New Roman" w:hAnsi="Arial" w:cs="Arial"/>
                <w:lang w:eastAsia="cs-CZ"/>
              </w:rPr>
            </w:pPr>
            <w:r w:rsidRPr="00E21269">
              <w:rPr>
                <w:rFonts w:ascii="Arial" w:eastAsia="Times New Roman" w:hAnsi="Arial" w:cs="Arial"/>
                <w:lang w:eastAsia="cs-CZ"/>
              </w:rPr>
              <w:t>člen představenstva</w:t>
            </w:r>
          </w:p>
        </w:tc>
      </w:tr>
    </w:tbl>
    <w:p w:rsidR="00E21269" w:rsidRPr="00E21269" w:rsidRDefault="00E21269" w:rsidP="00E21269">
      <w:pPr>
        <w:spacing w:after="0" w:line="276" w:lineRule="auto"/>
        <w:jc w:val="both"/>
        <w:rPr>
          <w:rFonts w:ascii="Arial" w:eastAsia="Times New Roman" w:hAnsi="Arial" w:cs="Arial"/>
          <w:lang w:eastAsia="cs-CZ"/>
        </w:rPr>
      </w:pPr>
    </w:p>
    <w:p w:rsidR="001E4120" w:rsidRDefault="001E4120"/>
    <w:sectPr w:rsidR="001E4120">
      <w:footerReference w:type="default" r:id="rId6"/>
      <w:pgSz w:w="11906" w:h="16838"/>
      <w:pgMar w:top="108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34F" w:rsidRDefault="00A6376F">
      <w:pPr>
        <w:spacing w:after="0" w:line="240" w:lineRule="auto"/>
      </w:pPr>
      <w:r>
        <w:separator/>
      </w:r>
    </w:p>
  </w:endnote>
  <w:endnote w:type="continuationSeparator" w:id="0">
    <w:p w:rsidR="00B6434F" w:rsidRDefault="00A6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Web">
    <w:altName w:val="Trebuchet MS"/>
    <w:charset w:val="00"/>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67E" w:rsidRDefault="00B96016">
    <w:pPr>
      <w:pStyle w:val="Zpat"/>
    </w:pPr>
    <w:r>
      <w:rPr>
        <w:noProof/>
        <w:lang w:eastAsia="cs-CZ"/>
      </w:rPr>
      <mc:AlternateContent>
        <mc:Choice Requires="wps">
          <w:drawing>
            <wp:anchor distT="0" distB="0" distL="114300" distR="114300" simplePos="0" relativeHeight="251659264" behindDoc="0" locked="0" layoutInCell="1" allowOverlap="1" wp14:anchorId="2F5EC83D" wp14:editId="6234991C">
              <wp:simplePos x="0" y="0"/>
              <wp:positionH relativeFrom="page">
                <wp:posOffset>6827520</wp:posOffset>
              </wp:positionH>
              <wp:positionV relativeFrom="page">
                <wp:posOffset>10210165</wp:posOffset>
              </wp:positionV>
              <wp:extent cx="565785" cy="191770"/>
              <wp:effectExtent l="0" t="0" r="0" b="0"/>
              <wp:wrapNone/>
              <wp:docPr id="650" name="Obdélní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3367E" w:rsidRPr="007A501C" w:rsidRDefault="00B96016" w:rsidP="007A501C">
                          <w:pPr>
                            <w:pBdr>
                              <w:top w:val="single" w:sz="4" w:space="1" w:color="7F7F7F"/>
                            </w:pBdr>
                            <w:jc w:val="center"/>
                            <w:rPr>
                              <w:color w:val="C0504D"/>
                            </w:rPr>
                          </w:pPr>
                          <w:r w:rsidRPr="007A501C">
                            <w:fldChar w:fldCharType="begin"/>
                          </w:r>
                          <w:r>
                            <w:instrText>PAGE   \* MERGEFORMAT</w:instrText>
                          </w:r>
                          <w:r w:rsidRPr="007A501C">
                            <w:fldChar w:fldCharType="separate"/>
                          </w:r>
                          <w:r w:rsidRPr="007A1118">
                            <w:rPr>
                              <w:noProof/>
                              <w:color w:val="C0504D"/>
                            </w:rPr>
                            <w:t>4</w:t>
                          </w:r>
                          <w:r w:rsidRPr="007A501C">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5EC83D" id="Obdélník 650" o:spid="_x0000_s1026" style="position:absolute;margin-left:537.6pt;margin-top:803.9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gq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" filled="f" fillcolor="#c0504d" stroked="f" strokecolor="#5c83b4" strokeweight="2.25pt">
              <v:textbox inset=",0,,0">
                <w:txbxContent>
                  <w:p w:rsidR="0043367E" w:rsidRPr="007A501C" w:rsidRDefault="00B96016" w:rsidP="007A501C">
                    <w:pPr>
                      <w:pBdr>
                        <w:top w:val="single" w:sz="4" w:space="1" w:color="7F7F7F"/>
                      </w:pBdr>
                      <w:jc w:val="center"/>
                      <w:rPr>
                        <w:color w:val="C0504D"/>
                      </w:rPr>
                    </w:pPr>
                    <w:r w:rsidRPr="007A501C">
                      <w:fldChar w:fldCharType="begin"/>
                    </w:r>
                    <w:r>
                      <w:instrText>PAGE   \* MERGEFORMAT</w:instrText>
                    </w:r>
                    <w:r w:rsidRPr="007A501C">
                      <w:fldChar w:fldCharType="separate"/>
                    </w:r>
                    <w:r w:rsidRPr="007A1118">
                      <w:rPr>
                        <w:noProof/>
                        <w:color w:val="C0504D"/>
                      </w:rPr>
                      <w:t>4</w:t>
                    </w:r>
                    <w:r w:rsidRPr="007A501C">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34F" w:rsidRDefault="00A6376F">
      <w:pPr>
        <w:spacing w:after="0" w:line="240" w:lineRule="auto"/>
      </w:pPr>
      <w:r>
        <w:separator/>
      </w:r>
    </w:p>
  </w:footnote>
  <w:footnote w:type="continuationSeparator" w:id="0">
    <w:p w:rsidR="00B6434F" w:rsidRDefault="00A63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69"/>
    <w:rsid w:val="001815B3"/>
    <w:rsid w:val="001E4120"/>
    <w:rsid w:val="00205DF5"/>
    <w:rsid w:val="00236D5C"/>
    <w:rsid w:val="003B4C68"/>
    <w:rsid w:val="004F2EDB"/>
    <w:rsid w:val="00A1307D"/>
    <w:rsid w:val="00A6376F"/>
    <w:rsid w:val="00B03DED"/>
    <w:rsid w:val="00B6434F"/>
    <w:rsid w:val="00B96016"/>
    <w:rsid w:val="00C37B87"/>
    <w:rsid w:val="00E21269"/>
    <w:rsid w:val="00F66532"/>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6A99"/>
  <w15:chartTrackingRefBased/>
  <w15:docId w15:val="{D402B643-6516-4525-80A4-4B73B6DF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E2126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2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1097</Words>
  <Characters>6475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Švarcová</dc:creator>
  <cp:keywords/>
  <dc:description/>
  <cp:lastModifiedBy>Vladimir Zeman</cp:lastModifiedBy>
  <cp:revision>3</cp:revision>
  <dcterms:created xsi:type="dcterms:W3CDTF">2019-07-31T11:39:00Z</dcterms:created>
  <dcterms:modified xsi:type="dcterms:W3CDTF">2019-08-28T13:43:00Z</dcterms:modified>
</cp:coreProperties>
</file>