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 xml:space="preserve">Ing. Eva </w:t>
      </w:r>
      <w:proofErr w:type="spellStart"/>
      <w:r w:rsidRPr="001D58B7">
        <w:rPr>
          <w:rFonts w:ascii="Arial" w:hAnsi="Arial" w:cs="Arial"/>
          <w:color w:val="000000"/>
          <w:sz w:val="22"/>
          <w:szCs w:val="22"/>
        </w:rPr>
        <w:t>Schmidtmajerová</w:t>
      </w:r>
      <w:proofErr w:type="spellEnd"/>
      <w:r w:rsidRPr="001D58B7">
        <w:rPr>
          <w:rFonts w:ascii="Arial" w:hAnsi="Arial" w:cs="Arial"/>
          <w:color w:val="000000"/>
          <w:sz w:val="22"/>
          <w:szCs w:val="22"/>
        </w:rPr>
        <w:t>, CSc., ředitelka Krajského pozemkového úřadu pro Jihočeský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Rudolfovská 80, 37001 České Budějovice</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1001951905</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442BF3" w:rsidRDefault="00F40520">
      <w:pPr>
        <w:widowControl/>
        <w:rPr>
          <w:rFonts w:ascii="Arial" w:hAnsi="Arial" w:cs="Arial"/>
          <w:color w:val="000000"/>
          <w:sz w:val="22"/>
          <w:szCs w:val="22"/>
        </w:rPr>
      </w:pPr>
      <w:proofErr w:type="spellStart"/>
      <w:r w:rsidRPr="001D58B7">
        <w:rPr>
          <w:rFonts w:ascii="Arial" w:hAnsi="Arial" w:cs="Arial"/>
          <w:b/>
          <w:color w:val="000000"/>
          <w:sz w:val="22"/>
          <w:szCs w:val="22"/>
        </w:rPr>
        <w:t>Herbenová</w:t>
      </w:r>
      <w:proofErr w:type="spellEnd"/>
      <w:r w:rsidRPr="001D58B7">
        <w:rPr>
          <w:rFonts w:ascii="Arial" w:hAnsi="Arial" w:cs="Arial"/>
          <w:b/>
          <w:color w:val="000000"/>
          <w:sz w:val="22"/>
          <w:szCs w:val="22"/>
        </w:rPr>
        <w:t xml:space="preserve"> Alena PhDr.</w:t>
      </w:r>
      <w:r w:rsidRPr="001D58B7">
        <w:rPr>
          <w:rFonts w:ascii="Arial" w:hAnsi="Arial" w:cs="Arial"/>
          <w:color w:val="000000"/>
          <w:sz w:val="22"/>
          <w:szCs w:val="22"/>
        </w:rPr>
        <w:t xml:space="preserve">, </w:t>
      </w:r>
      <w:proofErr w:type="spellStart"/>
      <w:r w:rsidRPr="001D58B7">
        <w:rPr>
          <w:rFonts w:ascii="Arial" w:hAnsi="Arial" w:cs="Arial"/>
          <w:color w:val="000000"/>
          <w:sz w:val="22"/>
          <w:szCs w:val="22"/>
        </w:rPr>
        <w:t>r.č</w:t>
      </w:r>
      <w:proofErr w:type="spellEnd"/>
      <w:r w:rsidRPr="001D58B7">
        <w:rPr>
          <w:rFonts w:ascii="Arial" w:hAnsi="Arial" w:cs="Arial"/>
          <w:color w:val="000000"/>
          <w:sz w:val="22"/>
          <w:szCs w:val="22"/>
        </w:rPr>
        <w:t>. 47</w:t>
      </w:r>
      <w:r w:rsidR="001611F4">
        <w:rPr>
          <w:rFonts w:ascii="Arial" w:hAnsi="Arial" w:cs="Arial"/>
          <w:color w:val="000000"/>
          <w:sz w:val="22"/>
          <w:szCs w:val="22"/>
        </w:rPr>
        <w:t>XXXXXXXX</w:t>
      </w:r>
      <w:r w:rsidRPr="001D58B7">
        <w:rPr>
          <w:rFonts w:ascii="Arial" w:hAnsi="Arial" w:cs="Arial"/>
          <w:color w:val="000000"/>
          <w:sz w:val="22"/>
          <w:szCs w:val="22"/>
        </w:rPr>
        <w:t xml:space="preserve">, trvale bytem </w:t>
      </w:r>
      <w:r w:rsidR="001611F4">
        <w:rPr>
          <w:rFonts w:ascii="Arial" w:hAnsi="Arial" w:cs="Arial"/>
          <w:color w:val="000000"/>
          <w:sz w:val="22"/>
          <w:szCs w:val="22"/>
        </w:rPr>
        <w:t>XXXXXXXXX</w:t>
      </w:r>
      <w:r w:rsidRPr="001D58B7">
        <w:rPr>
          <w:rFonts w:ascii="Arial" w:hAnsi="Arial" w:cs="Arial"/>
          <w:color w:val="000000"/>
          <w:sz w:val="22"/>
          <w:szCs w:val="22"/>
        </w:rPr>
        <w:t xml:space="preserve">, Praha 6, </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PSČ 16900</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 xml:space="preserve"> </w:t>
      </w: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1001951905</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Jihočeský kraj se sídlem v Českých Budějovicích, Katastrální pracoviště České </w:t>
      </w:r>
      <w:proofErr w:type="gramStart"/>
      <w:r w:rsidR="00F40520" w:rsidRPr="001D58B7">
        <w:rPr>
          <w:rFonts w:ascii="Arial" w:hAnsi="Arial" w:cs="Arial"/>
          <w:sz w:val="22"/>
          <w:szCs w:val="22"/>
        </w:rPr>
        <w:t>Budějovice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Hrady</w:t>
      </w:r>
      <w:r w:rsidRPr="001D58B7">
        <w:rPr>
          <w:rFonts w:ascii="Arial" w:hAnsi="Arial" w:cs="Arial"/>
          <w:sz w:val="18"/>
          <w:szCs w:val="18"/>
        </w:rPr>
        <w:tab/>
      </w:r>
      <w:proofErr w:type="spellStart"/>
      <w:r w:rsidRPr="001D58B7">
        <w:rPr>
          <w:rFonts w:ascii="Arial" w:hAnsi="Arial" w:cs="Arial"/>
          <w:sz w:val="18"/>
          <w:szCs w:val="18"/>
        </w:rPr>
        <w:t>Štiptoň</w:t>
      </w:r>
      <w:proofErr w:type="spellEnd"/>
      <w:r w:rsidRPr="001D58B7">
        <w:rPr>
          <w:rFonts w:ascii="Arial" w:hAnsi="Arial" w:cs="Arial"/>
          <w:sz w:val="18"/>
          <w:szCs w:val="18"/>
        </w:rPr>
        <w:tab/>
        <w:t>328/3</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Hrady</w:t>
      </w:r>
      <w:r w:rsidRPr="001D58B7">
        <w:rPr>
          <w:rFonts w:ascii="Arial" w:hAnsi="Arial" w:cs="Arial"/>
          <w:sz w:val="18"/>
          <w:szCs w:val="18"/>
        </w:rPr>
        <w:tab/>
      </w:r>
      <w:proofErr w:type="spellStart"/>
      <w:r w:rsidRPr="001D58B7">
        <w:rPr>
          <w:rFonts w:ascii="Arial" w:hAnsi="Arial" w:cs="Arial"/>
          <w:sz w:val="18"/>
          <w:szCs w:val="18"/>
        </w:rPr>
        <w:t>Štiptoň</w:t>
      </w:r>
      <w:proofErr w:type="spellEnd"/>
      <w:r w:rsidRPr="001D58B7">
        <w:rPr>
          <w:rFonts w:ascii="Arial" w:hAnsi="Arial" w:cs="Arial"/>
          <w:sz w:val="18"/>
          <w:szCs w:val="18"/>
        </w:rPr>
        <w:tab/>
        <w:t>332</w:t>
      </w:r>
      <w:r w:rsidRPr="001D58B7">
        <w:rPr>
          <w:rFonts w:ascii="Arial" w:hAnsi="Arial" w:cs="Arial"/>
          <w:sz w:val="18"/>
          <w:szCs w:val="18"/>
        </w:rPr>
        <w:tab/>
        <w:t>vodní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Tato smlouva se uzavírá podle</w:t>
      </w:r>
      <w:r w:rsidR="00442BF3">
        <w:rPr>
          <w:rFonts w:ascii="Arial" w:hAnsi="Arial" w:cs="Arial"/>
          <w:sz w:val="22"/>
          <w:szCs w:val="22"/>
        </w:rPr>
        <w:t xml:space="preserve"> §10 odst. 5 </w:t>
      </w:r>
      <w:r w:rsidRPr="001D58B7">
        <w:rPr>
          <w:rFonts w:ascii="Arial" w:hAnsi="Arial" w:cs="Arial"/>
          <w:sz w:val="22"/>
          <w:szCs w:val="22"/>
        </w:rPr>
        <w:t xml:space="preserve">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5F41E0" w:rsidRPr="00FC15C4" w:rsidRDefault="005F41E0" w:rsidP="005F41E0">
      <w:pPr>
        <w:widowControl/>
        <w:tabs>
          <w:tab w:val="left" w:pos="426"/>
        </w:tabs>
        <w:rPr>
          <w:rFonts w:ascii="Arial" w:eastAsiaTheme="minorEastAsia" w:hAnsi="Arial" w:cs="Arial"/>
          <w:sz w:val="22"/>
          <w:szCs w:val="22"/>
        </w:rPr>
      </w:pPr>
      <w:r w:rsidRPr="00FC15C4">
        <w:rPr>
          <w:rFonts w:ascii="Arial" w:eastAsiaTheme="minorEastAsia" w:hAnsi="Arial" w:cs="Arial"/>
          <w:sz w:val="22"/>
          <w:szCs w:val="22"/>
        </w:rPr>
        <w:tab/>
        <w:t xml:space="preserve">1) Kupní cena prodávaných pozemků byla stanovena a je hrazena takto: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697"/>
        <w:gridCol w:w="1701"/>
        <w:gridCol w:w="1701"/>
      </w:tblGrid>
      <w:tr w:rsidR="005F41E0" w:rsidRPr="00FC15C4" w:rsidTr="00541D73">
        <w:tc>
          <w:tcPr>
            <w:tcW w:w="3402" w:type="dxa"/>
          </w:tcPr>
          <w:p w:rsidR="005F41E0" w:rsidRPr="00FC15C4" w:rsidRDefault="005F41E0" w:rsidP="00541D73">
            <w:pPr>
              <w:widowControl/>
              <w:jc w:val="center"/>
              <w:rPr>
                <w:rFonts w:ascii="Arial" w:eastAsiaTheme="minorEastAsia" w:hAnsi="Arial" w:cs="Arial"/>
                <w:sz w:val="18"/>
                <w:szCs w:val="18"/>
              </w:rPr>
            </w:pPr>
          </w:p>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Katastrální</w:t>
            </w:r>
          </w:p>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území</w:t>
            </w:r>
          </w:p>
        </w:tc>
        <w:tc>
          <w:tcPr>
            <w:tcW w:w="1134" w:type="dxa"/>
          </w:tcPr>
          <w:p w:rsidR="005F41E0" w:rsidRPr="00FC15C4" w:rsidRDefault="005F41E0" w:rsidP="00541D73">
            <w:pPr>
              <w:widowControl/>
              <w:jc w:val="center"/>
              <w:rPr>
                <w:rFonts w:ascii="Arial" w:eastAsiaTheme="minorEastAsia" w:hAnsi="Arial" w:cs="Arial"/>
                <w:sz w:val="18"/>
                <w:szCs w:val="18"/>
              </w:rPr>
            </w:pPr>
          </w:p>
          <w:p w:rsidR="005F41E0" w:rsidRPr="00FC15C4" w:rsidRDefault="005F41E0" w:rsidP="00541D73">
            <w:pPr>
              <w:widowControl/>
              <w:jc w:val="center"/>
              <w:rPr>
                <w:rFonts w:ascii="Arial" w:eastAsiaTheme="minorEastAsia" w:hAnsi="Arial" w:cs="Arial"/>
                <w:sz w:val="18"/>
                <w:szCs w:val="18"/>
              </w:rPr>
            </w:pPr>
            <w:proofErr w:type="spellStart"/>
            <w:r w:rsidRPr="00FC15C4">
              <w:rPr>
                <w:rFonts w:ascii="Arial" w:eastAsiaTheme="minorEastAsia" w:hAnsi="Arial" w:cs="Arial"/>
                <w:sz w:val="18"/>
                <w:szCs w:val="18"/>
              </w:rPr>
              <w:t>Parc.č</w:t>
            </w:r>
            <w:proofErr w:type="spellEnd"/>
            <w:r w:rsidRPr="00FC15C4">
              <w:rPr>
                <w:rFonts w:ascii="Arial" w:eastAsiaTheme="minorEastAsia" w:hAnsi="Arial" w:cs="Arial"/>
                <w:sz w:val="18"/>
                <w:szCs w:val="18"/>
              </w:rPr>
              <w:t>.</w:t>
            </w:r>
          </w:p>
        </w:tc>
        <w:tc>
          <w:tcPr>
            <w:tcW w:w="1697" w:type="dxa"/>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Kupní cena</w:t>
            </w:r>
          </w:p>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v Kč</w:t>
            </w:r>
          </w:p>
          <w:p w:rsidR="005F41E0" w:rsidRPr="00FC15C4" w:rsidRDefault="005F41E0" w:rsidP="00541D73">
            <w:pPr>
              <w:widowControl/>
              <w:jc w:val="center"/>
              <w:rPr>
                <w:rFonts w:ascii="Arial" w:eastAsiaTheme="minorEastAsia" w:hAnsi="Arial" w:cs="Arial"/>
                <w:sz w:val="18"/>
                <w:szCs w:val="18"/>
              </w:rPr>
            </w:pPr>
          </w:p>
        </w:tc>
        <w:tc>
          <w:tcPr>
            <w:tcW w:w="1701" w:type="dxa"/>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Před podpisem zaplaceno na úhradu kupní ceny v Kč</w:t>
            </w:r>
          </w:p>
        </w:tc>
        <w:tc>
          <w:tcPr>
            <w:tcW w:w="1701" w:type="dxa"/>
          </w:tcPr>
          <w:p w:rsidR="005F41E0" w:rsidRPr="00FC15C4" w:rsidRDefault="005F41E0" w:rsidP="00541D73">
            <w:pPr>
              <w:widowControl/>
              <w:rPr>
                <w:rFonts w:ascii="Arial" w:eastAsiaTheme="minorEastAsia" w:hAnsi="Arial" w:cs="Arial"/>
                <w:sz w:val="18"/>
                <w:szCs w:val="18"/>
              </w:rPr>
            </w:pPr>
          </w:p>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Zbývá uhradit</w:t>
            </w:r>
          </w:p>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v Kč</w:t>
            </w:r>
          </w:p>
        </w:tc>
      </w:tr>
      <w:tr w:rsidR="005F41E0" w:rsidRPr="00FC15C4" w:rsidTr="00541D73">
        <w:tc>
          <w:tcPr>
            <w:tcW w:w="3402" w:type="dxa"/>
          </w:tcPr>
          <w:p w:rsidR="005F41E0" w:rsidRPr="00FC15C4"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proofErr w:type="spellStart"/>
            <w:r w:rsidRPr="00FC15C4">
              <w:rPr>
                <w:rFonts w:ascii="Arial" w:eastAsiaTheme="minorEastAsia" w:hAnsi="Arial" w:cs="Arial"/>
                <w:sz w:val="18"/>
                <w:szCs w:val="18"/>
              </w:rPr>
              <w:t>Štiptoň</w:t>
            </w:r>
            <w:proofErr w:type="spellEnd"/>
          </w:p>
        </w:tc>
        <w:tc>
          <w:tcPr>
            <w:tcW w:w="1134" w:type="dxa"/>
          </w:tcPr>
          <w:p w:rsidR="005F41E0" w:rsidRPr="00FC15C4"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FC15C4">
              <w:rPr>
                <w:rFonts w:ascii="Arial" w:eastAsiaTheme="minorEastAsia" w:hAnsi="Arial" w:cs="Arial"/>
                <w:sz w:val="18"/>
                <w:szCs w:val="18"/>
              </w:rPr>
              <w:t>328/3</w:t>
            </w:r>
          </w:p>
        </w:tc>
        <w:tc>
          <w:tcPr>
            <w:tcW w:w="1697" w:type="dxa"/>
          </w:tcPr>
          <w:p w:rsidR="005F41E0" w:rsidRPr="00FC15C4"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FC15C4">
              <w:rPr>
                <w:rFonts w:ascii="Arial" w:eastAsiaTheme="minorEastAsia" w:hAnsi="Arial" w:cs="Arial"/>
                <w:sz w:val="18"/>
                <w:szCs w:val="18"/>
              </w:rPr>
              <w:t>188 350,00 Kč</w:t>
            </w:r>
          </w:p>
        </w:tc>
        <w:tc>
          <w:tcPr>
            <w:tcW w:w="1701" w:type="dxa"/>
          </w:tcPr>
          <w:p w:rsidR="005F41E0" w:rsidRPr="00FC15C4"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FC15C4">
              <w:rPr>
                <w:rFonts w:ascii="Arial" w:eastAsiaTheme="minorEastAsia" w:hAnsi="Arial" w:cs="Arial"/>
                <w:sz w:val="18"/>
                <w:szCs w:val="18"/>
              </w:rPr>
              <w:t>86 000,00 Kč</w:t>
            </w:r>
          </w:p>
        </w:tc>
        <w:tc>
          <w:tcPr>
            <w:tcW w:w="1701" w:type="dxa"/>
          </w:tcPr>
          <w:p w:rsidR="005F41E0" w:rsidRPr="00FC15C4"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FC15C4">
              <w:rPr>
                <w:rFonts w:ascii="Arial" w:eastAsiaTheme="minorEastAsia" w:hAnsi="Arial" w:cs="Arial"/>
                <w:sz w:val="18"/>
                <w:szCs w:val="18"/>
              </w:rPr>
              <w:t>102 350,00 Kč</w:t>
            </w:r>
          </w:p>
        </w:tc>
      </w:tr>
      <w:tr w:rsidR="005F41E0" w:rsidRPr="00FC15C4" w:rsidTr="00541D73">
        <w:tc>
          <w:tcPr>
            <w:tcW w:w="3402" w:type="dxa"/>
          </w:tcPr>
          <w:p w:rsidR="005F41E0" w:rsidRPr="00FC15C4" w:rsidRDefault="005F41E0">
            <w:pPr>
              <w:widowControl/>
              <w:jc w:val="center"/>
              <w:rPr>
                <w:rFonts w:ascii="Arial" w:eastAsiaTheme="minorEastAsia" w:hAnsi="Arial" w:cs="Arial"/>
                <w:sz w:val="18"/>
                <w:szCs w:val="18"/>
              </w:rPr>
            </w:pPr>
            <w:proofErr w:type="spellStart"/>
            <w:r w:rsidRPr="00FC15C4">
              <w:rPr>
                <w:rFonts w:ascii="Arial" w:eastAsiaTheme="minorEastAsia" w:hAnsi="Arial" w:cs="Arial"/>
                <w:sz w:val="18"/>
                <w:szCs w:val="18"/>
              </w:rPr>
              <w:t>Štiptoň</w:t>
            </w:r>
            <w:proofErr w:type="spellEnd"/>
          </w:p>
        </w:tc>
        <w:tc>
          <w:tcPr>
            <w:tcW w:w="1134" w:type="dxa"/>
          </w:tcPr>
          <w:p w:rsidR="005F41E0" w:rsidRPr="00FC15C4" w:rsidRDefault="005F41E0">
            <w:pPr>
              <w:widowControl/>
              <w:jc w:val="center"/>
              <w:rPr>
                <w:rFonts w:ascii="Arial" w:eastAsiaTheme="minorEastAsia" w:hAnsi="Arial" w:cs="Arial"/>
                <w:sz w:val="18"/>
                <w:szCs w:val="18"/>
              </w:rPr>
            </w:pPr>
            <w:r w:rsidRPr="00FC15C4">
              <w:rPr>
                <w:rFonts w:ascii="Arial" w:eastAsiaTheme="minorEastAsia" w:hAnsi="Arial" w:cs="Arial"/>
                <w:sz w:val="18"/>
                <w:szCs w:val="18"/>
              </w:rPr>
              <w:t>332</w:t>
            </w:r>
          </w:p>
        </w:tc>
        <w:tc>
          <w:tcPr>
            <w:tcW w:w="1697" w:type="dxa"/>
          </w:tcPr>
          <w:p w:rsidR="005F41E0" w:rsidRPr="00FC15C4" w:rsidRDefault="005F41E0">
            <w:pPr>
              <w:widowControl/>
              <w:jc w:val="center"/>
              <w:rPr>
                <w:rFonts w:ascii="Arial" w:eastAsiaTheme="minorEastAsia" w:hAnsi="Arial" w:cs="Arial"/>
                <w:sz w:val="18"/>
                <w:szCs w:val="18"/>
              </w:rPr>
            </w:pPr>
            <w:r w:rsidRPr="00FC15C4">
              <w:rPr>
                <w:rFonts w:ascii="Arial" w:eastAsiaTheme="minorEastAsia" w:hAnsi="Arial" w:cs="Arial"/>
                <w:sz w:val="18"/>
                <w:szCs w:val="18"/>
              </w:rPr>
              <w:t>29 090,00 Kč</w:t>
            </w:r>
          </w:p>
        </w:tc>
        <w:tc>
          <w:tcPr>
            <w:tcW w:w="1701" w:type="dxa"/>
          </w:tcPr>
          <w:p w:rsidR="005F41E0" w:rsidRPr="00FC15C4" w:rsidRDefault="005F41E0">
            <w:pPr>
              <w:widowControl/>
              <w:jc w:val="center"/>
              <w:rPr>
                <w:rFonts w:ascii="Arial" w:eastAsiaTheme="minorEastAsia" w:hAnsi="Arial" w:cs="Arial"/>
                <w:sz w:val="18"/>
                <w:szCs w:val="18"/>
              </w:rPr>
            </w:pPr>
            <w:r w:rsidRPr="00FC15C4">
              <w:rPr>
                <w:rFonts w:ascii="Arial" w:eastAsiaTheme="minorEastAsia" w:hAnsi="Arial" w:cs="Arial"/>
                <w:sz w:val="18"/>
                <w:szCs w:val="18"/>
              </w:rPr>
              <w:t>14 000,00 Kč</w:t>
            </w:r>
          </w:p>
        </w:tc>
        <w:tc>
          <w:tcPr>
            <w:tcW w:w="1701" w:type="dxa"/>
          </w:tcPr>
          <w:p w:rsidR="005F41E0" w:rsidRPr="00FC15C4" w:rsidRDefault="005F41E0">
            <w:pPr>
              <w:widowControl/>
              <w:jc w:val="center"/>
              <w:rPr>
                <w:rFonts w:ascii="Arial" w:eastAsiaTheme="minorEastAsia" w:hAnsi="Arial" w:cs="Arial"/>
                <w:sz w:val="18"/>
                <w:szCs w:val="18"/>
              </w:rPr>
            </w:pPr>
            <w:r w:rsidRPr="00FC15C4">
              <w:rPr>
                <w:rFonts w:ascii="Arial" w:eastAsiaTheme="minorEastAsia" w:hAnsi="Arial" w:cs="Arial"/>
                <w:sz w:val="18"/>
                <w:szCs w:val="18"/>
              </w:rPr>
              <w:t>15 090,00 Kč</w:t>
            </w:r>
          </w:p>
        </w:tc>
      </w:tr>
    </w:tbl>
    <w:p w:rsidR="005F41E0" w:rsidRPr="00FC15C4" w:rsidRDefault="005F41E0">
      <w:pPr>
        <w:widowControl/>
        <w:rPr>
          <w:rFonts w:ascii="Arial" w:eastAsiaTheme="minorEastAsia" w:hAnsi="Arial" w:cs="Arial"/>
          <w:sz w:val="18"/>
          <w:szCs w:val="18"/>
        </w:rPr>
      </w:pPr>
    </w:p>
    <w:tbl>
      <w:tblPr>
        <w:tblW w:w="0" w:type="auto"/>
        <w:tblLayout w:type="fixed"/>
        <w:tblLook w:val="0000" w:firstRow="0" w:lastRow="0" w:firstColumn="0" w:lastColumn="0" w:noHBand="0" w:noVBand="0"/>
      </w:tblPr>
      <w:tblGrid>
        <w:gridCol w:w="4536"/>
        <w:gridCol w:w="1705"/>
        <w:gridCol w:w="1701"/>
        <w:gridCol w:w="1701"/>
      </w:tblGrid>
      <w:tr w:rsidR="005F41E0" w:rsidRPr="00FC15C4" w:rsidTr="00541D73">
        <w:tc>
          <w:tcPr>
            <w:tcW w:w="4536" w:type="dxa"/>
            <w:tcBorders>
              <w:top w:val="single" w:sz="6" w:space="0" w:color="auto"/>
              <w:left w:val="single" w:sz="6" w:space="0" w:color="auto"/>
              <w:bottom w:val="single" w:sz="6" w:space="0" w:color="auto"/>
              <w:right w:val="single" w:sz="6" w:space="0" w:color="auto"/>
            </w:tcBorders>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Celkem</w:t>
            </w:r>
          </w:p>
        </w:tc>
        <w:tc>
          <w:tcPr>
            <w:tcW w:w="1705" w:type="dxa"/>
            <w:tcBorders>
              <w:top w:val="single" w:sz="6" w:space="0" w:color="auto"/>
              <w:left w:val="single" w:sz="6" w:space="0" w:color="auto"/>
              <w:bottom w:val="single" w:sz="6" w:space="0" w:color="auto"/>
              <w:right w:val="single" w:sz="6" w:space="0" w:color="auto"/>
            </w:tcBorders>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217 440,00 Kč</w:t>
            </w:r>
          </w:p>
        </w:tc>
        <w:tc>
          <w:tcPr>
            <w:tcW w:w="1701" w:type="dxa"/>
            <w:tcBorders>
              <w:top w:val="single" w:sz="6" w:space="0" w:color="auto"/>
              <w:left w:val="single" w:sz="6" w:space="0" w:color="auto"/>
              <w:bottom w:val="single" w:sz="6" w:space="0" w:color="auto"/>
              <w:right w:val="single" w:sz="6" w:space="0" w:color="auto"/>
            </w:tcBorders>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100 000,00 Kč</w:t>
            </w:r>
          </w:p>
        </w:tc>
        <w:tc>
          <w:tcPr>
            <w:tcW w:w="1701" w:type="dxa"/>
            <w:tcBorders>
              <w:top w:val="single" w:sz="6" w:space="0" w:color="auto"/>
              <w:left w:val="single" w:sz="6" w:space="0" w:color="auto"/>
              <w:bottom w:val="single" w:sz="6" w:space="0" w:color="auto"/>
              <w:right w:val="single" w:sz="6" w:space="0" w:color="auto"/>
            </w:tcBorders>
          </w:tcPr>
          <w:p w:rsidR="005F41E0" w:rsidRPr="00FC15C4" w:rsidRDefault="005F41E0" w:rsidP="00541D73">
            <w:pPr>
              <w:widowControl/>
              <w:jc w:val="center"/>
              <w:rPr>
                <w:rFonts w:ascii="Arial" w:eastAsiaTheme="minorEastAsia" w:hAnsi="Arial" w:cs="Arial"/>
                <w:sz w:val="18"/>
                <w:szCs w:val="18"/>
              </w:rPr>
            </w:pPr>
            <w:r w:rsidRPr="00FC15C4">
              <w:rPr>
                <w:rFonts w:ascii="Arial" w:eastAsiaTheme="minorEastAsia" w:hAnsi="Arial" w:cs="Arial"/>
                <w:sz w:val="18"/>
                <w:szCs w:val="18"/>
              </w:rPr>
              <w:t>117 440,00 Kč</w:t>
            </w:r>
          </w:p>
        </w:tc>
      </w:tr>
    </w:tbl>
    <w:p w:rsidR="002A76A6" w:rsidRPr="00FC15C4" w:rsidRDefault="005F41E0">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lastRenderedPageBreak/>
        <w:tab/>
        <w:t>2) Část kupní ceny ve výši 100 000,00 Kč (slovy: jedno sto tisíc korun českých) kupující zaplatili prodávajícímu před podpisem této smlouvy.</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t xml:space="preserve">3) Zbývající část kupní ceny ve výši 117 440,00 Kč (slovy: jedno sto sedmnáct tisíc čtyři sta čtyřicet korun českých) se při splácení </w:t>
      </w:r>
      <w:r w:rsidR="003735DD" w:rsidRPr="00FC15C4">
        <w:rPr>
          <w:rFonts w:ascii="Arial" w:eastAsiaTheme="minorEastAsia" w:hAnsi="Arial" w:cs="Arial"/>
          <w:sz w:val="22"/>
          <w:szCs w:val="22"/>
        </w:rPr>
        <w:t xml:space="preserve">nejpozději </w:t>
      </w:r>
      <w:r w:rsidR="0089445A" w:rsidRPr="00FC15C4">
        <w:rPr>
          <w:rFonts w:ascii="Arial" w:eastAsiaTheme="minorEastAsia" w:hAnsi="Arial" w:cs="Arial"/>
          <w:sz w:val="22"/>
          <w:szCs w:val="22"/>
        </w:rPr>
        <w:t xml:space="preserve">do </w:t>
      </w:r>
      <w:r w:rsidR="002F37FB" w:rsidRPr="00FC15C4">
        <w:rPr>
          <w:rFonts w:ascii="Arial" w:eastAsiaTheme="minorEastAsia" w:hAnsi="Arial" w:cs="Arial"/>
          <w:sz w:val="22"/>
          <w:szCs w:val="22"/>
        </w:rPr>
        <w:t xml:space="preserve">10 let ode dne účinnosti této smlouvy, která v souladu s ustanovením </w:t>
      </w:r>
      <w:r w:rsidR="00330321" w:rsidRPr="00FC15C4">
        <w:rPr>
          <w:rFonts w:ascii="Arial" w:eastAsiaTheme="minorEastAsia" w:hAnsi="Arial" w:cs="Arial"/>
          <w:sz w:val="22"/>
          <w:szCs w:val="22"/>
        </w:rPr>
        <w:t xml:space="preserve">zákona č. 340/2015 </w:t>
      </w:r>
      <w:proofErr w:type="spellStart"/>
      <w:r w:rsidR="00330321" w:rsidRPr="00FC15C4">
        <w:rPr>
          <w:rFonts w:ascii="Arial" w:eastAsiaTheme="minorEastAsia" w:hAnsi="Arial" w:cs="Arial"/>
          <w:sz w:val="22"/>
          <w:szCs w:val="22"/>
        </w:rPr>
        <w:t>Sb.,</w:t>
      </w:r>
      <w:r w:rsidR="002F37FB" w:rsidRPr="00FC15C4">
        <w:rPr>
          <w:rFonts w:ascii="Arial" w:eastAsiaTheme="minorEastAsia" w:hAnsi="Arial" w:cs="Arial"/>
          <w:sz w:val="22"/>
          <w:szCs w:val="22"/>
        </w:rPr>
        <w:t>o</w:t>
      </w:r>
      <w:proofErr w:type="spellEnd"/>
      <w:r w:rsidR="002F37FB" w:rsidRPr="00FC15C4">
        <w:rPr>
          <w:rFonts w:ascii="Arial" w:eastAsiaTheme="minorEastAsia"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FC15C4">
        <w:rPr>
          <w:rFonts w:ascii="Arial" w:eastAsiaTheme="minorEastAsia" w:hAnsi="Arial" w:cs="Arial"/>
          <w:sz w:val="22"/>
          <w:szCs w:val="22"/>
        </w:rPr>
        <w:t xml:space="preserve"> navyšuje o úrok </w:t>
      </w:r>
      <w:r w:rsidR="005B0AB7" w:rsidRPr="00FC15C4">
        <w:rPr>
          <w:rFonts w:ascii="Arial" w:eastAsiaTheme="minorEastAsia" w:hAnsi="Arial" w:cs="Arial"/>
          <w:sz w:val="22"/>
          <w:szCs w:val="22"/>
        </w:rPr>
        <w:t>ve výši 6,27 % </w:t>
      </w:r>
      <w:proofErr w:type="spellStart"/>
      <w:r w:rsidR="005B0AB7" w:rsidRPr="00FC15C4">
        <w:rPr>
          <w:rFonts w:ascii="Arial" w:eastAsiaTheme="minorEastAsia" w:hAnsi="Arial" w:cs="Arial"/>
          <w:sz w:val="22"/>
          <w:szCs w:val="22"/>
        </w:rPr>
        <w:t>p.a</w:t>
      </w:r>
      <w:proofErr w:type="spellEnd"/>
      <w:r w:rsidR="005B0AB7" w:rsidRPr="00FC15C4">
        <w:rPr>
          <w:rFonts w:ascii="Arial" w:eastAsiaTheme="minorEastAsia" w:hAnsi="Arial" w:cs="Arial"/>
          <w:sz w:val="22"/>
          <w:szCs w:val="22"/>
        </w:rPr>
        <w:t xml:space="preserve">. </w:t>
      </w:r>
      <w:r w:rsidRPr="00FC15C4">
        <w:rPr>
          <w:rFonts w:ascii="Arial" w:eastAsiaTheme="minorEastAsia" w:hAnsi="Arial" w:cs="Arial"/>
          <w:sz w:val="22"/>
          <w:szCs w:val="22"/>
        </w:rPr>
        <w:t xml:space="preserve">vypočtený </w:t>
      </w:r>
      <w:r w:rsidR="003735DD" w:rsidRPr="00FC15C4">
        <w:rPr>
          <w:rFonts w:ascii="Arial" w:eastAsiaTheme="minorEastAsia" w:hAnsi="Arial" w:cs="Arial"/>
          <w:sz w:val="22"/>
          <w:szCs w:val="22"/>
        </w:rPr>
        <w:t>v souladu s právem Evropské unie</w:t>
      </w:r>
      <w:r w:rsidRPr="00FC15C4">
        <w:rPr>
          <w:rFonts w:ascii="Arial" w:eastAsiaTheme="minorEastAsia" w:hAnsi="Arial" w:cs="Arial"/>
          <w:sz w:val="22"/>
          <w:szCs w:val="22"/>
        </w:rPr>
        <w:t xml:space="preserve"> (sdělení Komise o revizi metody stanovování referenčních a diskontních sazeb /2008/C 14/02/). Pohledávka a úrok budou hrazeny v ročních splátkách takto:</w:t>
      </w:r>
    </w:p>
    <w:p w:rsidR="00CC34EE" w:rsidRDefault="00CC34EE" w:rsidP="00CC34EE">
      <w:pPr>
        <w:widowControl/>
        <w:tabs>
          <w:tab w:val="right" w:pos="3402"/>
          <w:tab w:val="right" w:pos="5670"/>
          <w:tab w:val="right" w:pos="9072"/>
        </w:tabs>
        <w:jc w:val="both"/>
        <w:rPr>
          <w:rFonts w:ascii="Arial" w:eastAsiaTheme="minorEastAsia" w:hAnsi="Arial" w:cs="Arial"/>
          <w:sz w:val="22"/>
          <w:szCs w:val="22"/>
        </w:rPr>
      </w:pP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Datum</w:t>
      </w:r>
      <w:r w:rsidRPr="00FC15C4">
        <w:rPr>
          <w:rFonts w:ascii="Arial" w:eastAsiaTheme="minorEastAsia" w:hAnsi="Arial" w:cs="Arial"/>
          <w:sz w:val="22"/>
          <w:szCs w:val="22"/>
        </w:rPr>
        <w:tab/>
        <w:t>Pohledávka v Kč</w:t>
      </w:r>
      <w:r w:rsidRPr="00FC15C4">
        <w:rPr>
          <w:rFonts w:ascii="Arial" w:eastAsiaTheme="minorEastAsia" w:hAnsi="Arial" w:cs="Arial"/>
          <w:sz w:val="22"/>
          <w:szCs w:val="22"/>
        </w:rPr>
        <w:tab/>
        <w:t>Úrok v Kč</w:t>
      </w:r>
      <w:r w:rsidRPr="00FC15C4">
        <w:rPr>
          <w:rFonts w:ascii="Arial" w:eastAsiaTheme="minorEastAsia" w:hAnsi="Arial" w:cs="Arial"/>
          <w:sz w:val="22"/>
          <w:szCs w:val="22"/>
        </w:rPr>
        <w:tab/>
        <w:t>Splátka celkem v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23.8.2020</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23.8.2021</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23.8.2022</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23.8.2023</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23.8.2024</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23.8.2025</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23.8.2026</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23.8.2027</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23.8.2028</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4 417,00 Kč</w:t>
      </w:r>
      <w:r w:rsidRPr="00FC15C4">
        <w:rPr>
          <w:rFonts w:ascii="Arial" w:eastAsiaTheme="minorEastAsia" w:hAnsi="Arial" w:cs="Arial"/>
          <w:sz w:val="22"/>
          <w:szCs w:val="22"/>
        </w:rPr>
        <w:tab/>
        <w:t>16 161,00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r w:rsidRPr="00FC15C4">
        <w:rPr>
          <w:rFonts w:ascii="Arial" w:eastAsiaTheme="minorEastAsia" w:hAnsi="Arial" w:cs="Arial"/>
          <w:sz w:val="22"/>
          <w:szCs w:val="22"/>
        </w:rPr>
        <w:t>k 22.8.2029</w:t>
      </w:r>
      <w:r w:rsidRPr="00FC15C4">
        <w:rPr>
          <w:rFonts w:ascii="Arial" w:eastAsiaTheme="minorEastAsia" w:hAnsi="Arial" w:cs="Arial"/>
          <w:sz w:val="22"/>
          <w:szCs w:val="22"/>
        </w:rPr>
        <w:tab/>
        <w:t>11 744,00 Kč</w:t>
      </w:r>
      <w:r w:rsidRPr="00FC15C4">
        <w:rPr>
          <w:rFonts w:ascii="Arial" w:eastAsiaTheme="minorEastAsia" w:hAnsi="Arial" w:cs="Arial"/>
          <w:sz w:val="22"/>
          <w:szCs w:val="22"/>
        </w:rPr>
        <w:tab/>
        <w:t>4 418,00 Kč</w:t>
      </w:r>
      <w:r w:rsidRPr="00FC15C4">
        <w:rPr>
          <w:rFonts w:ascii="Arial" w:eastAsiaTheme="minorEastAsia" w:hAnsi="Arial" w:cs="Arial"/>
          <w:sz w:val="22"/>
          <w:szCs w:val="22"/>
        </w:rPr>
        <w:tab/>
        <w:t>16 162,00 Kč</w:t>
      </w:r>
    </w:p>
    <w:p w:rsidR="00CC34EE" w:rsidRPr="00FC15C4" w:rsidRDefault="00CC34EE" w:rsidP="00CC34EE">
      <w:pPr>
        <w:widowControl/>
        <w:tabs>
          <w:tab w:val="right" w:pos="3402"/>
          <w:tab w:val="right" w:pos="5670"/>
          <w:tab w:val="right" w:pos="9072"/>
        </w:tabs>
        <w:jc w:val="both"/>
        <w:rPr>
          <w:rFonts w:ascii="Arial" w:eastAsiaTheme="minorEastAsia" w:hAnsi="Arial" w:cs="Arial"/>
          <w:sz w:val="22"/>
          <w:szCs w:val="22"/>
        </w:rPr>
      </w:pPr>
    </w:p>
    <w:p w:rsidR="003735DD" w:rsidRPr="00FC15C4" w:rsidRDefault="003735DD" w:rsidP="003735DD">
      <w:pPr>
        <w:widowControl/>
        <w:tabs>
          <w:tab w:val="left" w:pos="709"/>
        </w:tabs>
        <w:autoSpaceDE/>
        <w:autoSpaceDN/>
        <w:adjustRightInd/>
        <w:ind w:firstLine="426"/>
        <w:jc w:val="both"/>
        <w:rPr>
          <w:rStyle w:val="Nadpis1Char"/>
          <w:rFonts w:ascii="Arial" w:eastAsiaTheme="minorEastAsia" w:hAnsi="Arial" w:cs="Arial"/>
          <w:b w:val="0"/>
          <w:bCs w:val="0"/>
          <w:kern w:val="0"/>
          <w:sz w:val="22"/>
          <w:szCs w:val="22"/>
          <w:lang w:eastAsia="en-US"/>
        </w:rPr>
      </w:pPr>
      <w:r w:rsidRPr="00FC15C4">
        <w:rPr>
          <w:rStyle w:val="Nadpis1Char"/>
          <w:rFonts w:ascii="Arial" w:eastAsiaTheme="minorEastAsia" w:hAnsi="Arial" w:cs="Arial"/>
          <w:b w:val="0"/>
          <w:bCs w:val="0"/>
          <w:kern w:val="0"/>
          <w:sz w:val="22"/>
          <w:szCs w:val="22"/>
          <w:lang w:eastAsia="en-US"/>
        </w:rPr>
        <w:t xml:space="preserve">Poskytnutá výhoda splátek zaniká, pokud kupující před zaplacením celé kupní ceny převáděných pozemků, převede vlastnické právo k pozemkům na jinou </w:t>
      </w:r>
      <w:proofErr w:type="spellStart"/>
      <w:proofErr w:type="gramStart"/>
      <w:r w:rsidRPr="00FC15C4">
        <w:rPr>
          <w:rStyle w:val="Nadpis1Char"/>
          <w:rFonts w:ascii="Arial" w:eastAsiaTheme="minorEastAsia" w:hAnsi="Arial" w:cs="Arial"/>
          <w:b w:val="0"/>
          <w:bCs w:val="0"/>
          <w:kern w:val="0"/>
          <w:sz w:val="22"/>
          <w:szCs w:val="22"/>
          <w:lang w:eastAsia="en-US"/>
        </w:rPr>
        <w:t>osobu.V</w:t>
      </w:r>
      <w:proofErr w:type="spellEnd"/>
      <w:proofErr w:type="gramEnd"/>
      <w:r w:rsidRPr="00FC15C4">
        <w:rPr>
          <w:rStyle w:val="Nadpis1Char"/>
          <w:rFonts w:ascii="Arial" w:eastAsiaTheme="minorEastAsia" w:hAnsi="Arial" w:cs="Arial"/>
          <w:b w:val="0"/>
          <w:bCs w:val="0"/>
          <w:kern w:val="0"/>
          <w:sz w:val="22"/>
          <w:szCs w:val="22"/>
          <w:lang w:eastAsia="en-US"/>
        </w:rPr>
        <w:t> tomto případě je kupující povinen doplatit neuhrazenou část kupní ceny pozemků Státnímu pozemkovému úřadu do 30 dnů ode dne nabytí právní moci rozhodnutí o povolení vkladu vlastnického práva k  převáděným pozemkům.</w:t>
      </w:r>
    </w:p>
    <w:p w:rsidR="007A38F1" w:rsidRPr="00FC15C4" w:rsidRDefault="007A38F1" w:rsidP="007A38F1">
      <w:pPr>
        <w:widowControl/>
        <w:tabs>
          <w:tab w:val="left" w:pos="709"/>
        </w:tabs>
        <w:autoSpaceDE/>
        <w:autoSpaceDN/>
        <w:adjustRightInd/>
        <w:ind w:firstLine="426"/>
        <w:jc w:val="both"/>
        <w:rPr>
          <w:rStyle w:val="Nadpis1Char"/>
          <w:rFonts w:ascii="Arial" w:eastAsiaTheme="minorEastAsia" w:hAnsi="Arial" w:cs="Arial"/>
          <w:b w:val="0"/>
          <w:bCs w:val="0"/>
          <w:color w:val="FF0000"/>
          <w:kern w:val="0"/>
          <w:sz w:val="22"/>
          <w:szCs w:val="22"/>
          <w:lang w:eastAsia="en-US"/>
        </w:rPr>
      </w:pPr>
      <w:r w:rsidRPr="00FC15C4">
        <w:rPr>
          <w:rStyle w:val="Nadpis1Char"/>
          <w:rFonts w:ascii="Arial" w:eastAsiaTheme="minorEastAsia" w:hAnsi="Arial" w:cs="Arial"/>
          <w:b w:val="0"/>
          <w:bCs w:val="0"/>
          <w:kern w:val="0"/>
          <w:sz w:val="22"/>
          <w:szCs w:val="22"/>
          <w:lang w:eastAsia="en-US"/>
        </w:rPr>
        <w:t>Poskytnutá výhoda splátek dále zaniká, pokud vlastnické právo k pozemkům přešlo před zaplacením celé kupní ceny na jinou osobu na základě výsledku dražby v rámci exekuce nebo nedobrovolné dražby. V těchto případech je nabyvatel povinen doplatit zbývající část kupní ceny Státnímu pozemkovému úřadu do 30 dnů od právní moci rozvrhového usnesení; v případě nedobrovolné dražby, nebyla-li zmařena, do 30 dnů od pravomocného skončení dražby.</w:t>
      </w:r>
    </w:p>
    <w:p w:rsidR="00A218C5" w:rsidRPr="00FC15C4" w:rsidRDefault="00A218C5" w:rsidP="00A218C5">
      <w:pPr>
        <w:widowControl/>
        <w:tabs>
          <w:tab w:val="left" w:pos="709"/>
        </w:tabs>
        <w:autoSpaceDE/>
        <w:autoSpaceDN/>
        <w:adjustRightInd/>
        <w:ind w:firstLine="426"/>
        <w:jc w:val="both"/>
        <w:rPr>
          <w:rStyle w:val="Nadpis1Char"/>
          <w:rFonts w:ascii="Arial" w:eastAsiaTheme="minorEastAsia" w:hAnsi="Arial" w:cs="Arial"/>
          <w:b w:val="0"/>
          <w:bCs w:val="0"/>
          <w:kern w:val="0"/>
          <w:sz w:val="22"/>
          <w:szCs w:val="22"/>
          <w:lang w:eastAsia="en-US"/>
        </w:rPr>
      </w:pPr>
      <w:r w:rsidRPr="00FC15C4">
        <w:rPr>
          <w:rStyle w:val="Nadpis1Char"/>
          <w:rFonts w:ascii="Arial" w:eastAsiaTheme="minorEastAsia" w:hAnsi="Arial" w:cs="Arial"/>
          <w:b w:val="0"/>
          <w:bCs w:val="0"/>
          <w:kern w:val="0"/>
          <w:sz w:val="22"/>
          <w:szCs w:val="22"/>
          <w:lang w:eastAsia="en-US"/>
        </w:rPr>
        <w:t>Poskytnutá výhoda splátek zaniká, pokud dojde k odnětí vlastnického práva k pozemkům vyvlastňovacím řízením ve smyslu zákona č. 184/2006 Sb., o odnětí nebo omezení vlastnického práva k pozemku nebo stavbě (zákon o vyvlastnění), ve znění pozdějších předpisů. Dojde-li k vyvlastnění zástavy spočívajícím v odnětí vlastnického práva k zástavě, dnem zániku poskytnuté výhody splátek je den nabytí právní moci rozhodnutí o vyvlastnění. V tomto případě je kupující povinen doplatit neuhrazenou část kupní ceny pozemků prodávajícímu do 30 dnů ode dne nabytí právní moci rozhodnutí o odnětí vlastnického práva k vyvlastněným pozemkům.</w:t>
      </w:r>
    </w:p>
    <w:p w:rsidR="002A76A6" w:rsidRPr="00FC15C4" w:rsidRDefault="00A218C5" w:rsidP="003735DD">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r>
      <w:r w:rsidR="000270C7" w:rsidRPr="00FC15C4">
        <w:rPr>
          <w:rFonts w:ascii="Arial" w:eastAsiaTheme="minorEastAsia" w:hAnsi="Arial" w:cs="Arial"/>
          <w:sz w:val="22"/>
          <w:szCs w:val="22"/>
        </w:rPr>
        <w:t>Poskytnutá výhoda splátek nezaniká, převede-li zemědělský podnikatel obchodní závod, včetně pozemků, příbuznému v řadě přímé, sourozenci, manželovi nebo partnerovi podle zákona upravující registrované partnerství, nebo v případě, převodu pozemků na obchodní korporaci, jejímž je společníkem a která na příslušných pozemcích hospodaří. Převod na takovouto osobu je nabyvatel povinen oznámit Státnímu pozemkovému úřadu do 30 kalendářních dnů ode dne, kdy byl vyrozuměn katastrálním úřadem o vkladu vlastnického práva ve prospěch nového vlastníka, a doložit Státnímu pozemkovému úřadu, že nový nabyvatel je jeho příbuzný v řadě přímé, sourozenec, manžel nebo je obchodní korporací, jejímž je společníkem nebo členem a která na tomto pozemku hospodaří.</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t xml:space="preserve">4) Nedodrží </w:t>
      </w:r>
      <w:proofErr w:type="spellStart"/>
      <w:r w:rsidRPr="00FC15C4">
        <w:rPr>
          <w:rFonts w:ascii="Arial" w:eastAsiaTheme="minorEastAsia" w:hAnsi="Arial" w:cs="Arial"/>
          <w:sz w:val="22"/>
          <w:szCs w:val="22"/>
        </w:rPr>
        <w:t>-li</w:t>
      </w:r>
      <w:proofErr w:type="spellEnd"/>
      <w:r w:rsidRPr="00FC15C4">
        <w:rPr>
          <w:rFonts w:ascii="Arial" w:eastAsiaTheme="minorEastAsia" w:hAnsi="Arial" w:cs="Arial"/>
          <w:sz w:val="22"/>
          <w:szCs w:val="22"/>
        </w:rPr>
        <w:t xml:space="preserve"> kupující lhůtu pro úhradu kupní ceny podle tohoto článku, je povinen podle </w:t>
      </w:r>
      <w:r w:rsidR="007A38F1" w:rsidRPr="00FC15C4">
        <w:rPr>
          <w:rFonts w:ascii="Arial" w:eastAsiaTheme="minorEastAsia" w:hAnsi="Arial" w:cs="Arial"/>
          <w:sz w:val="22"/>
          <w:szCs w:val="22"/>
        </w:rPr>
        <w:t>§ 1968 a násl. zákona č. 89/2012 Sb., občanský zákoník,</w:t>
      </w:r>
      <w:r w:rsidRPr="00FC15C4">
        <w:rPr>
          <w:rFonts w:ascii="Arial" w:eastAsiaTheme="minorEastAsia" w:hAnsi="Arial" w:cs="Arial"/>
          <w:sz w:val="22"/>
          <w:szCs w:val="22"/>
        </w:rPr>
        <w:t xml:space="preserve"> zaplatit prodávajícímu úrok z prodlení.</w:t>
      </w:r>
    </w:p>
    <w:p w:rsidR="001611F4" w:rsidRDefault="002A76A6" w:rsidP="00E808A4">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t xml:space="preserve">5) </w:t>
      </w:r>
      <w:r w:rsidR="003735DD" w:rsidRPr="00FC15C4">
        <w:rPr>
          <w:rFonts w:ascii="Arial" w:eastAsiaTheme="minorEastAsia" w:hAnsi="Arial" w:cs="Arial"/>
          <w:sz w:val="22"/>
          <w:szCs w:val="22"/>
        </w:rPr>
        <w:t xml:space="preserve">K zajištění dosud nesplacené kupní ceny pozemků nebo její části vzniká státu zástavní právo k pozemkům k okamžiku převodu pozemků </w:t>
      </w:r>
      <w:r w:rsidR="008D6D68" w:rsidRPr="00FC15C4">
        <w:rPr>
          <w:rFonts w:ascii="Arial" w:eastAsiaTheme="minorEastAsia" w:hAnsi="Arial" w:cs="Arial"/>
          <w:sz w:val="22"/>
          <w:szCs w:val="22"/>
        </w:rPr>
        <w:t>podle § 15 zákona č. 503/2012</w:t>
      </w:r>
      <w:r w:rsidR="003735DD" w:rsidRPr="00FC15C4">
        <w:rPr>
          <w:rFonts w:ascii="Arial" w:eastAsiaTheme="minorEastAsia" w:hAnsi="Arial" w:cs="Arial"/>
          <w:sz w:val="22"/>
          <w:szCs w:val="22"/>
        </w:rPr>
        <w:t xml:space="preserve"> Sb., o </w:t>
      </w:r>
    </w:p>
    <w:p w:rsidR="002A76A6" w:rsidRPr="00FC15C4" w:rsidRDefault="003735DD" w:rsidP="00E808A4">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Státním pozemkovém úřadu.</w:t>
      </w:r>
      <w:r w:rsidR="002A76A6" w:rsidRPr="00FC15C4">
        <w:rPr>
          <w:rFonts w:ascii="Arial" w:eastAsiaTheme="minorEastAsia" w:hAnsi="Arial" w:cs="Arial"/>
          <w:sz w:val="22"/>
          <w:szCs w:val="22"/>
        </w:rPr>
        <w:t xml:space="preserve"> Smluvní strany prohlašují, že vznik tohoto práva není sporný ani pochybný.</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lastRenderedPageBreak/>
        <w:tab/>
        <w:t xml:space="preserve">6) Pozemky, na nichž je státem uplatněno zástavní právo, nesmí kupující učinit předmětem </w:t>
      </w:r>
      <w:r w:rsidR="003735DD" w:rsidRPr="00FC15C4">
        <w:rPr>
          <w:rFonts w:ascii="Arial" w:eastAsiaTheme="minorEastAsia" w:hAnsi="Arial" w:cs="Arial"/>
          <w:sz w:val="22"/>
          <w:szCs w:val="22"/>
        </w:rPr>
        <w:t>dalšího zástavního práva, s výjimkou zástavního práva na poskytnutí bankovního úvěru na zaplacení celé kupní ceny</w:t>
      </w:r>
      <w:r w:rsidRPr="00FC15C4">
        <w:rPr>
          <w:rFonts w:ascii="Arial" w:eastAsiaTheme="minorEastAsia" w:hAnsi="Arial" w:cs="Arial"/>
          <w:sz w:val="22"/>
          <w:szCs w:val="22"/>
        </w:rPr>
        <w:t>.</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t xml:space="preserve">7) Jestliže kupující poruší omezení stanovené v bodu 6 tohoto článku, zavazuje se za každé jednotlivé porušení zaplatit prodávajícímu smluvní pokutu ve výši </w:t>
      </w:r>
      <w:proofErr w:type="gramStart"/>
      <w:r w:rsidRPr="00FC15C4">
        <w:rPr>
          <w:rFonts w:ascii="Arial" w:eastAsiaTheme="minorEastAsia" w:hAnsi="Arial" w:cs="Arial"/>
          <w:sz w:val="22"/>
          <w:szCs w:val="22"/>
        </w:rPr>
        <w:t>10%</w:t>
      </w:r>
      <w:proofErr w:type="gramEnd"/>
      <w:r w:rsidRPr="00FC15C4">
        <w:rPr>
          <w:rFonts w:ascii="Arial" w:eastAsiaTheme="minorEastAsia" w:hAnsi="Arial" w:cs="Arial"/>
          <w:sz w:val="22"/>
          <w:szCs w:val="22"/>
        </w:rPr>
        <w:t xml:space="preserve"> z kupní ceny.</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sz w:val="22"/>
          <w:szCs w:val="22"/>
        </w:rPr>
        <w:tab/>
        <w:t>8</w:t>
      </w:r>
      <w:r w:rsidRPr="00FC15C4">
        <w:rPr>
          <w:rFonts w:ascii="Arial" w:eastAsiaTheme="minorEastAsia" w:hAnsi="Arial" w:cs="Arial"/>
          <w:color w:val="000000"/>
          <w:sz w:val="22"/>
          <w:szCs w:val="22"/>
        </w:rPr>
        <w:t xml:space="preserve"> </w:t>
      </w:r>
      <w:r w:rsidRPr="00FC15C4">
        <w:rPr>
          <w:rFonts w:ascii="Arial" w:eastAsiaTheme="minorEastAsia" w:hAnsi="Arial" w:cs="Arial"/>
          <w:sz w:val="22"/>
          <w:szCs w:val="22"/>
        </w:rPr>
        <w:t>Prodlení kupujícího s úhradou kupní ceny delší než 30 dnů je důvodem pro odstoupení od této smlouvy ze strany prodávajícího.</w:t>
      </w:r>
    </w:p>
    <w:p w:rsidR="002A76A6" w:rsidRPr="00FC15C4" w:rsidRDefault="002A76A6">
      <w:pPr>
        <w:widowControl/>
        <w:tabs>
          <w:tab w:val="left" w:pos="426"/>
        </w:tabs>
        <w:jc w:val="both"/>
        <w:rPr>
          <w:rFonts w:ascii="Arial" w:eastAsiaTheme="minorEastAsia" w:hAnsi="Arial" w:cs="Arial"/>
          <w:sz w:val="22"/>
          <w:szCs w:val="22"/>
        </w:rPr>
      </w:pPr>
      <w:r w:rsidRPr="00FC15C4">
        <w:rPr>
          <w:rFonts w:ascii="Arial" w:eastAsiaTheme="minorEastAsia" w:hAnsi="Arial" w:cs="Arial"/>
          <w:color w:val="000000"/>
          <w:sz w:val="22"/>
          <w:szCs w:val="22"/>
        </w:rPr>
        <w:tab/>
        <w:t xml:space="preserve">9 Pokud bude kupní cena hrazena v penězích, dnem zaplacení se rozumí </w:t>
      </w:r>
      <w:r w:rsidRPr="00FC15C4">
        <w:rPr>
          <w:rFonts w:ascii="Arial" w:eastAsiaTheme="minorEastAsia" w:hAnsi="Arial" w:cs="Arial"/>
          <w:sz w:val="22"/>
          <w:szCs w:val="22"/>
        </w:rPr>
        <w:t>den připsání placené částky na účet prodávajícího uvedený v této smlouvě.</w:t>
      </w:r>
    </w:p>
    <w:p w:rsidR="002A76A6" w:rsidRPr="00FC15C4" w:rsidRDefault="002A76A6">
      <w:pPr>
        <w:widowControl/>
        <w:rPr>
          <w:rFonts w:ascii="Arial" w:eastAsiaTheme="minorEastAsia" w:hAnsi="Arial" w:cs="Arial"/>
          <w:sz w:val="22"/>
          <w:szCs w:val="22"/>
        </w:rPr>
      </w:pPr>
    </w:p>
    <w:p w:rsidR="007E731F" w:rsidRDefault="007E731F">
      <w:pPr>
        <w:widowControl/>
        <w:rPr>
          <w:rFonts w:eastAsiaTheme="minorEastAsia"/>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56N14/05, kterou se Státním pozemkovým úřadem uzavřel </w:t>
      </w:r>
      <w:proofErr w:type="spellStart"/>
      <w:r w:rsidRPr="001D58B7">
        <w:rPr>
          <w:rFonts w:ascii="Arial" w:hAnsi="Arial" w:cs="Arial"/>
          <w:sz w:val="22"/>
          <w:szCs w:val="22"/>
        </w:rPr>
        <w:t>Herbenová</w:t>
      </w:r>
      <w:proofErr w:type="spellEnd"/>
      <w:r w:rsidRPr="001D58B7">
        <w:rPr>
          <w:rFonts w:ascii="Arial" w:hAnsi="Arial" w:cs="Arial"/>
          <w:sz w:val="22"/>
          <w:szCs w:val="22"/>
        </w:rPr>
        <w:t xml:space="preserve"> Alena PhDr., jakožto nájemce. S obsahem nájemní smlouvy byl kupující seznámen před podpisem této smlouvy, což stvrzuje svým podpisem.</w:t>
      </w:r>
    </w:p>
    <w:p w:rsidR="00F40520" w:rsidRPr="001D58B7" w:rsidRDefault="00F40520">
      <w:pPr>
        <w:widowControl/>
        <w:ind w:firstLine="426"/>
        <w:jc w:val="both"/>
        <w:rPr>
          <w:rFonts w:ascii="Arial" w:hAnsi="Arial" w:cs="Arial"/>
          <w:sz w:val="22"/>
          <w:szCs w:val="22"/>
        </w:rPr>
      </w:pP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pStyle w:val="vnitrniText"/>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347DF4" w:rsidRPr="00347DF4" w:rsidRDefault="00347DF4" w:rsidP="00347DF4">
      <w:pPr>
        <w:widowControl/>
        <w:ind w:firstLine="426"/>
        <w:jc w:val="both"/>
        <w:rPr>
          <w:rFonts w:ascii="Arial" w:hAnsi="Arial" w:cs="Arial"/>
          <w:sz w:val="22"/>
          <w:szCs w:val="22"/>
        </w:rPr>
      </w:pPr>
      <w:r w:rsidRPr="00347DF4">
        <w:rPr>
          <w:rFonts w:ascii="Arial" w:hAnsi="Arial" w:cs="Arial"/>
          <w:sz w:val="22"/>
          <w:szCs w:val="22"/>
        </w:rPr>
        <w:t xml:space="preserve">4) </w:t>
      </w:r>
      <w:proofErr w:type="gramStart"/>
      <w:r w:rsidRPr="00347DF4">
        <w:rPr>
          <w:rFonts w:ascii="Arial" w:hAnsi="Arial" w:cs="Arial"/>
          <w:sz w:val="22"/>
          <w:szCs w:val="22"/>
        </w:rPr>
        <w:t>SPÚ  jako</w:t>
      </w:r>
      <w:proofErr w:type="gramEnd"/>
      <w:r w:rsidRPr="00347DF4">
        <w:rPr>
          <w:rFonts w:ascii="Arial" w:hAnsi="Arial" w:cs="Arial"/>
          <w:sz w:val="22"/>
          <w:szCs w:val="22"/>
        </w:rPr>
        <w:t xml:space="preserve"> správce osobních údajů dle zákona č. </w:t>
      </w:r>
      <w:r w:rsidR="00F278B7">
        <w:rPr>
          <w:rFonts w:ascii="Arial" w:hAnsi="Arial" w:cs="Arial"/>
          <w:sz w:val="22"/>
          <w:szCs w:val="22"/>
        </w:rPr>
        <w:t>110/2019 Sb., o zpracování osobních údajů,</w:t>
      </w:r>
      <w:r w:rsidRPr="00347DF4">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rsidR="00347DF4" w:rsidRPr="00347DF4" w:rsidRDefault="00522EB5" w:rsidP="00347DF4">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rsidR="00F40520" w:rsidRDefault="005F0BD0" w:rsidP="00347DF4">
      <w:pPr>
        <w:widowControl/>
        <w:ind w:firstLine="426"/>
        <w:jc w:val="both"/>
        <w:rPr>
          <w:rFonts w:ascii="Arial" w:hAnsi="Arial" w:cs="Arial"/>
          <w:sz w:val="22"/>
          <w:szCs w:val="22"/>
        </w:rPr>
      </w:pPr>
      <w:r w:rsidRPr="005F0BD0">
        <w:rPr>
          <w:rFonts w:ascii="Arial" w:hAnsi="Arial" w:cs="Arial"/>
          <w:sz w:val="22"/>
          <w:szCs w:val="22"/>
        </w:rPr>
        <w:t xml:space="preserve"> </w:t>
      </w:r>
      <w:r w:rsidRPr="00C13B89">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C13B89">
        <w:rPr>
          <w:rFonts w:ascii="Arial" w:hAnsi="Arial" w:cs="Arial"/>
          <w:sz w:val="22"/>
          <w:szCs w:val="22"/>
        </w:rPr>
        <w:t>v  souladu</w:t>
      </w:r>
      <w:proofErr w:type="gramEnd"/>
      <w:r w:rsidRPr="00C13B89">
        <w:rPr>
          <w:rFonts w:ascii="Arial" w:hAnsi="Arial" w:cs="Arial"/>
          <w:sz w:val="22"/>
          <w:szCs w:val="22"/>
        </w:rPr>
        <w:t xml:space="preserve"> se zákonem</w:t>
      </w:r>
      <w:r w:rsidRPr="00C13B89">
        <w:rPr>
          <w:sz w:val="22"/>
          <w:szCs w:val="22"/>
        </w:rPr>
        <w:t xml:space="preserve"> </w:t>
      </w:r>
      <w:r w:rsidRPr="00C13B89">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347DF4" w:rsidRDefault="00347DF4" w:rsidP="00347DF4">
      <w:pPr>
        <w:widowControl/>
        <w:ind w:firstLine="426"/>
        <w:jc w:val="both"/>
        <w:rPr>
          <w:rFonts w:ascii="Arial" w:hAnsi="Arial" w:cs="Arial"/>
          <w:sz w:val="22"/>
          <w:szCs w:val="22"/>
        </w:rPr>
      </w:pPr>
    </w:p>
    <w:p w:rsidR="001611F4" w:rsidRPr="001D58B7" w:rsidRDefault="001611F4" w:rsidP="00347DF4">
      <w:pPr>
        <w:widowControl/>
        <w:ind w:firstLine="426"/>
        <w:jc w:val="both"/>
        <w:rPr>
          <w:rFonts w:ascii="Arial" w:hAnsi="Arial" w:cs="Arial"/>
          <w:sz w:val="22"/>
          <w:szCs w:val="22"/>
        </w:rPr>
      </w:pP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2) Kupující prohlašuje, že ve vztahu k převáděným pozemkům splňuje zákonem stanovené podmínky pro to, aby na něho mohly být podle</w:t>
      </w:r>
      <w:r w:rsidR="00442BF3">
        <w:rPr>
          <w:rFonts w:ascii="Arial" w:hAnsi="Arial" w:cs="Arial"/>
          <w:sz w:val="22"/>
          <w:szCs w:val="22"/>
        </w:rPr>
        <w:t xml:space="preserve"> § 10 odst. 5 </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8424E7" w:rsidP="00335BCB">
      <w:pPr>
        <w:widowControl/>
        <w:ind w:firstLine="426"/>
        <w:jc w:val="both"/>
        <w:rPr>
          <w:rFonts w:ascii="Arial" w:hAnsi="Arial" w:cs="Arial"/>
          <w:sz w:val="22"/>
          <w:szCs w:val="22"/>
        </w:rPr>
      </w:pPr>
      <w:r w:rsidRPr="001D58B7">
        <w:rPr>
          <w:rFonts w:ascii="Arial" w:hAnsi="Arial" w:cs="Arial"/>
          <w:sz w:val="22"/>
          <w:szCs w:val="22"/>
        </w:rPr>
        <w:t xml:space="preserve">5) Kupující se zavazuje, že </w:t>
      </w:r>
      <w:r w:rsidR="006A4EDD" w:rsidRPr="001D58B7">
        <w:rPr>
          <w:rFonts w:ascii="Arial" w:hAnsi="Arial" w:cs="Arial"/>
          <w:sz w:val="22"/>
          <w:szCs w:val="22"/>
        </w:rPr>
        <w:t xml:space="preserve">zbývající část kupní ceny uhradí ve splátkách s úrokem vypočteným v souladu s právem </w:t>
      </w:r>
      <w:r w:rsidR="00335BCB" w:rsidRPr="001D58B7">
        <w:rPr>
          <w:rFonts w:ascii="Arial" w:hAnsi="Arial" w:cs="Arial"/>
          <w:sz w:val="22"/>
          <w:szCs w:val="22"/>
        </w:rPr>
        <w:t>Evropské unie.</w:t>
      </w:r>
    </w:p>
    <w:p w:rsidR="00335BCB" w:rsidRDefault="00335BCB" w:rsidP="00335BCB">
      <w:pPr>
        <w:widowControl/>
        <w:ind w:firstLine="426"/>
        <w:jc w:val="both"/>
        <w:rPr>
          <w:rFonts w:ascii="Arial" w:hAnsi="Arial" w:cs="Arial"/>
          <w:sz w:val="22"/>
          <w:szCs w:val="22"/>
        </w:rPr>
      </w:pPr>
    </w:p>
    <w:p w:rsidR="00442BF3" w:rsidRDefault="00442BF3" w:rsidP="00335BCB">
      <w:pPr>
        <w:widowControl/>
        <w:ind w:firstLine="426"/>
        <w:jc w:val="both"/>
        <w:rPr>
          <w:rFonts w:ascii="Arial" w:hAnsi="Arial" w:cs="Arial"/>
          <w:sz w:val="22"/>
          <w:szCs w:val="22"/>
        </w:rPr>
      </w:pPr>
    </w:p>
    <w:p w:rsidR="00442BF3" w:rsidRDefault="00442BF3" w:rsidP="00335BCB">
      <w:pPr>
        <w:widowControl/>
        <w:ind w:firstLine="426"/>
        <w:jc w:val="both"/>
        <w:rPr>
          <w:rFonts w:ascii="Arial" w:hAnsi="Arial" w:cs="Arial"/>
          <w:sz w:val="22"/>
          <w:szCs w:val="22"/>
        </w:rPr>
      </w:pPr>
    </w:p>
    <w:p w:rsidR="00442BF3" w:rsidRPr="001D58B7" w:rsidRDefault="00442BF3"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Českých Budějovicích dne </w:t>
      </w:r>
      <w:r w:rsidR="001611F4">
        <w:rPr>
          <w:rFonts w:ascii="Arial" w:hAnsi="Arial" w:cs="Arial"/>
          <w:sz w:val="22"/>
          <w:szCs w:val="22"/>
        </w:rPr>
        <w:t xml:space="preserve">  23.8.2019</w:t>
      </w:r>
      <w:r w:rsidR="001611F4">
        <w:rPr>
          <w:rFonts w:ascii="Arial" w:hAnsi="Arial" w:cs="Arial"/>
          <w:sz w:val="22"/>
          <w:szCs w:val="22"/>
        </w:rPr>
        <w:tab/>
      </w:r>
      <w:r w:rsidRPr="001D58B7">
        <w:rPr>
          <w:rFonts w:ascii="Arial" w:hAnsi="Arial" w:cs="Arial"/>
          <w:sz w:val="22"/>
          <w:szCs w:val="22"/>
        </w:rPr>
        <w:t>V</w:t>
      </w:r>
      <w:r w:rsidR="00442BF3">
        <w:rPr>
          <w:rFonts w:ascii="Arial" w:hAnsi="Arial" w:cs="Arial"/>
          <w:sz w:val="22"/>
          <w:szCs w:val="22"/>
        </w:rPr>
        <w:t> Českých Budějovicích</w:t>
      </w:r>
      <w:r w:rsidRPr="001D58B7">
        <w:rPr>
          <w:rFonts w:ascii="Arial" w:hAnsi="Arial" w:cs="Arial"/>
          <w:sz w:val="22"/>
          <w:szCs w:val="22"/>
        </w:rPr>
        <w:t xml:space="preserve"> dne </w:t>
      </w:r>
      <w:r w:rsidR="001611F4">
        <w:rPr>
          <w:rFonts w:ascii="Arial" w:hAnsi="Arial" w:cs="Arial"/>
          <w:sz w:val="22"/>
          <w:szCs w:val="22"/>
        </w:rPr>
        <w:t xml:space="preserve">  23.8.2019</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r>
      <w:proofErr w:type="spellStart"/>
      <w:r w:rsidRPr="001D58B7">
        <w:rPr>
          <w:rFonts w:ascii="Arial" w:hAnsi="Arial" w:cs="Arial"/>
          <w:sz w:val="22"/>
          <w:szCs w:val="22"/>
        </w:rPr>
        <w:t>Herbenová</w:t>
      </w:r>
      <w:proofErr w:type="spellEnd"/>
      <w:r w:rsidRPr="001D58B7">
        <w:rPr>
          <w:rFonts w:ascii="Arial" w:hAnsi="Arial" w:cs="Arial"/>
          <w:sz w:val="22"/>
          <w:szCs w:val="22"/>
        </w:rPr>
        <w:t xml:space="preserve"> Alena PhDr.</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Jihočeský kraj</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 xml:space="preserve">Ing. Eva </w:t>
      </w:r>
      <w:proofErr w:type="spellStart"/>
      <w:r w:rsidRPr="001D58B7">
        <w:rPr>
          <w:rFonts w:ascii="Arial" w:hAnsi="Arial" w:cs="Arial"/>
          <w:sz w:val="22"/>
          <w:szCs w:val="22"/>
        </w:rPr>
        <w:t>Schmidtmajerová</w:t>
      </w:r>
      <w:proofErr w:type="spellEnd"/>
      <w:r w:rsidRPr="001D58B7">
        <w:rPr>
          <w:rFonts w:ascii="Arial" w:hAnsi="Arial" w:cs="Arial"/>
          <w:sz w:val="22"/>
          <w:szCs w:val="22"/>
        </w:rPr>
        <w:t>, CSc.</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3435305, 2976905</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Jihočeský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Mgr. Miroslav Šimek</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Tomáš Němec</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bookmarkStart w:id="0" w:name="_GoBack"/>
      <w:bookmarkEnd w:id="0"/>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F3" w:rsidRDefault="00442BF3">
      <w:r>
        <w:separator/>
      </w:r>
    </w:p>
  </w:endnote>
  <w:endnote w:type="continuationSeparator" w:id="0">
    <w:p w:rsidR="00442BF3" w:rsidRDefault="0044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F3" w:rsidRDefault="00442BF3">
      <w:r>
        <w:separator/>
      </w:r>
    </w:p>
  </w:footnote>
  <w:footnote w:type="continuationSeparator" w:id="0">
    <w:p w:rsidR="00442BF3" w:rsidRDefault="0044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270C7"/>
    <w:rsid w:val="0005583E"/>
    <w:rsid w:val="000862E5"/>
    <w:rsid w:val="000A639E"/>
    <w:rsid w:val="000D49C6"/>
    <w:rsid w:val="000D6AB2"/>
    <w:rsid w:val="000E3E64"/>
    <w:rsid w:val="0014681B"/>
    <w:rsid w:val="001611F4"/>
    <w:rsid w:val="001676B2"/>
    <w:rsid w:val="00192420"/>
    <w:rsid w:val="001B6553"/>
    <w:rsid w:val="001D58B7"/>
    <w:rsid w:val="001E49A9"/>
    <w:rsid w:val="002055A2"/>
    <w:rsid w:val="0021071F"/>
    <w:rsid w:val="00230658"/>
    <w:rsid w:val="00234120"/>
    <w:rsid w:val="00254CB2"/>
    <w:rsid w:val="002750DE"/>
    <w:rsid w:val="002A76A6"/>
    <w:rsid w:val="002C6B88"/>
    <w:rsid w:val="002D0563"/>
    <w:rsid w:val="002F37FB"/>
    <w:rsid w:val="00330321"/>
    <w:rsid w:val="00335BCB"/>
    <w:rsid w:val="00347DF4"/>
    <w:rsid w:val="00365707"/>
    <w:rsid w:val="003735DD"/>
    <w:rsid w:val="00374E10"/>
    <w:rsid w:val="00381B12"/>
    <w:rsid w:val="00427526"/>
    <w:rsid w:val="0043604A"/>
    <w:rsid w:val="00442BF3"/>
    <w:rsid w:val="00454FF0"/>
    <w:rsid w:val="004612CC"/>
    <w:rsid w:val="004927C9"/>
    <w:rsid w:val="004B075C"/>
    <w:rsid w:val="004B3470"/>
    <w:rsid w:val="00522EB5"/>
    <w:rsid w:val="00530111"/>
    <w:rsid w:val="00541D73"/>
    <w:rsid w:val="00560E2A"/>
    <w:rsid w:val="005713D7"/>
    <w:rsid w:val="0058097E"/>
    <w:rsid w:val="005A233A"/>
    <w:rsid w:val="005B0AB7"/>
    <w:rsid w:val="005F0BD0"/>
    <w:rsid w:val="005F41E0"/>
    <w:rsid w:val="006206F8"/>
    <w:rsid w:val="00625710"/>
    <w:rsid w:val="006530C6"/>
    <w:rsid w:val="006A4EDD"/>
    <w:rsid w:val="006C3440"/>
    <w:rsid w:val="006E2592"/>
    <w:rsid w:val="007349C7"/>
    <w:rsid w:val="007704CD"/>
    <w:rsid w:val="00775096"/>
    <w:rsid w:val="00777646"/>
    <w:rsid w:val="007A2BD2"/>
    <w:rsid w:val="007A38F1"/>
    <w:rsid w:val="007E3A0A"/>
    <w:rsid w:val="007E731F"/>
    <w:rsid w:val="008424E7"/>
    <w:rsid w:val="0087163D"/>
    <w:rsid w:val="00875440"/>
    <w:rsid w:val="00886384"/>
    <w:rsid w:val="0089445A"/>
    <w:rsid w:val="0089721D"/>
    <w:rsid w:val="008D6D68"/>
    <w:rsid w:val="00A218C5"/>
    <w:rsid w:val="00A31C3B"/>
    <w:rsid w:val="00A723F9"/>
    <w:rsid w:val="00AA38B7"/>
    <w:rsid w:val="00AD07D7"/>
    <w:rsid w:val="00AF574D"/>
    <w:rsid w:val="00B03447"/>
    <w:rsid w:val="00B0549C"/>
    <w:rsid w:val="00B070B5"/>
    <w:rsid w:val="00B169C2"/>
    <w:rsid w:val="00B56780"/>
    <w:rsid w:val="00C07759"/>
    <w:rsid w:val="00C13B89"/>
    <w:rsid w:val="00C2745D"/>
    <w:rsid w:val="00C65B71"/>
    <w:rsid w:val="00C70A46"/>
    <w:rsid w:val="00C9419D"/>
    <w:rsid w:val="00CB2DE1"/>
    <w:rsid w:val="00CC34EE"/>
    <w:rsid w:val="00CE526C"/>
    <w:rsid w:val="00D00624"/>
    <w:rsid w:val="00D01C6E"/>
    <w:rsid w:val="00D53ED9"/>
    <w:rsid w:val="00D70F94"/>
    <w:rsid w:val="00DB5E29"/>
    <w:rsid w:val="00DD39A6"/>
    <w:rsid w:val="00E063B4"/>
    <w:rsid w:val="00E465B8"/>
    <w:rsid w:val="00E808A4"/>
    <w:rsid w:val="00EC3E05"/>
    <w:rsid w:val="00F13FA9"/>
    <w:rsid w:val="00F278B7"/>
    <w:rsid w:val="00F40520"/>
    <w:rsid w:val="00F66730"/>
    <w:rsid w:val="00F82692"/>
    <w:rsid w:val="00FC15C4"/>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A65D5B-9320-44AE-9FB9-21D123AD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442BF3"/>
    <w:rPr>
      <w:rFonts w:ascii="Segoe UI" w:hAnsi="Segoe UI" w:cs="Segoe UI"/>
      <w:sz w:val="18"/>
      <w:szCs w:val="18"/>
    </w:rPr>
  </w:style>
  <w:style w:type="character" w:customStyle="1" w:styleId="TextbublinyChar">
    <w:name w:val="Text bubliny Char"/>
    <w:basedOn w:val="Standardnpsmoodstavce"/>
    <w:link w:val="Textbubliny"/>
    <w:uiPriority w:val="99"/>
    <w:rsid w:val="00442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4937">
      <w:marLeft w:val="0"/>
      <w:marRight w:val="0"/>
      <w:marTop w:val="0"/>
      <w:marBottom w:val="0"/>
      <w:divBdr>
        <w:top w:val="none" w:sz="0" w:space="0" w:color="auto"/>
        <w:left w:val="none" w:sz="0" w:space="0" w:color="auto"/>
        <w:bottom w:val="none" w:sz="0" w:space="0" w:color="auto"/>
        <w:right w:val="none" w:sz="0" w:space="0" w:color="auto"/>
      </w:divBdr>
    </w:div>
    <w:div w:id="792944938">
      <w:marLeft w:val="0"/>
      <w:marRight w:val="0"/>
      <w:marTop w:val="0"/>
      <w:marBottom w:val="0"/>
      <w:divBdr>
        <w:top w:val="none" w:sz="0" w:space="0" w:color="auto"/>
        <w:left w:val="none" w:sz="0" w:space="0" w:color="auto"/>
        <w:bottom w:val="none" w:sz="0" w:space="0" w:color="auto"/>
        <w:right w:val="none" w:sz="0" w:space="0" w:color="auto"/>
      </w:divBdr>
    </w:div>
    <w:div w:id="792944939">
      <w:marLeft w:val="0"/>
      <w:marRight w:val="0"/>
      <w:marTop w:val="0"/>
      <w:marBottom w:val="0"/>
      <w:divBdr>
        <w:top w:val="none" w:sz="0" w:space="0" w:color="auto"/>
        <w:left w:val="none" w:sz="0" w:space="0" w:color="auto"/>
        <w:bottom w:val="none" w:sz="0" w:space="0" w:color="auto"/>
        <w:right w:val="none" w:sz="0" w:space="0" w:color="auto"/>
      </w:divBdr>
    </w:div>
    <w:div w:id="792944940">
      <w:marLeft w:val="0"/>
      <w:marRight w:val="0"/>
      <w:marTop w:val="0"/>
      <w:marBottom w:val="0"/>
      <w:divBdr>
        <w:top w:val="none" w:sz="0" w:space="0" w:color="auto"/>
        <w:left w:val="none" w:sz="0" w:space="0" w:color="auto"/>
        <w:bottom w:val="none" w:sz="0" w:space="0" w:color="auto"/>
        <w:right w:val="none" w:sz="0" w:space="0" w:color="auto"/>
      </w:divBdr>
    </w:div>
    <w:div w:id="792944941">
      <w:marLeft w:val="0"/>
      <w:marRight w:val="0"/>
      <w:marTop w:val="0"/>
      <w:marBottom w:val="0"/>
      <w:divBdr>
        <w:top w:val="none" w:sz="0" w:space="0" w:color="auto"/>
        <w:left w:val="none" w:sz="0" w:space="0" w:color="auto"/>
        <w:bottom w:val="none" w:sz="0" w:space="0" w:color="auto"/>
        <w:right w:val="none" w:sz="0" w:space="0" w:color="auto"/>
      </w:divBdr>
    </w:div>
    <w:div w:id="792944942">
      <w:marLeft w:val="0"/>
      <w:marRight w:val="0"/>
      <w:marTop w:val="0"/>
      <w:marBottom w:val="0"/>
      <w:divBdr>
        <w:top w:val="none" w:sz="0" w:space="0" w:color="auto"/>
        <w:left w:val="none" w:sz="0" w:space="0" w:color="auto"/>
        <w:bottom w:val="none" w:sz="0" w:space="0" w:color="auto"/>
        <w:right w:val="none" w:sz="0" w:space="0" w:color="auto"/>
      </w:divBdr>
    </w:div>
    <w:div w:id="792944943">
      <w:marLeft w:val="0"/>
      <w:marRight w:val="0"/>
      <w:marTop w:val="0"/>
      <w:marBottom w:val="0"/>
      <w:divBdr>
        <w:top w:val="none" w:sz="0" w:space="0" w:color="auto"/>
        <w:left w:val="none" w:sz="0" w:space="0" w:color="auto"/>
        <w:bottom w:val="none" w:sz="0" w:space="0" w:color="auto"/>
        <w:right w:val="none" w:sz="0" w:space="0" w:color="auto"/>
      </w:divBdr>
    </w:div>
    <w:div w:id="792944944">
      <w:marLeft w:val="0"/>
      <w:marRight w:val="0"/>
      <w:marTop w:val="0"/>
      <w:marBottom w:val="0"/>
      <w:divBdr>
        <w:top w:val="none" w:sz="0" w:space="0" w:color="auto"/>
        <w:left w:val="none" w:sz="0" w:space="0" w:color="auto"/>
        <w:bottom w:val="none" w:sz="0" w:space="0" w:color="auto"/>
        <w:right w:val="none" w:sz="0" w:space="0" w:color="auto"/>
      </w:divBdr>
    </w:div>
    <w:div w:id="792944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12797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 Ing.</dc:creator>
  <cp:keywords/>
  <dc:description/>
  <cp:lastModifiedBy>Němec Tomáš Ing.</cp:lastModifiedBy>
  <cp:revision>2</cp:revision>
  <cp:lastPrinted>2019-08-23T10:05:00Z</cp:lastPrinted>
  <dcterms:created xsi:type="dcterms:W3CDTF">2019-08-27T10:56:00Z</dcterms:created>
  <dcterms:modified xsi:type="dcterms:W3CDTF">2019-08-27T10:56:00Z</dcterms:modified>
</cp:coreProperties>
</file>