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Smlouva o dílo</w:t>
      </w:r>
    </w:p>
    <w:p w14:paraId="00000002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strany:</w:t>
      </w:r>
    </w:p>
    <w:p w14:paraId="00000004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Moravskoslezské Investice a Development, a. s.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06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 Na Jízdárně 1245/7, Moravská Ostrava, 702 00 Ostrava</w:t>
      </w:r>
    </w:p>
    <w:p w14:paraId="00000007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 47673168, DIČ CZ47673168, společnost zapsána v OR u KS v Ostravě – oddíl B, vložka 609</w:t>
      </w:r>
    </w:p>
    <w:p w14:paraId="00000008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bankovní spojení: ČSOB a.s., pobočka Ostrava, č.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373791183/0300</w:t>
      </w:r>
    </w:p>
    <w:p w14:paraId="00000009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 Ing. Tomášem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Kolárikem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statutárním ředitelem</w:t>
      </w:r>
    </w:p>
    <w:p w14:paraId="0000000A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B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objednatel</w:t>
      </w:r>
      <w:r>
        <w:rPr>
          <w:rFonts w:ascii="Calibri" w:eastAsia="Calibri" w:hAnsi="Calibri" w:cs="Calibri"/>
          <w:color w:val="000000"/>
          <w:sz w:val="22"/>
          <w:szCs w:val="22"/>
        </w:rPr>
        <w:t>“ na straně jedné</w:t>
      </w:r>
    </w:p>
    <w:p w14:paraId="0000000C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000000E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F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EVANS spol. s r. o.</w:t>
      </w:r>
    </w:p>
    <w:p w14:paraId="00000010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sídlem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č.p.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486, 739 01 Baška (areál cihelny)</w:t>
      </w:r>
    </w:p>
    <w:p w14:paraId="00000011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 47680601, DIČ CZ476806</w:t>
      </w:r>
      <w:r>
        <w:rPr>
          <w:rFonts w:ascii="Calibri" w:eastAsia="Calibri" w:hAnsi="Calibri" w:cs="Calibri"/>
          <w:color w:val="000000"/>
          <w:sz w:val="22"/>
          <w:szCs w:val="22"/>
        </w:rPr>
        <w:t>01, společnost zapsána v OR vedeném KS v Ostravě – oddíl C, vložka 4392</w:t>
      </w:r>
    </w:p>
    <w:p w14:paraId="00000012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bankovní spojení: Komerční banka, a.s., pobočka Frýdek-Místek,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č.ú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19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-3693870247/0100</w:t>
      </w:r>
    </w:p>
    <w:p w14:paraId="00000013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 Ing. Ivanem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Pasičnykem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jednatelem</w:t>
      </w:r>
    </w:p>
    <w:p w14:paraId="00000014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zhotovitel</w:t>
      </w:r>
      <w:r>
        <w:rPr>
          <w:rFonts w:ascii="Calibri" w:eastAsia="Calibri" w:hAnsi="Calibri" w:cs="Calibri"/>
          <w:color w:val="000000"/>
          <w:sz w:val="22"/>
          <w:szCs w:val="22"/>
        </w:rPr>
        <w:t>“ na straně druhé,</w:t>
      </w:r>
    </w:p>
    <w:p w14:paraId="00000016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7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společně také jako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strany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</w:p>
    <w:p w14:paraId="00000018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uzavírají tuto smlouvu o dílo v souladu 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§ 2586 a násl. Zákona č. 89/2012 Sb., občanského zákoníku, ve znění pozdějších předpisů:</w:t>
      </w:r>
    </w:p>
    <w:p w14:paraId="0000001A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</w:t>
      </w:r>
    </w:p>
    <w:p w14:paraId="0000001D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0000001E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F506C9" w:rsidRDefault="00C0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je uzavírána na základě výsledku cenového průzkumu objednatele. </w:t>
      </w:r>
    </w:p>
    <w:p w14:paraId="00000020" w14:textId="77777777" w:rsidR="00F506C9" w:rsidRDefault="00C0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se zavazuje, že pro objednatele v rozsahu a za podmínek stanovených touto smlouvou provede dodávku a montáž podlahové krytiny – koberců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Atlantic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57620 4m (vč. dodávky materiálu, strhnutí stávajících koberců a likvidace odpadu) a malbu vnitřních </w:t>
      </w:r>
      <w:r>
        <w:rPr>
          <w:rFonts w:ascii="Calibri" w:eastAsia="Calibri" w:hAnsi="Calibri" w:cs="Calibri"/>
          <w:color w:val="000000"/>
          <w:sz w:val="22"/>
          <w:szCs w:val="22"/>
        </w:rPr>
        <w:t>prostor v sídle objednatele, a to v rozsahu uvedeném v cenové nabídce zhotovitele ze dne 2. 7. 2019, která je přílohou a nedílnou součástí této smlouvy (vše dále též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dílo</w:t>
      </w:r>
      <w:r>
        <w:rPr>
          <w:rFonts w:ascii="Calibri" w:eastAsia="Calibri" w:hAnsi="Calibri" w:cs="Calibri"/>
          <w:color w:val="000000"/>
          <w:sz w:val="22"/>
          <w:szCs w:val="22"/>
        </w:rPr>
        <w:t>“ či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předmět zakázky</w:t>
      </w:r>
      <w:r>
        <w:rPr>
          <w:rFonts w:ascii="Calibri" w:eastAsia="Calibri" w:hAnsi="Calibri" w:cs="Calibri"/>
          <w:color w:val="000000"/>
          <w:sz w:val="22"/>
          <w:szCs w:val="22"/>
        </w:rPr>
        <w:t>“).</w:t>
      </w:r>
    </w:p>
    <w:p w14:paraId="00000021" w14:textId="77777777" w:rsidR="00F506C9" w:rsidRDefault="00C0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Dílo bude provedeno s odbornou péčí v souladu s technickými </w:t>
      </w:r>
      <w:r>
        <w:rPr>
          <w:rFonts w:ascii="Calibri" w:eastAsia="Calibri" w:hAnsi="Calibri" w:cs="Calibri"/>
          <w:color w:val="000000"/>
          <w:sz w:val="22"/>
          <w:szCs w:val="22"/>
        </w:rPr>
        <w:t>normami a v kvalitě provedení odpovídající hodnotě díla.</w:t>
      </w:r>
    </w:p>
    <w:p w14:paraId="00000022" w14:textId="77777777" w:rsidR="00F506C9" w:rsidRDefault="00C04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poskytovat si vzájemnou součinnost pro řádné provedení díla. Za tímto účelem si budou poskytovat veškeré potřebné informace, které mohou být důležité nebo nutné pro provede</w:t>
      </w:r>
      <w:r>
        <w:rPr>
          <w:rFonts w:ascii="Calibri" w:eastAsia="Calibri" w:hAnsi="Calibri" w:cs="Calibri"/>
          <w:color w:val="000000"/>
          <w:sz w:val="22"/>
          <w:szCs w:val="22"/>
        </w:rPr>
        <w:t>ní díla.</w:t>
      </w:r>
    </w:p>
    <w:p w14:paraId="00000023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</w:t>
      </w:r>
    </w:p>
    <w:p w14:paraId="00000025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Termíny vyhotovení díla, předání díla</w:t>
      </w:r>
    </w:p>
    <w:p w14:paraId="00000026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F506C9" w:rsidRDefault="00C04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Dílo bude provedeno v termínu od 1. září 2019 do 30. listopadu 2019.</w:t>
      </w:r>
    </w:p>
    <w:p w14:paraId="00000028" w14:textId="77777777" w:rsidR="00F506C9" w:rsidRDefault="00C04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předání a převzetí díla bude sepsán a oběma smluvními stranami podepsán předávací protokol.</w:t>
      </w:r>
    </w:p>
    <w:p w14:paraId="00000029" w14:textId="21796A3D" w:rsidR="00F506C9" w:rsidRDefault="00C04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Bude-li předávané dílo obsahovat nedodělky nebo vady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bránící užívání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 zhotovitel povinen upozornit na tyto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ostatní </w:t>
      </w:r>
      <w:r>
        <w:rPr>
          <w:rFonts w:ascii="Calibri" w:eastAsia="Calibri" w:hAnsi="Calibri" w:cs="Calibri"/>
          <w:color w:val="000000"/>
          <w:sz w:val="22"/>
          <w:szCs w:val="22"/>
        </w:rPr>
        <w:t>vady objednatele v předávacím protokolu. V případě zjištění vad a nedodělků po předání díla objednatelem, oznámí tento neprodleně zjiště</w:t>
      </w:r>
      <w:r>
        <w:rPr>
          <w:rFonts w:ascii="Calibri" w:eastAsia="Calibri" w:hAnsi="Calibri" w:cs="Calibri"/>
          <w:color w:val="000000"/>
          <w:sz w:val="22"/>
          <w:szCs w:val="22"/>
        </w:rPr>
        <w:t>né skutečnosti elektronickou nebo písemnou formou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zhotovitel na ně do 7 dnů odpoví.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Předání díla s vadami či nedodělky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bránicími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užívání díla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není splněním zhotovitelova závazku dílo provést.</w:t>
      </w:r>
    </w:p>
    <w:p w14:paraId="0000002A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B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</w:t>
      </w:r>
    </w:p>
    <w:p w14:paraId="0000002C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Cena díla a platební podmínky</w:t>
      </w:r>
    </w:p>
    <w:p w14:paraId="0000002D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E" w14:textId="77777777" w:rsidR="00F506C9" w:rsidRDefault="00C04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provedení díla zaplatí objednatel zhotoviteli cenu ve výši 554.750,- Kč (bez DPH). Tato cena je sjednána podle § 2620 odst. 1 občanského zákoníku na základě cenové nabídky zhotovitele ze dne 2. 7. 2019 jako cena maximální a konečná a zahrnuje veškeré ná</w:t>
      </w:r>
      <w:r>
        <w:rPr>
          <w:rFonts w:ascii="Calibri" w:eastAsia="Calibri" w:hAnsi="Calibri" w:cs="Calibri"/>
          <w:color w:val="000000"/>
          <w:sz w:val="22"/>
          <w:szCs w:val="22"/>
        </w:rPr>
        <w:t>klady zhotovitele spojené s provedením díla. Pouze v případě menší spotřeby materiálu nebo práce nezbytné k provedení díla bude cena díla stanovena dle skutečné spotřeby materiálu nebo rozsahu provedených prací dle jednotkových cen uvedených v cenové nabíd</w:t>
      </w:r>
      <w:r>
        <w:rPr>
          <w:rFonts w:ascii="Calibri" w:eastAsia="Calibri" w:hAnsi="Calibri" w:cs="Calibri"/>
          <w:color w:val="000000"/>
          <w:sz w:val="22"/>
          <w:szCs w:val="22"/>
        </w:rPr>
        <w:t>ce.</w:t>
      </w:r>
    </w:p>
    <w:p w14:paraId="0000002F" w14:textId="77777777" w:rsidR="00F506C9" w:rsidRDefault="00C04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si sjednávají poskytnutí zálohy ve výši 300.000,- Kč, která bude objednatelem poskytnuta zhotoviteli na základě zhotovitelem vystavené zálohové faktury se splatností do 14 dnů od doručení zálohové faktury objednateli.  </w:t>
      </w:r>
    </w:p>
    <w:p w14:paraId="00000030" w14:textId="77777777" w:rsidR="00F506C9" w:rsidRDefault="00C04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Veškerá finanční plnění budou poskytována bankovním převodem na účet zhotovitele uvedený v záhlaví této smlouvy.</w:t>
      </w:r>
    </w:p>
    <w:p w14:paraId="00000031" w14:textId="77777777" w:rsidR="00F506C9" w:rsidRDefault="00C04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Cena za dílo je splatná na základě vystavení daňového dokladu/faktury.  Zhotovitel je oprávněn vystavit daňový doklad až po předání díla a jeho převzetí objednatelem bez vad a nedodělků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bránících užívání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díla ,</w:t>
      </w:r>
      <w:r>
        <w:rPr>
          <w:rFonts w:ascii="Calibri" w:eastAsia="Calibri" w:hAnsi="Calibri" w:cs="Calibri"/>
          <w:color w:val="000000"/>
          <w:sz w:val="22"/>
          <w:szCs w:val="22"/>
        </w:rPr>
        <w:t>podle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čl. II odst. 2 a 3 této smlouvy.</w:t>
      </w:r>
    </w:p>
    <w:p w14:paraId="00000032" w14:textId="49ED6F97" w:rsidR="00F506C9" w:rsidRDefault="00C04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Faktura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 daňovým dokladem a musí být vystavena dle § 28 zákona č. 235/2004 Sb., o dani z přidané hodnoty, ve znění pozdějších předpisů. Faktura bude vystavena se splatností 14 dn</w:t>
      </w:r>
      <w:r>
        <w:rPr>
          <w:rFonts w:ascii="Calibri" w:eastAsia="Calibri" w:hAnsi="Calibri" w:cs="Calibri"/>
          <w:color w:val="000000"/>
          <w:sz w:val="22"/>
          <w:szCs w:val="22"/>
        </w:rPr>
        <w:t>ů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ode dne jej</w:t>
      </w:r>
      <w:r>
        <w:rPr>
          <w:rFonts w:ascii="Calibri" w:eastAsia="Calibri" w:hAnsi="Calibri" w:cs="Calibri"/>
          <w:color w:val="000000"/>
          <w:sz w:val="22"/>
          <w:szCs w:val="22"/>
        </w:rPr>
        <w:t>í</w:t>
      </w:r>
      <w:r w:rsidR="004F33A3">
        <w:rPr>
          <w:rFonts w:ascii="Calibri" w:eastAsia="Calibri" w:hAnsi="Calibri" w:cs="Calibri"/>
          <w:color w:val="000000"/>
          <w:sz w:val="22"/>
          <w:szCs w:val="22"/>
        </w:rPr>
        <w:t xml:space="preserve">ho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doručení objednateli. Nebude-li faktura obsahovat náležitosti ne</w:t>
      </w:r>
      <w:r>
        <w:rPr>
          <w:rFonts w:ascii="Calibri" w:eastAsia="Calibri" w:hAnsi="Calibri" w:cs="Calibri"/>
          <w:color w:val="000000"/>
          <w:sz w:val="22"/>
          <w:szCs w:val="22"/>
        </w:rPr>
        <w:t>bo nebudou-li údaje na faktuře v souladu se smlouvou, bude objednatel oprávněn vrátit je zhotoviteli k opravě bez jejich proplacení, aniž se tím dostane do prodlení s úhradou příslušné částky. V takovém případě lhůta splatnosti počíná běžet znovu ode dne d</w:t>
      </w:r>
      <w:r>
        <w:rPr>
          <w:rFonts w:ascii="Calibri" w:eastAsia="Calibri" w:hAnsi="Calibri" w:cs="Calibri"/>
          <w:color w:val="000000"/>
          <w:sz w:val="22"/>
          <w:szCs w:val="22"/>
        </w:rPr>
        <w:t>oručení nové faktury.</w:t>
      </w:r>
    </w:p>
    <w:p w14:paraId="00000033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4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IV.</w:t>
      </w:r>
    </w:p>
    <w:p w14:paraId="00000035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Záruka a odpovědnost</w:t>
      </w:r>
    </w:p>
    <w:p w14:paraId="00000036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7" w14:textId="77777777" w:rsidR="00F506C9" w:rsidRDefault="00C04D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odpovídá za kvalitu jím provedeného díla a poskytuje objednateli záruku za jakost provedeného díla v délce 24 měsíců ode dne předání díla bez vad a nedodělků.</w:t>
      </w:r>
    </w:p>
    <w:p w14:paraId="00000038" w14:textId="77777777" w:rsidR="00F506C9" w:rsidRDefault="00C04D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Každá reklamace musí být uplatněna písemně nebo elektronicky (e-mailem) a musí obsahovat popis závady.</w:t>
      </w:r>
    </w:p>
    <w:p w14:paraId="00000039" w14:textId="77777777" w:rsidR="00F506C9" w:rsidRDefault="00C04D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 případ vady na díle má objednatel právo požadovat a zhotovitel povinnost poskytnout bezplatné odstranění vady do 15 pracovních dnů po obdržení reklam</w:t>
      </w:r>
      <w:r>
        <w:rPr>
          <w:rFonts w:ascii="Calibri" w:eastAsia="Calibri" w:hAnsi="Calibri" w:cs="Calibri"/>
          <w:color w:val="000000"/>
          <w:sz w:val="22"/>
          <w:szCs w:val="22"/>
        </w:rPr>
        <w:t>ace od objednatele.</w:t>
      </w:r>
    </w:p>
    <w:p w14:paraId="0000003A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B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V.</w:t>
      </w:r>
    </w:p>
    <w:p w14:paraId="0000003C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Smluvní pokuty a odstoupení od smlouvy</w:t>
      </w:r>
    </w:p>
    <w:p w14:paraId="0000003D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E" w14:textId="34DECDFF" w:rsidR="00F506C9" w:rsidRDefault="00C04D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případě nedodržení termínu provedení a předání řádně provedeného díla podle čl. II. odst. 1 ze strany zhotovitele je zhotovitel povinen uhradit objednateli smluvní pokutu ve výši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000,- Kč za každý i započatý kalendářní den prodlení.</w:t>
      </w:r>
    </w:p>
    <w:p w14:paraId="0000003F" w14:textId="77777777" w:rsidR="00F506C9" w:rsidRDefault="00C04D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prostojů zaviněných objednavatelem, bude zhotoviteli posunut termín dokončení o dobu prostojů.</w:t>
      </w:r>
    </w:p>
    <w:p w14:paraId="00000040" w14:textId="77777777" w:rsidR="00F506C9" w:rsidRPr="00900188" w:rsidRDefault="00C04D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 případě, že objednavatel nezaplatí fakturu mající všechny náležitosti, stanovuje se pokuta 0,2% ceny za každý i započatý den prodlení.</w:t>
      </w:r>
    </w:p>
    <w:p w14:paraId="00000041" w14:textId="77777777" w:rsidR="00F506C9" w:rsidRDefault="00C04D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Zaplacením smluvní pokuty není dotčen nárok smluvních stran na náhradu škody nebo odškodnění v plném rozsahu ani povinn</w:t>
      </w:r>
      <w:r>
        <w:rPr>
          <w:rFonts w:ascii="Calibri" w:eastAsia="Calibri" w:hAnsi="Calibri" w:cs="Calibri"/>
          <w:color w:val="000000"/>
          <w:sz w:val="22"/>
          <w:szCs w:val="22"/>
        </w:rPr>
        <w:t>ost zhotovitele řádně dokončit dílo.</w:t>
      </w:r>
    </w:p>
    <w:p w14:paraId="00000042" w14:textId="77777777" w:rsidR="00F506C9" w:rsidRDefault="00C04D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případě odstoupení od smlouvy poté co bude ze strany zhotovitele započato s plněním, náleží zhotoviteli za dosavadní plnění peněžitá náhrada ve výši odpovídající obvyklým nákladům, které by objednavatel v daném místě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čase musel vynaložit na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dosažení  stejného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plnění  v souladu s ustanovením § 2613 zákona 89/2012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sb.občanského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zákoníku</w:t>
      </w:r>
    </w:p>
    <w:p w14:paraId="00000043" w14:textId="77777777" w:rsidR="00F506C9" w:rsidRPr="00900188" w:rsidRDefault="00C04D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i objednatel jsou oprávnění odstoupit od smlouvy v případech uvedených ve smlouvě a dále v případě jakéhokoliv podstatného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porušení smlouvy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druhou  smluvní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stranou.</w:t>
      </w:r>
    </w:p>
    <w:p w14:paraId="00000044" w14:textId="77777777" w:rsidR="00F506C9" w:rsidRDefault="00C04D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 účely odstoupení od smlouvy se za podstatné porušení smlouvy ve smyslu § 2002 zákona č. 89/2012 Sb., občanského zákoníku, ve znění pozdějších předpisů, považuje zejména:</w:t>
      </w:r>
    </w:p>
    <w:p w14:paraId="00000045" w14:textId="5E2190E3" w:rsidR="00F506C9" w:rsidRDefault="00C04D0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prodlení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provedením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 předáním řádně provedeného díla delší než 14 dnů.</w:t>
      </w:r>
    </w:p>
    <w:p w14:paraId="00000046" w14:textId="77777777" w:rsidR="00F506C9" w:rsidRDefault="00C04D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Dojde-li k výše uvedenému porušení smlouvy, je příslušná smluvní strana oprávněna od smlouvy odstoupit. Účinky odstoupení od smlouvy nastávají v těchto případech dnem doručení oznámení o odsto</w:t>
      </w:r>
      <w:r>
        <w:rPr>
          <w:rFonts w:ascii="Calibri" w:eastAsia="Calibri" w:hAnsi="Calibri" w:cs="Calibri"/>
          <w:color w:val="000000"/>
          <w:sz w:val="22"/>
          <w:szCs w:val="22"/>
        </w:rPr>
        <w:t>upení druhé smluvní straně na její adresu uvedenou v záhlaví této smlouvy, resp. Na její poslední známou adresu bez ohledu na to, zdali toto oznámení o odstoupení bylo druhou smluvní stranou převzato či nikoliv.</w:t>
      </w:r>
    </w:p>
    <w:p w14:paraId="00000047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VI.</w:t>
      </w:r>
    </w:p>
    <w:p w14:paraId="00000048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Další povinnosti smluvních stran</w:t>
      </w:r>
    </w:p>
    <w:p w14:paraId="00000049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A" w14:textId="77777777" w:rsidR="00F506C9" w:rsidRDefault="00C04D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jsou povinny bez zbytečného odkladu oznámit druhé smluvní straně změnu údajů v záhlaví smlouvy nebo změnu kontaktních osob, které jsou oprávněny k poskytování součinnosti dle této smlouvy.</w:t>
      </w:r>
    </w:p>
    <w:p w14:paraId="0000004B" w14:textId="48C0387F" w:rsidR="00F506C9" w:rsidRDefault="00C04D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se zavazuje umožnit zhotoviteli provedení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díla zpřístupněním objektu a prostor určených k provedení díla a umožnit zhotoviteli čerpání elektrické energie a studené vody potřebné k provedení montáž</w:t>
      </w:r>
      <w:r>
        <w:rPr>
          <w:rFonts w:ascii="Calibri" w:eastAsia="Calibri" w:hAnsi="Calibri" w:cs="Calibri"/>
          <w:color w:val="000000"/>
          <w:sz w:val="22"/>
          <w:szCs w:val="22"/>
        </w:rPr>
        <w:t>e.</w:t>
      </w:r>
    </w:p>
    <w:p w14:paraId="0000004C" w14:textId="77777777" w:rsidR="00F506C9" w:rsidRDefault="00C04D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se zavazuje dílo provádět tak, aby došlo k co nejmenšímu omezení provozu objednatele v prostorách jeho sídla.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 tomu bude zhotovitelem vypracován harmonogram prací.</w:t>
      </w:r>
    </w:p>
    <w:p w14:paraId="0000004D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E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VII.</w:t>
      </w:r>
    </w:p>
    <w:p w14:paraId="0000004F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ujednání</w:t>
      </w:r>
    </w:p>
    <w:p w14:paraId="00000050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1" w14:textId="77777777" w:rsidR="00F506C9" w:rsidRDefault="00C04D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Vztahy touto smlouvou neupravené se řídí příslušnými u</w:t>
      </w:r>
      <w:r>
        <w:rPr>
          <w:rFonts w:ascii="Calibri" w:eastAsia="Calibri" w:hAnsi="Calibri" w:cs="Calibri"/>
          <w:color w:val="000000"/>
          <w:sz w:val="22"/>
          <w:szCs w:val="22"/>
        </w:rPr>
        <w:t>stanoveními zákona č. 89/2012 Sb., občanský zákoník, ve znění pozdějších předpisů.</w:t>
      </w:r>
    </w:p>
    <w:p w14:paraId="00000052" w14:textId="003A8B77" w:rsidR="00F506C9" w:rsidRDefault="00C04D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nabývá účinnosti dnem jejího </w:t>
      </w: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veřejnění v registru smluv zřízeném na základě zákona č. 340/2015 Sb., o registru smluv, v platném znění, jehož správcem je Ministerstvo vnitra ČR. Objednatel se zavazuje k uveřejnění této smlouvy v registru smluv postupem dle § 5 zákona o registru smluv b</w:t>
      </w:r>
      <w:r>
        <w:rPr>
          <w:rFonts w:ascii="Calibri" w:eastAsia="Calibri" w:hAnsi="Calibri" w:cs="Calibri"/>
          <w:color w:val="000000"/>
          <w:sz w:val="22"/>
          <w:szCs w:val="22"/>
        </w:rPr>
        <w:t>ez zbytečného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od</w:t>
      </w:r>
      <w:r>
        <w:rPr>
          <w:rFonts w:ascii="Calibri" w:eastAsia="Calibri" w:hAnsi="Calibri" w:cs="Calibri"/>
          <w:color w:val="000000"/>
          <w:sz w:val="22"/>
          <w:szCs w:val="22"/>
        </w:rPr>
        <w:t>kladu po jejím uzavření.</w:t>
      </w:r>
    </w:p>
    <w:p w14:paraId="00000053" w14:textId="77777777" w:rsidR="00F506C9" w:rsidRDefault="00C04D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V případě, že by některé ustanovení smlouvy stalo neplatné či neúčinné, nezpůsobuje tato skutečnost neplatnost ani neúčinnost ostatních částí smlouvy. Smluvní strany se ho zavazují po vzájemné dohodě nahradit jin</w:t>
      </w:r>
      <w:r>
        <w:rPr>
          <w:rFonts w:ascii="Calibri" w:eastAsia="Calibri" w:hAnsi="Calibri" w:cs="Calibri"/>
          <w:color w:val="000000"/>
          <w:sz w:val="22"/>
          <w:szCs w:val="22"/>
        </w:rPr>
        <w:t>ým ustanovením, blížícím se obsahem nejvíce účelu neplatného či neúčinného ustanovení.</w:t>
      </w:r>
    </w:p>
    <w:p w14:paraId="00000054" w14:textId="77777777" w:rsidR="00F506C9" w:rsidRDefault="00C04D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2"/>
        <w:ind w:left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Tato smlouva se vyhotovuje ve dvou stejnopisech s platností originálu, z nichž každá smluvní strana obdrží po jednom.</w:t>
      </w:r>
    </w:p>
    <w:p w14:paraId="00000055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6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cenová nabídka zhotovitele ze dne 2. 7. 2</w:t>
      </w:r>
      <w:r>
        <w:rPr>
          <w:rFonts w:ascii="Calibri" w:eastAsia="Calibri" w:hAnsi="Calibri" w:cs="Calibri"/>
          <w:color w:val="000000"/>
          <w:sz w:val="22"/>
          <w:szCs w:val="22"/>
        </w:rPr>
        <w:t>019</w:t>
      </w:r>
    </w:p>
    <w:p w14:paraId="00000057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8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Ostravě dne _________________.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 Ostravě dne _________________.</w:t>
      </w:r>
    </w:p>
    <w:p w14:paraId="00000059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A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B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C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D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</w:t>
      </w:r>
    </w:p>
    <w:p w14:paraId="0000005E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Moravskoslezské Investice a Development, a. s.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EVANS spol. s r. o.</w:t>
      </w:r>
    </w:p>
    <w:p w14:paraId="0000005F" w14:textId="77777777" w:rsidR="00F506C9" w:rsidRDefault="00C04D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Ing. Tomáš Kolárik, statutární ředitel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Ing. Ivan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Pasičnyk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jednatel</w:t>
      </w:r>
    </w:p>
    <w:p w14:paraId="00000060" w14:textId="77777777" w:rsidR="00F506C9" w:rsidRDefault="00F50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F506C9">
      <w:footerReference w:type="default" r:id="rId8"/>
      <w:pgSz w:w="11906" w:h="16838"/>
      <w:pgMar w:top="1417" w:right="1133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40CEE" w14:textId="77777777" w:rsidR="00000000" w:rsidRDefault="00C04D08">
      <w:r>
        <w:separator/>
      </w:r>
    </w:p>
  </w:endnote>
  <w:endnote w:type="continuationSeparator" w:id="0">
    <w:p w14:paraId="7F5DD952" w14:textId="77777777" w:rsidR="00000000" w:rsidRDefault="00C0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1" w14:textId="77777777" w:rsidR="00F506C9" w:rsidRDefault="00F506C9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200" w:line="276" w:lineRule="auto"/>
      <w:jc w:val="right"/>
      <w:rPr>
        <w:rFonts w:ascii="Calibri" w:eastAsia="Calibri" w:hAnsi="Calibri" w:cs="Calibri"/>
        <w:color w:val="000000"/>
        <w:sz w:val="14"/>
        <w:szCs w:val="14"/>
      </w:rPr>
    </w:pPr>
  </w:p>
  <w:p w14:paraId="00000062" w14:textId="77777777" w:rsidR="00F506C9" w:rsidRDefault="00C04D08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Strana </w:t>
    </w:r>
    <w:r>
      <w:rPr>
        <w:rFonts w:ascii="Calibri" w:eastAsia="Calibri" w:hAnsi="Calibri" w:cs="Calibri"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color w:val="000000"/>
        <w:sz w:val="14"/>
        <w:szCs w:val="14"/>
      </w:rPr>
      <w:instrText>PAGE</w:instrText>
    </w:r>
    <w:r w:rsidR="004F33A3">
      <w:rPr>
        <w:rFonts w:ascii="Calibri" w:eastAsia="Calibri" w:hAnsi="Calibri" w:cs="Calibri"/>
        <w:color w:val="000000"/>
        <w:sz w:val="14"/>
        <w:szCs w:val="14"/>
      </w:rPr>
      <w:fldChar w:fldCharType="separate"/>
    </w:r>
    <w:r>
      <w:rPr>
        <w:rFonts w:ascii="Calibri" w:eastAsia="Calibri" w:hAnsi="Calibri" w:cs="Calibri"/>
        <w:noProof/>
        <w:color w:val="000000"/>
        <w:sz w:val="14"/>
        <w:szCs w:val="14"/>
      </w:rPr>
      <w:t>4</w:t>
    </w:r>
    <w:r>
      <w:rPr>
        <w:rFonts w:ascii="Calibri" w:eastAsia="Calibri" w:hAnsi="Calibri" w:cs="Calibri"/>
        <w:color w:val="000000"/>
        <w:sz w:val="14"/>
        <w:szCs w:val="14"/>
      </w:rPr>
      <w:fldChar w:fldCharType="end"/>
    </w:r>
    <w:r>
      <w:rPr>
        <w:rFonts w:ascii="Calibri" w:eastAsia="Calibri" w:hAnsi="Calibri" w:cs="Calibri"/>
        <w:color w:val="000000"/>
        <w:sz w:val="14"/>
        <w:szCs w:val="14"/>
      </w:rPr>
      <w:t xml:space="preserve"> (celkem </w:t>
    </w:r>
    <w:r>
      <w:rPr>
        <w:rFonts w:ascii="Calibri" w:eastAsia="Calibri" w:hAnsi="Calibri" w:cs="Calibri"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color w:val="000000"/>
        <w:sz w:val="14"/>
        <w:szCs w:val="14"/>
      </w:rPr>
      <w:instrText>NUMPAGES</w:instrText>
    </w:r>
    <w:r w:rsidR="004F33A3">
      <w:rPr>
        <w:rFonts w:ascii="Calibri" w:eastAsia="Calibri" w:hAnsi="Calibri" w:cs="Calibri"/>
        <w:color w:val="000000"/>
        <w:sz w:val="14"/>
        <w:szCs w:val="14"/>
      </w:rPr>
      <w:fldChar w:fldCharType="separate"/>
    </w:r>
    <w:r>
      <w:rPr>
        <w:rFonts w:ascii="Calibri" w:eastAsia="Calibri" w:hAnsi="Calibri" w:cs="Calibri"/>
        <w:noProof/>
        <w:color w:val="000000"/>
        <w:sz w:val="14"/>
        <w:szCs w:val="14"/>
      </w:rPr>
      <w:t>4</w:t>
    </w:r>
    <w:r>
      <w:rPr>
        <w:rFonts w:ascii="Calibri" w:eastAsia="Calibri" w:hAnsi="Calibri" w:cs="Calibri"/>
        <w:color w:val="000000"/>
        <w:sz w:val="14"/>
        <w:szCs w:val="14"/>
      </w:rPr>
      <w:fldChar w:fldCharType="end"/>
    </w:r>
    <w:r>
      <w:rPr>
        <w:rFonts w:ascii="Calibri" w:eastAsia="Calibri" w:hAnsi="Calibri" w:cs="Calibri"/>
        <w:color w:val="000000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0846" w14:textId="77777777" w:rsidR="00000000" w:rsidRDefault="00C04D08">
      <w:r>
        <w:separator/>
      </w:r>
    </w:p>
  </w:footnote>
  <w:footnote w:type="continuationSeparator" w:id="0">
    <w:p w14:paraId="17BD63E8" w14:textId="77777777" w:rsidR="00000000" w:rsidRDefault="00C0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3B7"/>
    <w:multiLevelType w:val="multilevel"/>
    <w:tmpl w:val="7C9857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i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i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i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i w:val="0"/>
        <w:color w:val="00000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i w:val="0"/>
        <w:color w:val="00000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i w:val="0"/>
        <w:color w:val="000000"/>
        <w:sz w:val="22"/>
        <w:szCs w:val="22"/>
        <w:vertAlign w:val="baseline"/>
      </w:rPr>
    </w:lvl>
  </w:abstractNum>
  <w:abstractNum w:abstractNumId="1">
    <w:nsid w:val="1FA10B46"/>
    <w:multiLevelType w:val="multilevel"/>
    <w:tmpl w:val="76C8634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eastAsia="Calibri" w:hAnsi="Calibri" w:cs="Calibri"/>
        <w:sz w:val="22"/>
        <w:szCs w:val="22"/>
        <w:vertAlign w:val="baseline"/>
      </w:rPr>
    </w:lvl>
  </w:abstractNum>
  <w:abstractNum w:abstractNumId="2">
    <w:nsid w:val="28FB7246"/>
    <w:multiLevelType w:val="multilevel"/>
    <w:tmpl w:val="8466DC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i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i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i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i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color w:val="00000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i w:val="0"/>
        <w:color w:val="00000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i w:val="0"/>
        <w:color w:val="000000"/>
        <w:sz w:val="22"/>
        <w:szCs w:val="22"/>
        <w:vertAlign w:val="baseline"/>
      </w:rPr>
    </w:lvl>
  </w:abstractNum>
  <w:abstractNum w:abstractNumId="3">
    <w:nsid w:val="2B133705"/>
    <w:multiLevelType w:val="multilevel"/>
    <w:tmpl w:val="F35A77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i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i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i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i w:val="0"/>
        <w:color w:val="00000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i w:val="0"/>
        <w:color w:val="00000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i w:val="0"/>
        <w:color w:val="000000"/>
        <w:sz w:val="22"/>
        <w:szCs w:val="22"/>
        <w:vertAlign w:val="baseline"/>
      </w:rPr>
    </w:lvl>
  </w:abstractNum>
  <w:abstractNum w:abstractNumId="4">
    <w:nsid w:val="536517F8"/>
    <w:multiLevelType w:val="multilevel"/>
    <w:tmpl w:val="97ECD3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i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i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i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i w:val="0"/>
        <w:color w:val="00000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i w:val="0"/>
        <w:color w:val="00000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i w:val="0"/>
        <w:color w:val="000000"/>
        <w:sz w:val="22"/>
        <w:szCs w:val="22"/>
        <w:vertAlign w:val="baseline"/>
      </w:rPr>
    </w:lvl>
  </w:abstractNum>
  <w:abstractNum w:abstractNumId="5">
    <w:nsid w:val="7465188F"/>
    <w:multiLevelType w:val="multilevel"/>
    <w:tmpl w:val="ADF64A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i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i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i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i w:val="0"/>
        <w:color w:val="00000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i w:val="0"/>
        <w:color w:val="00000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i w:val="0"/>
        <w:color w:val="000000"/>
        <w:sz w:val="22"/>
        <w:szCs w:val="22"/>
        <w:vertAlign w:val="baseline"/>
      </w:rPr>
    </w:lvl>
  </w:abstractNum>
  <w:abstractNum w:abstractNumId="6">
    <w:nsid w:val="78E3798F"/>
    <w:multiLevelType w:val="multilevel"/>
    <w:tmpl w:val="6B982E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6C9"/>
    <w:rsid w:val="004F33A3"/>
    <w:rsid w:val="00900188"/>
    <w:rsid w:val="00C04D08"/>
    <w:rsid w:val="00F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1210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Gavlasová Hana</dc:creator>
  <cp:lastModifiedBy>Gavlasová Hana</cp:lastModifiedBy>
  <cp:revision>4</cp:revision>
  <cp:lastPrinted>2019-08-15T11:16:00Z</cp:lastPrinted>
  <dcterms:created xsi:type="dcterms:W3CDTF">2019-08-15T11:15:00Z</dcterms:created>
  <dcterms:modified xsi:type="dcterms:W3CDTF">2019-08-15T12:10:00Z</dcterms:modified>
</cp:coreProperties>
</file>