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ED" w:rsidRPr="00CA46ED" w:rsidRDefault="00CA46ED" w:rsidP="00CA46ED">
      <w:pPr>
        <w:autoSpaceDE/>
        <w:autoSpaceDN/>
        <w:spacing w:before="100" w:beforeAutospacing="1" w:after="100" w:afterAutospacing="1"/>
        <w:jc w:val="right"/>
        <w:rPr>
          <w:sz w:val="24"/>
          <w:szCs w:val="24"/>
        </w:rPr>
      </w:pPr>
      <w:r w:rsidRPr="00CA46ED">
        <w:rPr>
          <w:rFonts w:ascii="Arial" w:hAnsi="Arial" w:cs="Arial"/>
          <w:sz w:val="22"/>
          <w:szCs w:val="24"/>
        </w:rPr>
        <w:t xml:space="preserve">Číslo smlouvy: PPK-307a/84/19 </w:t>
      </w:r>
    </w:p>
    <w:p w:rsidR="00CA46ED" w:rsidRPr="00CA46ED" w:rsidRDefault="00CA46ED" w:rsidP="00CA46ED">
      <w:pPr>
        <w:autoSpaceDE/>
        <w:autoSpaceDN/>
        <w:spacing w:before="100" w:beforeAutospacing="1" w:after="100" w:afterAutospacing="1"/>
        <w:jc w:val="right"/>
        <w:rPr>
          <w:sz w:val="24"/>
          <w:szCs w:val="24"/>
        </w:rPr>
      </w:pPr>
      <w:r w:rsidRPr="00CA46ED">
        <w:rPr>
          <w:rFonts w:ascii="Arial" w:hAnsi="Arial" w:cs="Arial"/>
          <w:sz w:val="22"/>
          <w:szCs w:val="24"/>
        </w:rPr>
        <w:t xml:space="preserve">Dotační titul: A1 </w:t>
      </w:r>
    </w:p>
    <w:p w:rsidR="00CA46ED" w:rsidRDefault="00CA46ED" w:rsidP="00CA46ED">
      <w:pPr>
        <w:autoSpaceDE/>
        <w:autoSpaceDN/>
        <w:spacing w:before="100" w:beforeAutospacing="1" w:after="100" w:afterAutospacing="1"/>
        <w:rPr>
          <w:sz w:val="24"/>
          <w:szCs w:val="24"/>
        </w:rPr>
      </w:pPr>
      <w:r w:rsidRPr="00CA46ED">
        <w:rPr>
          <w:sz w:val="24"/>
          <w:szCs w:val="24"/>
        </w:rPr>
        <w:t> </w:t>
      </w:r>
    </w:p>
    <w:p w:rsidR="00CA46ED" w:rsidRPr="00CA46ED" w:rsidRDefault="00CA46ED" w:rsidP="00CA46ED">
      <w:pPr>
        <w:autoSpaceDE/>
        <w:autoSpaceDN/>
        <w:spacing w:before="100" w:beforeAutospacing="1" w:after="100" w:afterAutospacing="1"/>
        <w:jc w:val="center"/>
        <w:rPr>
          <w:sz w:val="24"/>
          <w:szCs w:val="24"/>
        </w:rPr>
      </w:pPr>
      <w:r w:rsidRPr="00CA46ED">
        <w:rPr>
          <w:rFonts w:ascii="Arial" w:hAnsi="Arial" w:cs="Arial"/>
          <w:b/>
          <w:bCs/>
          <w:sz w:val="22"/>
          <w:szCs w:val="24"/>
        </w:rPr>
        <w:t>SMLOUVA O DÍLO</w:t>
      </w:r>
    </w:p>
    <w:p w:rsidR="00CA46ED" w:rsidRDefault="00CA46ED" w:rsidP="00CA46ED">
      <w:pPr>
        <w:autoSpaceDE/>
        <w:autoSpaceDN/>
        <w:spacing w:before="100" w:beforeAutospacing="1" w:after="100" w:afterAutospacing="1"/>
        <w:jc w:val="center"/>
        <w:rPr>
          <w:rFonts w:ascii="Arial" w:hAnsi="Arial" w:cs="Arial"/>
          <w:b/>
          <w:bCs/>
          <w:sz w:val="22"/>
          <w:szCs w:val="24"/>
        </w:rPr>
      </w:pPr>
      <w:r w:rsidRPr="00CA46ED">
        <w:rPr>
          <w:rFonts w:ascii="Arial" w:hAnsi="Arial" w:cs="Arial"/>
          <w:b/>
          <w:bCs/>
          <w:sz w:val="22"/>
          <w:szCs w:val="24"/>
        </w:rPr>
        <w:t>UZAVŘENÁ DLE USTANOVENÍ § 2586 A NÁSL. ZÁK. Č. 89/2012 SB., OBČANSKÉHO ZÁKONÍKU, VE ZNĚNÍ POZDĚJŠÍCH PŘEDPISŮ</w:t>
      </w:r>
    </w:p>
    <w:p w:rsidR="00CA46ED" w:rsidRPr="00CA46ED" w:rsidRDefault="00CA46ED" w:rsidP="00CA46ED">
      <w:pPr>
        <w:autoSpaceDE/>
        <w:autoSpaceDN/>
        <w:spacing w:before="100" w:beforeAutospacing="1" w:after="100" w:afterAutospacing="1"/>
        <w:jc w:val="center"/>
        <w:rPr>
          <w:sz w:val="24"/>
          <w:szCs w:val="24"/>
        </w:rPr>
      </w:pPr>
    </w:p>
    <w:p w:rsidR="00CA46ED" w:rsidRDefault="00CA46ED" w:rsidP="00CA46ED">
      <w:pPr>
        <w:autoSpaceDE/>
        <w:autoSpaceDN/>
        <w:spacing w:before="100" w:beforeAutospacing="1" w:after="100" w:afterAutospacing="1"/>
        <w:jc w:val="center"/>
        <w:rPr>
          <w:rFonts w:ascii="Arial" w:hAnsi="Arial" w:cs="Arial"/>
          <w:b/>
          <w:bCs/>
          <w:sz w:val="22"/>
          <w:szCs w:val="24"/>
        </w:rPr>
      </w:pPr>
      <w:r w:rsidRPr="00CA46ED">
        <w:rPr>
          <w:rFonts w:ascii="Arial" w:hAnsi="Arial" w:cs="Arial"/>
          <w:b/>
          <w:bCs/>
          <w:sz w:val="22"/>
          <w:szCs w:val="24"/>
        </w:rPr>
        <w:t>I. Smluv</w:t>
      </w:r>
      <w:r>
        <w:rPr>
          <w:rFonts w:ascii="Arial" w:hAnsi="Arial" w:cs="Arial"/>
          <w:b/>
          <w:bCs/>
          <w:sz w:val="22"/>
          <w:szCs w:val="24"/>
        </w:rPr>
        <w:t>n</w:t>
      </w:r>
      <w:r w:rsidRPr="00CA46ED">
        <w:rPr>
          <w:rFonts w:ascii="Arial" w:hAnsi="Arial" w:cs="Arial"/>
          <w:b/>
          <w:bCs/>
          <w:sz w:val="22"/>
          <w:szCs w:val="24"/>
        </w:rPr>
        <w:t>í strany</w:t>
      </w:r>
    </w:p>
    <w:p w:rsidR="00CA46ED" w:rsidRPr="00CA46ED" w:rsidRDefault="00CA46ED" w:rsidP="00CA46ED">
      <w:pPr>
        <w:autoSpaceDE/>
        <w:autoSpaceDN/>
        <w:spacing w:before="100" w:beforeAutospacing="1" w:after="100" w:afterAutospacing="1"/>
        <w:rPr>
          <w:sz w:val="24"/>
          <w:szCs w:val="24"/>
        </w:rPr>
      </w:pPr>
      <w:r w:rsidRPr="00CA46ED">
        <w:rPr>
          <w:rFonts w:ascii="Arial" w:hAnsi="Arial" w:cs="Arial"/>
          <w:sz w:val="22"/>
          <w:szCs w:val="24"/>
        </w:rPr>
        <w:t>1.1</w:t>
      </w:r>
      <w:r w:rsidRPr="00CA46ED">
        <w:rPr>
          <w:rFonts w:ascii="Arial" w:hAnsi="Arial" w:cs="Arial"/>
          <w:b/>
          <w:bCs/>
          <w:sz w:val="22"/>
          <w:szCs w:val="24"/>
        </w:rPr>
        <w:t xml:space="preserve"> Objednatel</w:t>
      </w:r>
    </w:p>
    <w:p w:rsidR="00CA46ED" w:rsidRPr="00CA46ED" w:rsidRDefault="00CA46ED" w:rsidP="00CA46ED">
      <w:pPr>
        <w:autoSpaceDE/>
        <w:autoSpaceDN/>
        <w:spacing w:before="100" w:beforeAutospacing="1" w:after="100" w:afterAutospacing="1"/>
        <w:rPr>
          <w:sz w:val="24"/>
          <w:szCs w:val="24"/>
        </w:rPr>
      </w:pPr>
      <w:r w:rsidRPr="00CA46ED">
        <w:rPr>
          <w:rFonts w:ascii="Arial" w:hAnsi="Arial" w:cs="Arial"/>
          <w:b/>
          <w:bCs/>
          <w:sz w:val="22"/>
          <w:szCs w:val="24"/>
        </w:rPr>
        <w:t>Česká republika - Agentura ochrany přírody a krajiny ČR</w:t>
      </w:r>
    </w:p>
    <w:p w:rsidR="00CA46ED" w:rsidRPr="00CA46ED" w:rsidRDefault="00CA46ED" w:rsidP="00CA46ED">
      <w:pPr>
        <w:autoSpaceDE/>
        <w:autoSpaceDN/>
        <w:rPr>
          <w:rFonts w:ascii="Arial" w:hAnsi="Arial" w:cs="Arial"/>
          <w:sz w:val="22"/>
          <w:szCs w:val="24"/>
        </w:rPr>
      </w:pPr>
      <w:r w:rsidRPr="00CA46ED">
        <w:rPr>
          <w:rFonts w:ascii="Arial" w:hAnsi="Arial" w:cs="Arial"/>
          <w:sz w:val="22"/>
          <w:szCs w:val="24"/>
        </w:rPr>
        <w:t xml:space="preserve">Sídlo: Kaplanova 1931/1, 148 00 Praha 11 </w:t>
      </w:r>
      <w:r>
        <w:rPr>
          <w:rFonts w:ascii="Arial" w:hAnsi="Arial" w:cs="Arial"/>
          <w:sz w:val="22"/>
          <w:szCs w:val="24"/>
        </w:rPr>
        <w:t>–</w:t>
      </w:r>
      <w:r w:rsidRPr="00CA46ED">
        <w:rPr>
          <w:rFonts w:ascii="Arial" w:hAnsi="Arial" w:cs="Arial"/>
          <w:sz w:val="22"/>
          <w:szCs w:val="24"/>
        </w:rPr>
        <w:t xml:space="preserve"> Chodov </w:t>
      </w:r>
    </w:p>
    <w:p w:rsidR="00CA46ED" w:rsidRPr="00CA46ED" w:rsidRDefault="00CA46ED" w:rsidP="00CA46ED">
      <w:pPr>
        <w:autoSpaceDE/>
        <w:autoSpaceDN/>
        <w:rPr>
          <w:rFonts w:ascii="Arial" w:hAnsi="Arial" w:cs="Arial"/>
          <w:sz w:val="22"/>
          <w:szCs w:val="24"/>
        </w:rPr>
      </w:pPr>
      <w:r>
        <w:rPr>
          <w:rFonts w:ascii="Arial" w:hAnsi="Arial" w:cs="Arial"/>
          <w:sz w:val="22"/>
          <w:szCs w:val="24"/>
        </w:rPr>
        <w:t xml:space="preserve">Zastoupený: Ing. Michal Servus – </w:t>
      </w:r>
      <w:r w:rsidRPr="00CA46ED">
        <w:rPr>
          <w:rFonts w:ascii="Arial" w:hAnsi="Arial" w:cs="Arial"/>
          <w:sz w:val="22"/>
          <w:szCs w:val="24"/>
        </w:rPr>
        <w:t xml:space="preserve">ředitel RP Olomoucko </w:t>
      </w:r>
    </w:p>
    <w:p w:rsidR="00CA46ED" w:rsidRPr="00CA46ED" w:rsidRDefault="00CA46ED" w:rsidP="00CA46ED">
      <w:pPr>
        <w:autoSpaceDE/>
        <w:autoSpaceDN/>
        <w:rPr>
          <w:sz w:val="24"/>
          <w:szCs w:val="24"/>
        </w:rPr>
      </w:pPr>
      <w:r w:rsidRPr="00CA46ED">
        <w:rPr>
          <w:rFonts w:ascii="Arial" w:hAnsi="Arial" w:cs="Arial"/>
          <w:sz w:val="22"/>
          <w:szCs w:val="24"/>
        </w:rPr>
        <w:t xml:space="preserve">Bankovní spojení: ČNB Praha, </w:t>
      </w:r>
      <w:r>
        <w:rPr>
          <w:rFonts w:ascii="Arial" w:hAnsi="Arial" w:cs="Arial"/>
          <w:sz w:val="22"/>
          <w:szCs w:val="24"/>
        </w:rPr>
        <w:t>č</w:t>
      </w:r>
      <w:r w:rsidRPr="00CA46ED">
        <w:rPr>
          <w:rFonts w:ascii="Arial" w:hAnsi="Arial" w:cs="Arial"/>
          <w:sz w:val="22"/>
          <w:szCs w:val="24"/>
        </w:rPr>
        <w:t>íslo účtu: 18228011/0710</w:t>
      </w:r>
    </w:p>
    <w:p w:rsidR="00CA46ED" w:rsidRPr="00CA46ED" w:rsidRDefault="00CA46ED" w:rsidP="00CA46ED">
      <w:pPr>
        <w:autoSpaceDE/>
        <w:autoSpaceDN/>
        <w:rPr>
          <w:sz w:val="24"/>
          <w:szCs w:val="24"/>
        </w:rPr>
      </w:pPr>
      <w:r w:rsidRPr="00CA46ED">
        <w:rPr>
          <w:rFonts w:ascii="Arial" w:hAnsi="Arial" w:cs="Arial"/>
          <w:sz w:val="22"/>
          <w:szCs w:val="24"/>
        </w:rPr>
        <w:t>IČO: 629 335 91</w:t>
      </w:r>
    </w:p>
    <w:p w:rsidR="00CA46ED" w:rsidRPr="00CA46ED" w:rsidRDefault="00CA46ED" w:rsidP="00CA46ED">
      <w:pPr>
        <w:autoSpaceDE/>
        <w:autoSpaceDN/>
        <w:rPr>
          <w:sz w:val="24"/>
          <w:szCs w:val="24"/>
        </w:rPr>
      </w:pPr>
      <w:r w:rsidRPr="00CA46ED">
        <w:rPr>
          <w:rFonts w:ascii="Arial" w:hAnsi="Arial" w:cs="Arial"/>
          <w:sz w:val="22"/>
          <w:szCs w:val="24"/>
        </w:rPr>
        <w:t>DIČ: neplátce DPH</w:t>
      </w:r>
    </w:p>
    <w:p w:rsidR="00CA46ED" w:rsidRPr="00CA46ED" w:rsidRDefault="00CA46ED" w:rsidP="00CA46ED">
      <w:pPr>
        <w:autoSpaceDE/>
        <w:autoSpaceDN/>
        <w:rPr>
          <w:sz w:val="24"/>
          <w:szCs w:val="24"/>
        </w:rPr>
      </w:pPr>
      <w:r w:rsidRPr="00CA46ED">
        <w:rPr>
          <w:rFonts w:ascii="Arial" w:hAnsi="Arial" w:cs="Arial"/>
          <w:sz w:val="22"/>
          <w:szCs w:val="24"/>
        </w:rPr>
        <w:t>Telefon: 584 458 642</w:t>
      </w:r>
    </w:p>
    <w:p w:rsidR="00CA46ED" w:rsidRPr="00CA46ED" w:rsidRDefault="00CA46ED" w:rsidP="00CA46ED">
      <w:pPr>
        <w:autoSpaceDE/>
        <w:autoSpaceDN/>
        <w:rPr>
          <w:sz w:val="24"/>
          <w:szCs w:val="24"/>
        </w:rPr>
      </w:pPr>
      <w:r w:rsidRPr="00CA46ED">
        <w:rPr>
          <w:rFonts w:ascii="Arial" w:hAnsi="Arial" w:cs="Arial"/>
          <w:sz w:val="22"/>
          <w:szCs w:val="24"/>
        </w:rPr>
        <w:t xml:space="preserve">V rozsahu této smlouvy osoba zmocněná k jednání se zhotovitelem, k věcným úkonům a k převzetí </w:t>
      </w:r>
      <w:r>
        <w:rPr>
          <w:rFonts w:ascii="Arial" w:hAnsi="Arial" w:cs="Arial"/>
          <w:sz w:val="22"/>
          <w:szCs w:val="24"/>
        </w:rPr>
        <w:t>díla: Mgr. Miroslav Havira</w:t>
      </w:r>
    </w:p>
    <w:p w:rsidR="00CA46ED" w:rsidRPr="00CA46ED" w:rsidRDefault="00CA46ED" w:rsidP="00CA46ED">
      <w:pPr>
        <w:autoSpaceDE/>
        <w:autoSpaceDN/>
        <w:spacing w:before="100" w:beforeAutospacing="1" w:after="100" w:afterAutospacing="1"/>
        <w:rPr>
          <w:sz w:val="24"/>
          <w:szCs w:val="24"/>
        </w:rPr>
      </w:pPr>
      <w:r w:rsidRPr="00CA46ED">
        <w:rPr>
          <w:rFonts w:ascii="Arial" w:hAnsi="Arial" w:cs="Arial"/>
          <w:sz w:val="22"/>
          <w:szCs w:val="24"/>
        </w:rPr>
        <w:t xml:space="preserve">(dále jen </w:t>
      </w:r>
      <w:r w:rsidRPr="00CA46ED">
        <w:rPr>
          <w:rFonts w:ascii="Arial" w:hAnsi="Arial" w:cs="Arial"/>
          <w:sz w:val="22"/>
          <w:szCs w:val="22"/>
          <w:lang w:eastAsia="en-US"/>
        </w:rPr>
        <w:t>„</w:t>
      </w:r>
      <w:r w:rsidRPr="00CA46ED">
        <w:rPr>
          <w:rFonts w:ascii="Arial" w:hAnsi="Arial" w:cs="Arial"/>
          <w:sz w:val="22"/>
          <w:szCs w:val="24"/>
        </w:rPr>
        <w:t>objednatel”)</w:t>
      </w:r>
    </w:p>
    <w:p w:rsidR="00CA46ED" w:rsidRPr="00CA46ED" w:rsidRDefault="00CA46ED" w:rsidP="00CA46ED">
      <w:pPr>
        <w:autoSpaceDE/>
        <w:autoSpaceDN/>
        <w:spacing w:before="100" w:beforeAutospacing="1" w:after="100" w:afterAutospacing="1"/>
        <w:rPr>
          <w:sz w:val="24"/>
          <w:szCs w:val="24"/>
        </w:rPr>
      </w:pPr>
      <w:r w:rsidRPr="00CA46ED">
        <w:rPr>
          <w:rFonts w:ascii="Arial" w:hAnsi="Arial" w:cs="Arial"/>
          <w:sz w:val="22"/>
          <w:szCs w:val="24"/>
        </w:rPr>
        <w:t>a</w:t>
      </w:r>
    </w:p>
    <w:p w:rsidR="00CA46ED" w:rsidRPr="00CA46ED" w:rsidRDefault="00CA46ED" w:rsidP="00CA46ED">
      <w:pPr>
        <w:autoSpaceDE/>
        <w:autoSpaceDN/>
        <w:spacing w:before="100" w:beforeAutospacing="1" w:after="100" w:afterAutospacing="1"/>
        <w:rPr>
          <w:sz w:val="24"/>
          <w:szCs w:val="24"/>
        </w:rPr>
      </w:pPr>
      <w:r w:rsidRPr="00CA46ED">
        <w:rPr>
          <w:rFonts w:ascii="Arial" w:hAnsi="Arial" w:cs="Arial"/>
          <w:sz w:val="22"/>
          <w:szCs w:val="24"/>
        </w:rPr>
        <w:t>1.2</w:t>
      </w:r>
      <w:r w:rsidRPr="00CA46ED">
        <w:rPr>
          <w:rFonts w:ascii="Arial" w:hAnsi="Arial" w:cs="Arial"/>
          <w:b/>
          <w:bCs/>
          <w:sz w:val="22"/>
          <w:szCs w:val="24"/>
        </w:rPr>
        <w:t xml:space="preserve"> Zhotovitel</w:t>
      </w:r>
    </w:p>
    <w:p w:rsidR="00CA46ED" w:rsidRPr="00CA46ED" w:rsidRDefault="00CA46ED" w:rsidP="00CA46ED">
      <w:pPr>
        <w:autoSpaceDE/>
        <w:autoSpaceDN/>
        <w:spacing w:before="100" w:beforeAutospacing="1" w:after="100" w:afterAutospacing="1"/>
        <w:rPr>
          <w:sz w:val="24"/>
          <w:szCs w:val="24"/>
        </w:rPr>
      </w:pPr>
      <w:r w:rsidRPr="00CA46ED">
        <w:rPr>
          <w:rFonts w:ascii="Arial" w:hAnsi="Arial" w:cs="Arial"/>
          <w:b/>
          <w:bCs/>
          <w:sz w:val="22"/>
          <w:szCs w:val="24"/>
        </w:rPr>
        <w:t xml:space="preserve">Marcel Kuzník </w:t>
      </w:r>
    </w:p>
    <w:p w:rsidR="001E64DC" w:rsidRPr="001E64DC" w:rsidRDefault="001E64DC" w:rsidP="001E64DC">
      <w:pPr>
        <w:pStyle w:val="Normlnweb"/>
        <w:rPr>
          <w:rFonts w:ascii="Arial" w:hAnsi="Arial" w:cs="Arial"/>
          <w:sz w:val="22"/>
        </w:rPr>
      </w:pPr>
      <w:r>
        <w:rPr>
          <w:rFonts w:ascii="Arial" w:hAnsi="Arial" w:cs="Arial"/>
          <w:sz w:val="22"/>
        </w:rPr>
        <w:t>Sídlo: 17. listopadu 942/37, 747 06 Opava – Kylešovice</w:t>
      </w:r>
      <w:r>
        <w:rPr>
          <w:rFonts w:ascii="Arial" w:hAnsi="Arial" w:cs="Arial"/>
          <w:sz w:val="22"/>
        </w:rPr>
        <w:br/>
        <w:t xml:space="preserve">Zastoupený: </w:t>
      </w:r>
      <w:r w:rsidR="009F6253">
        <w:rPr>
          <w:rFonts w:ascii="Arial" w:hAnsi="Arial" w:cs="Arial"/>
          <w:sz w:val="22"/>
        </w:rPr>
        <w:t>xxx</w:t>
      </w:r>
      <w:r>
        <w:rPr>
          <w:rFonts w:ascii="Arial" w:hAnsi="Arial" w:cs="Arial"/>
          <w:sz w:val="22"/>
        </w:rPr>
        <w:br/>
        <w:t xml:space="preserve">Bankovní spojení: </w:t>
      </w:r>
      <w:r w:rsidR="009F6253">
        <w:rPr>
          <w:rFonts w:ascii="Arial" w:hAnsi="Arial" w:cs="Arial"/>
          <w:sz w:val="22"/>
        </w:rPr>
        <w:t>xxx</w:t>
      </w:r>
      <w:r>
        <w:rPr>
          <w:rFonts w:ascii="Arial" w:hAnsi="Arial" w:cs="Arial"/>
          <w:sz w:val="22"/>
        </w:rPr>
        <w:t xml:space="preserve">, číslo účtu: </w:t>
      </w:r>
      <w:r w:rsidR="009F6253">
        <w:rPr>
          <w:rFonts w:ascii="Arial" w:hAnsi="Arial" w:cs="Arial"/>
          <w:sz w:val="22"/>
        </w:rPr>
        <w:t>xxx</w:t>
      </w:r>
      <w:r>
        <w:rPr>
          <w:rFonts w:ascii="Arial" w:hAnsi="Arial" w:cs="Arial"/>
          <w:sz w:val="22"/>
        </w:rPr>
        <w:t xml:space="preserve"> </w:t>
      </w:r>
      <w:r>
        <w:rPr>
          <w:rFonts w:ascii="Arial" w:hAnsi="Arial" w:cs="Arial"/>
          <w:sz w:val="22"/>
        </w:rPr>
        <w:br/>
        <w:t>IČO: 02859955</w:t>
      </w:r>
      <w:r>
        <w:rPr>
          <w:rFonts w:ascii="Arial" w:hAnsi="Arial" w:cs="Arial"/>
          <w:sz w:val="22"/>
        </w:rPr>
        <w:br/>
        <w:t xml:space="preserve">DIČ: </w:t>
      </w:r>
      <w:r w:rsidR="009F6253">
        <w:rPr>
          <w:rFonts w:ascii="Arial" w:hAnsi="Arial" w:cs="Arial"/>
          <w:sz w:val="22"/>
        </w:rPr>
        <w:t>xxx</w:t>
      </w:r>
      <w:bookmarkStart w:id="0" w:name="_GoBack"/>
      <w:bookmarkEnd w:id="0"/>
    </w:p>
    <w:p w:rsidR="001E64DC" w:rsidRDefault="001E64DC" w:rsidP="001E64DC">
      <w:pPr>
        <w:pStyle w:val="Normlnweb"/>
        <w:spacing w:before="0" w:beforeAutospacing="0" w:after="0" w:afterAutospacing="0"/>
      </w:pPr>
      <w:r>
        <w:rPr>
          <w:rFonts w:ascii="Arial" w:hAnsi="Arial" w:cs="Arial"/>
          <w:sz w:val="22"/>
        </w:rPr>
        <w:t xml:space="preserve">(dále jen </w:t>
      </w:r>
      <w:r>
        <w:rPr>
          <w:rFonts w:ascii="Arial" w:hAnsi="Arial" w:cs="Arial"/>
          <w:sz w:val="22"/>
          <w:szCs w:val="22"/>
          <w:lang w:eastAsia="en-US"/>
        </w:rPr>
        <w:t>„</w:t>
      </w:r>
      <w:r>
        <w:rPr>
          <w:rFonts w:ascii="Arial" w:hAnsi="Arial" w:cs="Arial"/>
          <w:sz w:val="22"/>
        </w:rPr>
        <w:t xml:space="preserve">zhotovitel”) </w:t>
      </w:r>
    </w:p>
    <w:p w:rsidR="00CA46ED" w:rsidRPr="00CA46ED" w:rsidRDefault="00CA46ED" w:rsidP="00CA46ED">
      <w:pPr>
        <w:autoSpaceDE/>
        <w:autoSpaceDN/>
        <w:rPr>
          <w:sz w:val="24"/>
          <w:szCs w:val="24"/>
        </w:rPr>
      </w:pPr>
    </w:p>
    <w:p w:rsidR="00CA46ED" w:rsidRPr="00CA46ED" w:rsidRDefault="00CA46ED" w:rsidP="00CA46ED">
      <w:pPr>
        <w:autoSpaceDE/>
        <w:autoSpaceDN/>
        <w:spacing w:before="100" w:beforeAutospacing="1" w:after="100" w:afterAutospacing="1"/>
        <w:jc w:val="center"/>
        <w:rPr>
          <w:sz w:val="24"/>
          <w:szCs w:val="24"/>
        </w:rPr>
      </w:pPr>
      <w:r w:rsidRPr="00CA46ED">
        <w:rPr>
          <w:rFonts w:ascii="Arial" w:hAnsi="Arial" w:cs="Arial"/>
          <w:b/>
          <w:bCs/>
          <w:sz w:val="22"/>
          <w:szCs w:val="24"/>
        </w:rPr>
        <w:t>II. Předmět smlouvy</w:t>
      </w:r>
    </w:p>
    <w:p w:rsidR="00CA46ED" w:rsidRDefault="00CA46ED" w:rsidP="00CA46ED">
      <w:pPr>
        <w:keepLines/>
        <w:autoSpaceDE/>
        <w:autoSpaceDN/>
        <w:spacing w:before="120" w:after="120"/>
        <w:ind w:left="340" w:hanging="340"/>
        <w:jc w:val="both"/>
        <w:rPr>
          <w:rFonts w:ascii="Arial" w:hAnsi="Arial" w:cs="Arial"/>
          <w:sz w:val="22"/>
          <w:szCs w:val="22"/>
          <w:lang w:eastAsia="en-US"/>
        </w:rPr>
      </w:pPr>
      <w:r w:rsidRPr="00CA46ED">
        <w:rPr>
          <w:rFonts w:ascii="Arial" w:hAnsi="Arial" w:cs="Arial"/>
          <w:sz w:val="22"/>
          <w:szCs w:val="24"/>
        </w:rPr>
        <w:t xml:space="preserve">2.1 </w:t>
      </w:r>
      <w:r w:rsidRPr="00CA46ED">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1E64DC" w:rsidRDefault="001E64DC" w:rsidP="00CA46ED">
      <w:pPr>
        <w:keepLines/>
        <w:autoSpaceDE/>
        <w:autoSpaceDN/>
        <w:spacing w:before="120" w:after="120"/>
        <w:ind w:left="340" w:hanging="340"/>
        <w:jc w:val="both"/>
        <w:rPr>
          <w:rFonts w:ascii="Arial" w:hAnsi="Arial" w:cs="Arial"/>
          <w:sz w:val="22"/>
          <w:szCs w:val="22"/>
          <w:lang w:eastAsia="en-US"/>
        </w:rPr>
      </w:pP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lastRenderedPageBreak/>
        <w:t xml:space="preserve">2.2 Dílem se rozumí: </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Letní a zimní nátěry výsadeb a přirozené obnovy JR (3000 ks) a BK (5000 ks), letní (po plném olistění a vyzrání letorostů) a zimní (na počátku vegetačního klidu) nátěr proti okusu zvěří. Přípravek bude nanášen na celý terminální výhon včetně pupenu. Při aplikaci nedojde k poškození terminálního pupenu, ani zalomení či jinému poškození terminálního výhonu.</w:t>
      </w:r>
      <w:r>
        <w:rPr>
          <w:rFonts w:ascii="Arial" w:hAnsi="Arial" w:cs="Arial"/>
          <w:sz w:val="22"/>
          <w:szCs w:val="24"/>
        </w:rPr>
        <w:t xml:space="preserve"> </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xml:space="preserve">Lokalizace: </w:t>
      </w:r>
      <w:r w:rsidR="001E64DC">
        <w:rPr>
          <w:rFonts w:ascii="Arial" w:hAnsi="Arial" w:cs="Arial"/>
          <w:sz w:val="22"/>
          <w:szCs w:val="24"/>
        </w:rPr>
        <w:t>1</w:t>
      </w:r>
      <w:r w:rsidRPr="00CA46ED">
        <w:rPr>
          <w:rFonts w:ascii="Arial" w:hAnsi="Arial" w:cs="Arial"/>
          <w:sz w:val="22"/>
          <w:szCs w:val="24"/>
        </w:rPr>
        <w:t>. zóna CHKO, JPRL: 720B16/1p, 720A16 (JR – 3000 ks, BK – 5000 ks), na LHC BOO Vrbno pod Pradědem, parcelní č. 537/3</w:t>
      </w:r>
      <w:r>
        <w:rPr>
          <w:rFonts w:ascii="Arial" w:hAnsi="Arial" w:cs="Arial"/>
          <w:sz w:val="22"/>
          <w:szCs w:val="24"/>
        </w:rPr>
        <w:t xml:space="preserve"> v k. ú. Železná pod Pradědem.</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xml:space="preserve">- Likvidace 4 ks (0,225; 0,100; 0,100; 0,100 km) nefunkčních oplocenek o celkové délce 0,525 km včetně odvozu materiálu (pletiva a vázacího drátu) z lokality a zároveň vybudování 4 ks nových drátěných „horských“ oplocenek (220/3,5) o celkové délce 0,560 km (0,230; 0,140; 0,093; 0,097 km) za účelem ochrany přirozené obnovy JR, BR, BK, KL. </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Lokalizace: PR Pod Jelení studánkou, JPRL: 303C01 (0,230 km), 303C00 (0,140; 0,093; 0,097 km) na LHC Janovice, parcelní č. 637/1, k. ú. Karlov pod Pradědem.</w:t>
      </w:r>
      <w:r>
        <w:rPr>
          <w:rFonts w:ascii="Arial" w:hAnsi="Arial" w:cs="Arial"/>
          <w:sz w:val="22"/>
          <w:szCs w:val="24"/>
        </w:rPr>
        <w:t xml:space="preserve"> </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Vybudování 3 nových drátěných „horských“ oplocenek (220/3,5) o celkové délce 0,300 km (0,100; 0,100; 0,100) za účelem ochrany výsadeb celkem 300 ks JD sadba obalovaná, 26–35 cm, 5. LVS, sadba jamková 35x35 cm v nepravidelném sponu. Do každé oplocenky bude zalesněno 100 ks JD. Dále výsadba 300 ks JD do kalamitních ploch mezi vývraty a zlomy po větru III./2018, JD – sadba obalovaná, 26–35 cm, 5. LVS.</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Lokalizace: lokalita Rabštejn, 2. zóna CHKOJ, JPRL 710B08 na LHC Janovice, parcelní č. 946/1, k. ú. Bedřichov u Oskavy.</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xml:space="preserve">- Vybudování 1 ks nové masivní oplocenky drátěné </w:t>
      </w:r>
      <w:r w:rsidR="001E64DC">
        <w:rPr>
          <w:rFonts w:ascii="Arial" w:hAnsi="Arial" w:cs="Arial"/>
          <w:sz w:val="22"/>
          <w:szCs w:val="24"/>
        </w:rPr>
        <w:t xml:space="preserve">220/3 </w:t>
      </w:r>
      <w:r w:rsidRPr="00CA46ED">
        <w:rPr>
          <w:rFonts w:ascii="Arial" w:hAnsi="Arial" w:cs="Arial"/>
          <w:sz w:val="22"/>
          <w:szCs w:val="24"/>
        </w:rPr>
        <w:t>o celkové délce 40 m. Výsadba 50 ks JR do vybudované oplocenky 10 x 10 m, sadba obalovaná QP, 8. LVS, 26–35 cm, sadba jamková 35x35 cm v nepravidelném sponu.</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xml:space="preserve">Lokalizace: </w:t>
      </w:r>
      <w:r w:rsidR="001E64DC">
        <w:rPr>
          <w:rFonts w:ascii="Arial" w:hAnsi="Arial" w:cs="Arial"/>
          <w:sz w:val="22"/>
          <w:szCs w:val="24"/>
        </w:rPr>
        <w:t>1</w:t>
      </w:r>
      <w:r w:rsidRPr="00CA46ED">
        <w:rPr>
          <w:rFonts w:ascii="Arial" w:hAnsi="Arial" w:cs="Arial"/>
          <w:sz w:val="22"/>
          <w:szCs w:val="24"/>
        </w:rPr>
        <w:t>. zóna CHKO Jeseníky, JPRL: 720A16 na LHC BOO Vrbno pod Pradědem, parcelní č. 537/3 v k. ú. Železná pod Pradědem.</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 (dále jen „dílo“)</w:t>
      </w:r>
    </w:p>
    <w:p w:rsidR="00CA46ED" w:rsidRDefault="00CA46ED" w:rsidP="00CA46ED">
      <w:pPr>
        <w:keepLines/>
        <w:autoSpaceDE/>
        <w:autoSpaceDN/>
        <w:spacing w:before="120" w:after="120"/>
        <w:ind w:left="340" w:hanging="340"/>
        <w:jc w:val="both"/>
        <w:rPr>
          <w:rFonts w:ascii="Arial" w:hAnsi="Arial" w:cs="Arial"/>
          <w:sz w:val="22"/>
          <w:szCs w:val="24"/>
        </w:rPr>
      </w:pPr>
      <w:r w:rsidRPr="00CA46ED">
        <w:rPr>
          <w:rFonts w:ascii="Arial" w:hAnsi="Arial" w:cs="Arial"/>
          <w:sz w:val="22"/>
          <w:szCs w:val="24"/>
        </w:rPr>
        <w:t xml:space="preserve">K jednotlivým lokalitám viz podrobněji kalkulace nákladů. </w:t>
      </w:r>
    </w:p>
    <w:p w:rsidR="00CA46ED" w:rsidRDefault="00CA46ED" w:rsidP="00CA46ED">
      <w:pPr>
        <w:keepLines/>
        <w:autoSpaceDE/>
        <w:autoSpaceDN/>
        <w:spacing w:before="120" w:after="120"/>
        <w:ind w:left="340" w:hanging="340"/>
        <w:jc w:val="both"/>
        <w:rPr>
          <w:rFonts w:ascii="Arial" w:hAnsi="Arial" w:cs="Arial"/>
          <w:sz w:val="22"/>
          <w:szCs w:val="24"/>
        </w:rPr>
      </w:pP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2.3 Při provádění díla je zhotovitel vázán pokyny objednatele.</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CA46ED" w:rsidRPr="00CA46ED" w:rsidRDefault="00CA46ED" w:rsidP="00CA46ED">
      <w:pPr>
        <w:autoSpaceDE/>
        <w:autoSpaceDN/>
        <w:spacing w:before="100" w:beforeAutospacing="1" w:after="100" w:afterAutospacing="1"/>
        <w:jc w:val="center"/>
        <w:rPr>
          <w:sz w:val="24"/>
          <w:szCs w:val="24"/>
        </w:rPr>
      </w:pPr>
      <w:r w:rsidRPr="00CA46ED">
        <w:rPr>
          <w:rFonts w:ascii="Arial" w:hAnsi="Arial" w:cs="Arial"/>
          <w:b/>
          <w:bCs/>
          <w:sz w:val="22"/>
          <w:szCs w:val="24"/>
        </w:rPr>
        <w:t>III. Cena díla a platební podmínky</w:t>
      </w:r>
    </w:p>
    <w:p w:rsidR="001E64DC" w:rsidRDefault="001E64DC" w:rsidP="001E64DC">
      <w:pPr>
        <w:pStyle w:val="Normlnweb"/>
        <w:spacing w:before="0" w:beforeAutospacing="0" w:after="0" w:afterAutospacing="0"/>
      </w:pPr>
      <w:r>
        <w:rPr>
          <w:rFonts w:ascii="Arial" w:hAnsi="Arial" w:cs="Arial"/>
          <w:sz w:val="22"/>
        </w:rPr>
        <w:t>3.1 Cena díla je stanovena v souladu s právními předpisy:</w:t>
      </w:r>
    </w:p>
    <w:p w:rsidR="001E64DC" w:rsidRDefault="001E64DC" w:rsidP="001E64DC">
      <w:pPr>
        <w:pStyle w:val="Normlnweb"/>
        <w:spacing w:before="120" w:beforeAutospacing="0" w:after="120" w:afterAutospacing="0"/>
        <w:ind w:left="340"/>
        <w:jc w:val="both"/>
      </w:pPr>
      <w:r>
        <w:rPr>
          <w:rFonts w:ascii="Arial" w:hAnsi="Arial" w:cs="Arial"/>
          <w:sz w:val="22"/>
        </w:rPr>
        <w:t>Cena bez DPH: 248 924,79,-Kč</w:t>
      </w:r>
    </w:p>
    <w:p w:rsidR="001E64DC" w:rsidRDefault="001E64DC" w:rsidP="001E64DC">
      <w:pPr>
        <w:pStyle w:val="Normlnweb"/>
        <w:spacing w:before="120" w:beforeAutospacing="0" w:after="120" w:afterAutospacing="0"/>
        <w:ind w:left="340"/>
        <w:jc w:val="both"/>
      </w:pPr>
      <w:r>
        <w:rPr>
          <w:rFonts w:ascii="Arial" w:hAnsi="Arial" w:cs="Arial"/>
          <w:sz w:val="22"/>
        </w:rPr>
        <w:t>DPH 21%: 52 274,21,-Kč</w:t>
      </w:r>
    </w:p>
    <w:p w:rsidR="001E64DC" w:rsidRDefault="001E64DC" w:rsidP="001E64DC">
      <w:pPr>
        <w:pStyle w:val="Normlnweb"/>
        <w:spacing w:before="120" w:beforeAutospacing="0" w:after="120" w:afterAutospacing="0"/>
        <w:ind w:left="340"/>
        <w:jc w:val="both"/>
      </w:pPr>
      <w:r>
        <w:rPr>
          <w:rFonts w:ascii="Arial" w:hAnsi="Arial" w:cs="Arial"/>
          <w:sz w:val="22"/>
        </w:rPr>
        <w:t xml:space="preserve">Cena včetně DPH: </w:t>
      </w:r>
      <w:r w:rsidRPr="001E64DC">
        <w:rPr>
          <w:rFonts w:ascii="Arial" w:hAnsi="Arial" w:cs="Arial"/>
          <w:b/>
          <w:sz w:val="22"/>
        </w:rPr>
        <w:t>301 199,-Kč</w:t>
      </w:r>
      <w:r>
        <w:rPr>
          <w:rFonts w:ascii="Arial" w:hAnsi="Arial" w:cs="Arial"/>
          <w:sz w:val="22"/>
        </w:rPr>
        <w:t xml:space="preserve"> (slovy třistajedentisícstodevadesátdevět)</w:t>
      </w:r>
    </w:p>
    <w:p w:rsidR="001E64DC" w:rsidRDefault="001E64DC" w:rsidP="001E64DC">
      <w:pPr>
        <w:pStyle w:val="Normlnweb"/>
        <w:spacing w:before="120" w:beforeAutospacing="0" w:after="120" w:afterAutospacing="0"/>
        <w:ind w:left="340"/>
        <w:jc w:val="both"/>
      </w:pPr>
      <w:r>
        <w:rPr>
          <w:rFonts w:ascii="Arial" w:hAnsi="Arial" w:cs="Arial"/>
          <w:sz w:val="22"/>
        </w:rPr>
        <w:t>Zhotovitel je plátce DPH.</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3.2 Dohodnutá cena je stanovena jako nejvýše přípustná. Ke změně může dojít pouze při změně zákonných sazeb DPH.</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lastRenderedPageBreak/>
        <w:t xml:space="preserve">3.3 Veškeré náklady vzniklé zhotoviteli v souvislosti s prováděním díla jsou zahrnuty v ceně díla. </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CA46ED">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CA46ED">
        <w:rPr>
          <w:rFonts w:ascii="Arial" w:hAnsi="Arial" w:cs="Arial"/>
          <w:sz w:val="22"/>
          <w:szCs w:val="24"/>
        </w:rPr>
        <w:t>00 Olomouc.</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3.7 Smluvní strany se dohodly, že objednatel nebude poskytovat zálohové platby. </w:t>
      </w:r>
    </w:p>
    <w:p w:rsidR="00CA46ED" w:rsidRPr="00CA46ED" w:rsidRDefault="00CA46ED" w:rsidP="00CA46ED">
      <w:pPr>
        <w:autoSpaceDE/>
        <w:autoSpaceDN/>
        <w:spacing w:before="100" w:beforeAutospacing="1" w:after="100" w:afterAutospacing="1"/>
        <w:jc w:val="center"/>
        <w:rPr>
          <w:sz w:val="24"/>
          <w:szCs w:val="24"/>
        </w:rPr>
      </w:pPr>
      <w:r w:rsidRPr="00CA46ED">
        <w:rPr>
          <w:rFonts w:ascii="Arial" w:hAnsi="Arial" w:cs="Arial"/>
          <w:b/>
          <w:bCs/>
          <w:sz w:val="22"/>
          <w:szCs w:val="24"/>
        </w:rPr>
        <w:t>IV.</w:t>
      </w:r>
      <w:r w:rsidRPr="00CA46ED">
        <w:rPr>
          <w:rFonts w:ascii="Arial" w:hAnsi="Arial" w:cs="Arial"/>
          <w:sz w:val="22"/>
          <w:szCs w:val="24"/>
        </w:rPr>
        <w:t xml:space="preserve"> </w:t>
      </w:r>
      <w:r w:rsidRPr="00CA46ED">
        <w:rPr>
          <w:rFonts w:ascii="Arial" w:hAnsi="Arial" w:cs="Arial"/>
          <w:b/>
          <w:bCs/>
          <w:sz w:val="22"/>
          <w:szCs w:val="24"/>
        </w:rPr>
        <w:t>Doba a místo plnění</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4.1 Zhotovitel se zavazuje provést dílo a předat jej objednateli nejpozději do 8.</w:t>
      </w:r>
      <w:r>
        <w:rPr>
          <w:rFonts w:ascii="Arial" w:hAnsi="Arial" w:cs="Arial"/>
          <w:sz w:val="22"/>
          <w:szCs w:val="24"/>
        </w:rPr>
        <w:t xml:space="preserve"> </w:t>
      </w:r>
      <w:r w:rsidRPr="00CA46ED">
        <w:rPr>
          <w:rFonts w:ascii="Arial" w:hAnsi="Arial" w:cs="Arial"/>
          <w:sz w:val="22"/>
          <w:szCs w:val="24"/>
        </w:rPr>
        <w:t>11.</w:t>
      </w:r>
      <w:r>
        <w:rPr>
          <w:rFonts w:ascii="Arial" w:hAnsi="Arial" w:cs="Arial"/>
          <w:sz w:val="22"/>
          <w:szCs w:val="24"/>
        </w:rPr>
        <w:t xml:space="preserve"> </w:t>
      </w:r>
      <w:r w:rsidRPr="00CA46ED">
        <w:rPr>
          <w:rFonts w:ascii="Arial" w:hAnsi="Arial" w:cs="Arial"/>
          <w:sz w:val="22"/>
          <w:szCs w:val="24"/>
        </w:rPr>
        <w:t>2019.</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4.2 Pokud zhotovitel dokončí dílo před dohodnutým termínem, zavazuje se objednatel, že převezme dílo i v dřívějším nabídnutém termínu, pokud bude bez vad a nedodělků.</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4.3 Místem plnění je </w:t>
      </w:r>
      <w:r w:rsidR="001E64DC">
        <w:rPr>
          <w:rFonts w:ascii="Arial" w:hAnsi="Arial" w:cs="Arial"/>
          <w:sz w:val="22"/>
          <w:szCs w:val="24"/>
        </w:rPr>
        <w:t>1</w:t>
      </w:r>
      <w:r w:rsidRPr="00CA46ED">
        <w:rPr>
          <w:rFonts w:ascii="Arial" w:hAnsi="Arial" w:cs="Arial"/>
          <w:sz w:val="22"/>
          <w:szCs w:val="24"/>
        </w:rPr>
        <w:t>. zóna CHKO, JPRL: 720B16/1p, 720A16 na LHC BOO Vrbno pod Pradědem, parcelní č. 537/3 v k. ú. Železná pod Pradědem</w:t>
      </w:r>
      <w:r>
        <w:rPr>
          <w:rFonts w:ascii="Arial" w:hAnsi="Arial" w:cs="Arial"/>
          <w:sz w:val="22"/>
          <w:szCs w:val="24"/>
        </w:rPr>
        <w:t xml:space="preserve">; </w:t>
      </w:r>
      <w:r w:rsidRPr="00CA46ED">
        <w:rPr>
          <w:rFonts w:ascii="Arial" w:hAnsi="Arial" w:cs="Arial"/>
          <w:sz w:val="22"/>
          <w:szCs w:val="24"/>
        </w:rPr>
        <w:t>PR Pod Jelení studánkou, JPRL: 303C01, 303C00 na LHC Janovice, parcelní č. 637/1, k. ú. Karlov pod Pradědem</w:t>
      </w:r>
      <w:r>
        <w:rPr>
          <w:rFonts w:ascii="Arial" w:hAnsi="Arial" w:cs="Arial"/>
          <w:sz w:val="22"/>
          <w:szCs w:val="24"/>
        </w:rPr>
        <w:t xml:space="preserve">; </w:t>
      </w:r>
      <w:r w:rsidRPr="00CA46ED">
        <w:rPr>
          <w:rFonts w:ascii="Arial" w:hAnsi="Arial" w:cs="Arial"/>
          <w:sz w:val="22"/>
          <w:szCs w:val="24"/>
        </w:rPr>
        <w:t>lokalita Rabštejn, 2. zóna CHKOJ, JPRL 710B08 na LHC Janovice, parcelní č. 946/1, k. ú. Bedřichov u Oskavy.</w:t>
      </w:r>
    </w:p>
    <w:p w:rsidR="00CA46ED" w:rsidRPr="00CA46ED" w:rsidRDefault="00CA46ED" w:rsidP="00CA46ED">
      <w:pPr>
        <w:autoSpaceDE/>
        <w:autoSpaceDN/>
        <w:spacing w:before="100" w:beforeAutospacing="1" w:after="100" w:afterAutospacing="1"/>
        <w:jc w:val="center"/>
        <w:rPr>
          <w:sz w:val="24"/>
          <w:szCs w:val="24"/>
        </w:rPr>
      </w:pPr>
      <w:r w:rsidRPr="00CA46ED">
        <w:rPr>
          <w:rFonts w:ascii="Arial" w:hAnsi="Arial" w:cs="Arial"/>
          <w:b/>
          <w:bCs/>
          <w:sz w:val="22"/>
          <w:szCs w:val="24"/>
        </w:rPr>
        <w:t>V. Další ujednání</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A46ED" w:rsidRPr="00CA46ED" w:rsidRDefault="00CA46ED" w:rsidP="00CA46ED">
      <w:pPr>
        <w:autoSpaceDE/>
        <w:autoSpaceDN/>
        <w:spacing w:before="100" w:beforeAutospacing="1" w:after="100" w:afterAutospacing="1"/>
        <w:jc w:val="center"/>
        <w:rPr>
          <w:sz w:val="24"/>
          <w:szCs w:val="24"/>
        </w:rPr>
      </w:pPr>
      <w:r w:rsidRPr="00CA46ED">
        <w:rPr>
          <w:rFonts w:ascii="Arial" w:hAnsi="Arial" w:cs="Arial"/>
          <w:b/>
          <w:bCs/>
          <w:sz w:val="22"/>
          <w:szCs w:val="24"/>
        </w:rPr>
        <w:t>VI. Předání a převzetí díla</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A46ED" w:rsidRPr="00CA46ED" w:rsidRDefault="00CA46ED" w:rsidP="00CA46ED">
      <w:pPr>
        <w:keepLines/>
        <w:autoSpaceDE/>
        <w:autoSpaceDN/>
        <w:spacing w:before="120" w:after="120"/>
        <w:ind w:left="340" w:hanging="340"/>
        <w:jc w:val="center"/>
        <w:rPr>
          <w:sz w:val="24"/>
          <w:szCs w:val="24"/>
        </w:rPr>
      </w:pPr>
      <w:r w:rsidRPr="00CA46ED">
        <w:rPr>
          <w:rFonts w:ascii="Arial" w:hAnsi="Arial" w:cs="Arial"/>
          <w:b/>
          <w:bCs/>
          <w:sz w:val="22"/>
          <w:szCs w:val="24"/>
        </w:rPr>
        <w:t>VII. Odpovědnost za vady</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7.1 Zhotovitel odpovídá za vady, jež má dílo v době jeho předání objednateli, byť se vady projeví až později.</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7.4 Zhotovitel poskytuje na dílo záruku v délce 24 měsíců. V případě, že délka záruky činí 0 měsíců, ustanovení článků 7.5 až 7.7 pozbývají platnosti.</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7.5 Záruční doba počíná běžet dnem předání kompletního a bezvadného díla, popř. dnem odstranění poslední vady a nedodělku uvedeného v předávacím protokolu.</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CA46ED" w:rsidRPr="00CA46ED" w:rsidRDefault="00CA46ED" w:rsidP="00CA46ED">
      <w:pPr>
        <w:keepLines/>
        <w:autoSpaceDE/>
        <w:autoSpaceDN/>
        <w:spacing w:before="120" w:after="120"/>
        <w:ind w:left="340" w:hanging="340"/>
        <w:jc w:val="center"/>
        <w:rPr>
          <w:sz w:val="24"/>
          <w:szCs w:val="24"/>
        </w:rPr>
      </w:pPr>
      <w:r w:rsidRPr="00CA46ED">
        <w:rPr>
          <w:rFonts w:ascii="Arial" w:hAnsi="Arial" w:cs="Arial"/>
          <w:b/>
          <w:bCs/>
          <w:sz w:val="22"/>
          <w:szCs w:val="24"/>
        </w:rPr>
        <w:t>VIII. Sankce</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8.3 Ustanoveními o smluvní pokutě není dotčen nárok oprávněné smluvní strany požadovat náhradu škody v plném rozsahu.</w:t>
      </w:r>
    </w:p>
    <w:p w:rsidR="00CA46ED" w:rsidRPr="00CA46ED" w:rsidRDefault="00CA46ED" w:rsidP="00CA46ED">
      <w:pPr>
        <w:keepLines/>
        <w:autoSpaceDE/>
        <w:autoSpaceDN/>
        <w:spacing w:before="120" w:after="120"/>
        <w:ind w:left="340" w:hanging="340"/>
        <w:jc w:val="center"/>
        <w:rPr>
          <w:sz w:val="24"/>
          <w:szCs w:val="24"/>
        </w:rPr>
      </w:pPr>
      <w:r w:rsidRPr="00CA46ED">
        <w:rPr>
          <w:rFonts w:ascii="Arial" w:hAnsi="Arial" w:cs="Arial"/>
          <w:b/>
          <w:bCs/>
          <w:sz w:val="22"/>
          <w:szCs w:val="24"/>
        </w:rPr>
        <w:t>IX. Závěrečná ustanovení</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A46ED" w:rsidRPr="00CA46ED" w:rsidRDefault="00CA46ED" w:rsidP="00CA46ED">
      <w:pPr>
        <w:keepLines/>
        <w:autoSpaceDE/>
        <w:autoSpaceDN/>
        <w:spacing w:before="120" w:after="120"/>
        <w:ind w:left="340" w:hanging="340"/>
        <w:jc w:val="both"/>
        <w:rPr>
          <w:sz w:val="24"/>
          <w:szCs w:val="24"/>
        </w:rPr>
      </w:pPr>
      <w:r w:rsidRPr="00CA46ED">
        <w:rPr>
          <w:rFonts w:ascii="Arial" w:hAnsi="Arial" w:cs="Arial"/>
          <w:sz w:val="22"/>
          <w:szCs w:val="24"/>
        </w:rPr>
        <w:t>9.7 Nedílnou součástí smlouvy jsou tyto přílohy:</w:t>
      </w:r>
    </w:p>
    <w:p w:rsidR="00CA46ED" w:rsidRPr="00CA46ED" w:rsidRDefault="00CA46ED" w:rsidP="00CA46ED">
      <w:pPr>
        <w:keepLines/>
        <w:autoSpaceDE/>
        <w:autoSpaceDN/>
        <w:spacing w:before="120" w:after="120"/>
        <w:ind w:left="340"/>
        <w:jc w:val="both"/>
        <w:rPr>
          <w:sz w:val="24"/>
          <w:szCs w:val="24"/>
        </w:rPr>
      </w:pPr>
      <w:r w:rsidRPr="00CA46ED">
        <w:rPr>
          <w:rFonts w:ascii="Arial" w:hAnsi="Arial" w:cs="Arial"/>
          <w:sz w:val="22"/>
          <w:szCs w:val="24"/>
        </w:rPr>
        <w:t>Příloha č. 1 – položkový rozpočet</w:t>
      </w:r>
    </w:p>
    <w:p w:rsidR="00CA46ED" w:rsidRPr="00CA46ED" w:rsidRDefault="00CA46ED" w:rsidP="00CA46ED">
      <w:pPr>
        <w:keepLines/>
        <w:autoSpaceDE/>
        <w:autoSpaceDN/>
        <w:spacing w:before="120" w:after="120"/>
        <w:ind w:left="340"/>
        <w:jc w:val="both"/>
        <w:rPr>
          <w:sz w:val="24"/>
          <w:szCs w:val="24"/>
        </w:rPr>
      </w:pPr>
      <w:r w:rsidRPr="00CA46ED">
        <w:rPr>
          <w:rFonts w:ascii="Arial" w:hAnsi="Arial" w:cs="Arial"/>
          <w:sz w:val="22"/>
          <w:szCs w:val="24"/>
        </w:rPr>
        <w:t>Příloha č. 2 – mapový zákres</w:t>
      </w:r>
    </w:p>
    <w:p w:rsidR="00CA46ED" w:rsidRPr="00CA46ED" w:rsidRDefault="00CA46ED" w:rsidP="00CA46ED">
      <w:pPr>
        <w:autoSpaceDE/>
        <w:autoSpaceDN/>
        <w:jc w:val="both"/>
        <w:rPr>
          <w:sz w:val="24"/>
          <w:szCs w:val="24"/>
        </w:rPr>
      </w:pPr>
      <w:r w:rsidRPr="00CA46ED">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CA46ED" w:rsidRPr="00CA46ED" w:rsidTr="001E64DC">
        <w:trPr>
          <w:gridAfter w:val="2"/>
          <w:trHeight w:val="915"/>
          <w:jc w:val="center"/>
        </w:trPr>
        <w:tc>
          <w:tcPr>
            <w:tcW w:w="1723" w:type="dxa"/>
            <w:gridSpan w:val="2"/>
            <w:tcBorders>
              <w:top w:val="nil"/>
              <w:left w:val="nil"/>
              <w:bottom w:val="nil"/>
              <w:right w:val="nil"/>
            </w:tcBorders>
            <w:shd w:val="clear" w:color="auto" w:fill="auto"/>
            <w:vAlign w:val="center"/>
            <w:hideMark/>
          </w:tcPr>
          <w:p w:rsidR="00CA46ED" w:rsidRPr="00CA46ED" w:rsidRDefault="00CA46ED" w:rsidP="00CA46ED">
            <w:pPr>
              <w:autoSpaceDE/>
              <w:autoSpaceDN/>
              <w:jc w:val="center"/>
              <w:rPr>
                <w:sz w:val="24"/>
                <w:szCs w:val="24"/>
              </w:rPr>
            </w:pPr>
            <w:r w:rsidRPr="00CA46ED">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2003" w:type="dxa"/>
            <w:gridSpan w:val="3"/>
            <w:tcBorders>
              <w:top w:val="nil"/>
              <w:left w:val="nil"/>
              <w:bottom w:val="nil"/>
              <w:right w:val="nil"/>
            </w:tcBorders>
            <w:shd w:val="clear" w:color="auto" w:fill="auto"/>
            <w:vAlign w:val="center"/>
            <w:hideMark/>
          </w:tcPr>
          <w:p w:rsidR="00CA46ED" w:rsidRPr="00CA46ED" w:rsidRDefault="00CA46ED" w:rsidP="001E64DC">
            <w:pPr>
              <w:autoSpaceDE/>
              <w:autoSpaceDN/>
              <w:rPr>
                <w:sz w:val="24"/>
                <w:szCs w:val="24"/>
              </w:rPr>
            </w:pPr>
            <w:r w:rsidRPr="00CA46ED">
              <w:rPr>
                <w:rFonts w:ascii="Arial" w:hAnsi="Arial" w:cs="Arial"/>
                <w:sz w:val="22"/>
                <w:szCs w:val="24"/>
              </w:rPr>
              <w:t xml:space="preserve">dne </w:t>
            </w:r>
            <w:r w:rsidR="001E64DC">
              <w:rPr>
                <w:rFonts w:ascii="Arial" w:hAnsi="Arial" w:cs="Arial"/>
                <w:sz w:val="22"/>
                <w:szCs w:val="24"/>
              </w:rPr>
              <w:t>20</w:t>
            </w:r>
            <w:r w:rsidRPr="00CA46ED">
              <w:rPr>
                <w:rFonts w:ascii="Arial" w:hAnsi="Arial" w:cs="Arial"/>
                <w:sz w:val="22"/>
                <w:szCs w:val="24"/>
              </w:rPr>
              <w:t>.</w:t>
            </w:r>
            <w:r>
              <w:rPr>
                <w:rFonts w:ascii="Arial" w:hAnsi="Arial" w:cs="Arial"/>
                <w:sz w:val="22"/>
                <w:szCs w:val="24"/>
              </w:rPr>
              <w:t xml:space="preserve"> </w:t>
            </w:r>
            <w:r w:rsidRPr="00CA46ED">
              <w:rPr>
                <w:rFonts w:ascii="Arial" w:hAnsi="Arial" w:cs="Arial"/>
                <w:sz w:val="22"/>
                <w:szCs w:val="24"/>
              </w:rPr>
              <w:t>8.</w:t>
            </w:r>
            <w:r>
              <w:rPr>
                <w:rFonts w:ascii="Arial" w:hAnsi="Arial" w:cs="Arial"/>
                <w:sz w:val="22"/>
                <w:szCs w:val="24"/>
              </w:rPr>
              <w:t xml:space="preserve"> </w:t>
            </w:r>
            <w:r w:rsidRPr="00CA46ED">
              <w:rPr>
                <w:rFonts w:ascii="Arial" w:hAnsi="Arial" w:cs="Arial"/>
                <w:sz w:val="22"/>
                <w:szCs w:val="24"/>
              </w:rPr>
              <w:t>2019</w:t>
            </w:r>
          </w:p>
        </w:tc>
        <w:tc>
          <w:tcPr>
            <w:tcW w:w="1017"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jc w:val="center"/>
              <w:rPr>
                <w:sz w:val="24"/>
                <w:szCs w:val="24"/>
              </w:rPr>
            </w:pPr>
            <w:r w:rsidRPr="00CA46ED">
              <w:rPr>
                <w:rFonts w:ascii="Arial" w:hAnsi="Arial" w:cs="Arial"/>
                <w:sz w:val="22"/>
                <w:szCs w:val="24"/>
              </w:rPr>
              <w:t>V Opavě</w:t>
            </w:r>
          </w:p>
        </w:tc>
        <w:tc>
          <w:tcPr>
            <w:tcW w:w="434"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884" w:type="dxa"/>
            <w:gridSpan w:val="2"/>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rFonts w:ascii="Arial" w:hAnsi="Arial" w:cs="Arial"/>
                <w:sz w:val="22"/>
                <w:szCs w:val="24"/>
              </w:rPr>
              <w:t>dne 21.</w:t>
            </w:r>
            <w:r>
              <w:rPr>
                <w:rFonts w:ascii="Arial" w:hAnsi="Arial" w:cs="Arial"/>
                <w:sz w:val="22"/>
                <w:szCs w:val="24"/>
              </w:rPr>
              <w:t xml:space="preserve"> </w:t>
            </w:r>
            <w:r w:rsidRPr="00CA46ED">
              <w:rPr>
                <w:rFonts w:ascii="Arial" w:hAnsi="Arial" w:cs="Arial"/>
                <w:sz w:val="22"/>
                <w:szCs w:val="24"/>
              </w:rPr>
              <w:t>8.</w:t>
            </w:r>
            <w:r>
              <w:rPr>
                <w:rFonts w:ascii="Arial" w:hAnsi="Arial" w:cs="Arial"/>
                <w:sz w:val="22"/>
                <w:szCs w:val="24"/>
              </w:rPr>
              <w:t xml:space="preserve"> </w:t>
            </w:r>
            <w:r w:rsidRPr="00CA46ED">
              <w:rPr>
                <w:rFonts w:ascii="Arial" w:hAnsi="Arial" w:cs="Arial"/>
                <w:sz w:val="22"/>
                <w:szCs w:val="24"/>
              </w:rPr>
              <w:t>2019</w:t>
            </w:r>
          </w:p>
        </w:tc>
      </w:tr>
      <w:tr w:rsidR="00CA46ED" w:rsidRPr="00CA46ED" w:rsidTr="001E64DC">
        <w:trPr>
          <w:gridAfter w:val="2"/>
          <w:trHeight w:val="186"/>
          <w:jc w:val="center"/>
        </w:trPr>
        <w:tc>
          <w:tcPr>
            <w:tcW w:w="3891" w:type="dxa"/>
            <w:gridSpan w:val="5"/>
            <w:tcBorders>
              <w:top w:val="nil"/>
              <w:left w:val="nil"/>
              <w:bottom w:val="nil"/>
              <w:right w:val="nil"/>
            </w:tcBorders>
            <w:shd w:val="clear" w:color="auto" w:fill="auto"/>
            <w:vAlign w:val="center"/>
            <w:hideMark/>
          </w:tcPr>
          <w:p w:rsidR="00CA46ED" w:rsidRPr="00CA46ED" w:rsidRDefault="00CA46ED" w:rsidP="00CA46ED">
            <w:pPr>
              <w:autoSpaceDE/>
              <w:autoSpaceDN/>
              <w:spacing w:line="186" w:lineRule="atLeast"/>
              <w:rPr>
                <w:sz w:val="24"/>
                <w:szCs w:val="24"/>
              </w:rPr>
            </w:pPr>
            <w:r w:rsidRPr="00CA46ED">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spacing w:line="186" w:lineRule="atLeast"/>
              <w:rPr>
                <w:sz w:val="24"/>
                <w:szCs w:val="24"/>
              </w:rPr>
            </w:pPr>
            <w:r w:rsidRPr="00CA46ED">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spacing w:line="186" w:lineRule="atLeast"/>
              <w:rPr>
                <w:sz w:val="24"/>
                <w:szCs w:val="24"/>
              </w:rPr>
            </w:pPr>
            <w:r w:rsidRPr="00CA46ED">
              <w:rPr>
                <w:sz w:val="24"/>
                <w:szCs w:val="24"/>
              </w:rPr>
              <w:t> </w:t>
            </w:r>
          </w:p>
        </w:tc>
      </w:tr>
      <w:tr w:rsidR="00CA46ED" w:rsidRPr="00CA46ED" w:rsidTr="001E64DC">
        <w:trPr>
          <w:gridAfter w:val="2"/>
          <w:jc w:val="center"/>
        </w:trPr>
        <w:tc>
          <w:tcPr>
            <w:tcW w:w="3891" w:type="dxa"/>
            <w:gridSpan w:val="5"/>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rFonts w:ascii="Arial" w:hAnsi="Arial" w:cs="Arial"/>
                <w:sz w:val="22"/>
                <w:szCs w:val="24"/>
              </w:rPr>
              <w:t>Zhotovitel</w:t>
            </w:r>
          </w:p>
        </w:tc>
      </w:tr>
      <w:tr w:rsidR="00CA46ED" w:rsidRPr="00CA46ED" w:rsidTr="001E64DC">
        <w:trPr>
          <w:gridAfter w:val="2"/>
          <w:trHeight w:val="388"/>
          <w:jc w:val="center"/>
        </w:trPr>
        <w:tc>
          <w:tcPr>
            <w:tcW w:w="862"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296" w:type="dxa"/>
            <w:gridSpan w:val="2"/>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60"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673"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287" w:type="dxa"/>
            <w:gridSpan w:val="2"/>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724"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434"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sz w:val="24"/>
                <w:szCs w:val="24"/>
              </w:rPr>
              <w:t> </w:t>
            </w:r>
          </w:p>
        </w:tc>
      </w:tr>
      <w:tr w:rsidR="00CA46ED" w:rsidRPr="00CA46ED" w:rsidTr="001E64DC">
        <w:trPr>
          <w:gridAfter w:val="2"/>
          <w:trHeight w:val="1268"/>
          <w:jc w:val="center"/>
        </w:trPr>
        <w:tc>
          <w:tcPr>
            <w:tcW w:w="862"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296" w:type="dxa"/>
            <w:gridSpan w:val="2"/>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60"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673"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287" w:type="dxa"/>
            <w:gridSpan w:val="2"/>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1724"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434" w:type="dxa"/>
            <w:tcBorders>
              <w:top w:val="nil"/>
              <w:left w:val="nil"/>
              <w:bottom w:val="nil"/>
              <w:right w:val="nil"/>
            </w:tcBorders>
            <w:shd w:val="clear" w:color="auto" w:fill="auto"/>
            <w:vAlign w:val="center"/>
            <w:hideMark/>
          </w:tcPr>
          <w:p w:rsidR="00CA46ED" w:rsidRPr="00CA46ED" w:rsidRDefault="00CA46ED" w:rsidP="00CA46ED">
            <w:pPr>
              <w:autoSpaceDE/>
              <w:autoSpaceDN/>
              <w:rPr>
                <w:sz w:val="24"/>
                <w:szCs w:val="24"/>
              </w:rPr>
            </w:pPr>
            <w:r w:rsidRPr="00CA46ED">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sz w:val="24"/>
                <w:szCs w:val="24"/>
              </w:rPr>
              <w:t> </w:t>
            </w:r>
          </w:p>
        </w:tc>
      </w:tr>
      <w:tr w:rsidR="00CA46ED" w:rsidRPr="00CA46ED" w:rsidTr="001E64DC">
        <w:trPr>
          <w:jc w:val="center"/>
        </w:trPr>
        <w:tc>
          <w:tcPr>
            <w:tcW w:w="3891" w:type="dxa"/>
            <w:gridSpan w:val="5"/>
            <w:tcBorders>
              <w:top w:val="nil"/>
              <w:left w:val="nil"/>
              <w:bottom w:val="nil"/>
              <w:right w:val="nil"/>
            </w:tcBorders>
            <w:shd w:val="clear" w:color="auto" w:fill="auto"/>
            <w:vAlign w:val="center"/>
            <w:hideMark/>
          </w:tcPr>
          <w:p w:rsidR="00CA46ED" w:rsidRPr="00CA46ED" w:rsidRDefault="00CA46ED" w:rsidP="00CA46ED">
            <w:pPr>
              <w:autoSpaceDE/>
              <w:autoSpaceDN/>
              <w:jc w:val="center"/>
              <w:rPr>
                <w:sz w:val="24"/>
                <w:szCs w:val="24"/>
              </w:rPr>
            </w:pPr>
            <w:r w:rsidRPr="00CA46ED">
              <w:rPr>
                <w:rFonts w:ascii="Arial" w:hAnsi="Arial" w:cs="Arial"/>
                <w:b/>
                <w:bCs/>
                <w:sz w:val="22"/>
                <w:szCs w:val="24"/>
              </w:rPr>
              <w:t xml:space="preserve">Ing. Michal Servus </w:t>
            </w:r>
            <w:r w:rsidRPr="00CA46ED">
              <w:rPr>
                <w:rFonts w:ascii="Arial" w:hAnsi="Arial" w:cs="Arial"/>
                <w:b/>
                <w:bCs/>
                <w:sz w:val="22"/>
                <w:szCs w:val="24"/>
              </w:rPr>
              <w:br/>
            </w:r>
            <w:r w:rsidRPr="00CA46ED">
              <w:rPr>
                <w:rFonts w:ascii="Arial" w:hAnsi="Arial" w:cs="Arial"/>
                <w:bCs/>
                <w:sz w:val="22"/>
                <w:szCs w:val="24"/>
              </w:rP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rPr>
                <w:sz w:val="24"/>
                <w:szCs w:val="24"/>
              </w:rPr>
            </w:pPr>
            <w:r w:rsidRPr="00CA46ED">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CA46ED" w:rsidRPr="00CA46ED" w:rsidRDefault="00CA46ED" w:rsidP="00CA46ED">
            <w:pPr>
              <w:autoSpaceDE/>
              <w:autoSpaceDN/>
              <w:jc w:val="center"/>
              <w:rPr>
                <w:sz w:val="24"/>
                <w:szCs w:val="24"/>
              </w:rPr>
            </w:pPr>
            <w:r w:rsidRPr="00CA46ED">
              <w:rPr>
                <w:rFonts w:ascii="Arial" w:hAnsi="Arial" w:cs="Arial"/>
                <w:b/>
                <w:bCs/>
                <w:sz w:val="22"/>
                <w:szCs w:val="24"/>
              </w:rPr>
              <w:t>Marcel Kuzník</w:t>
            </w:r>
          </w:p>
        </w:tc>
        <w:tc>
          <w:tcPr>
            <w:tcW w:w="0" w:type="auto"/>
            <w:vAlign w:val="center"/>
            <w:hideMark/>
          </w:tcPr>
          <w:p w:rsidR="00CA46ED" w:rsidRPr="00CA46ED" w:rsidRDefault="00CA46ED" w:rsidP="00CA46ED">
            <w:pPr>
              <w:autoSpaceDE/>
              <w:autoSpaceDN/>
            </w:pPr>
          </w:p>
        </w:tc>
        <w:tc>
          <w:tcPr>
            <w:tcW w:w="0" w:type="auto"/>
            <w:vAlign w:val="center"/>
            <w:hideMark/>
          </w:tcPr>
          <w:p w:rsidR="00CA46ED" w:rsidRPr="00CA46ED" w:rsidRDefault="00CA46ED" w:rsidP="00CA46ED">
            <w:pPr>
              <w:autoSpaceDE/>
              <w:autoSpaceDN/>
            </w:pPr>
          </w:p>
        </w:tc>
      </w:tr>
    </w:tbl>
    <w:p w:rsidR="003C2CA4" w:rsidRDefault="001E64DC">
      <w:r>
        <w:rPr>
          <w:noProof/>
        </w:rPr>
        <mc:AlternateContent>
          <mc:Choice Requires="wps">
            <w:drawing>
              <wp:anchor distT="0" distB="0" distL="114300" distR="114300" simplePos="0" relativeHeight="251659264" behindDoc="0" locked="0" layoutInCell="1" allowOverlap="1" wp14:anchorId="78BD2182" wp14:editId="0ABB5E95">
                <wp:simplePos x="0" y="0"/>
                <wp:positionH relativeFrom="column">
                  <wp:posOffset>841375</wp:posOffset>
                </wp:positionH>
                <wp:positionV relativeFrom="paragraph">
                  <wp:posOffset>221532</wp:posOffset>
                </wp:positionV>
                <wp:extent cx="4481830" cy="1562100"/>
                <wp:effectExtent l="0" t="0" r="13970" b="19050"/>
                <wp:wrapNone/>
                <wp:docPr id="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562100"/>
                        </a:xfrm>
                        <a:prstGeom prst="rect">
                          <a:avLst/>
                        </a:prstGeom>
                        <a:solidFill>
                          <a:srgbClr val="FFFFFF"/>
                        </a:solidFill>
                        <a:ln w="9525">
                          <a:solidFill>
                            <a:srgbClr val="000000"/>
                          </a:solidFill>
                          <a:miter lim="800000"/>
                          <a:headEnd/>
                          <a:tailEnd/>
                        </a:ln>
                      </wps:spPr>
                      <wps:txbx>
                        <w:txbxContent>
                          <w:p w:rsidR="001E64DC" w:rsidRDefault="001E64DC" w:rsidP="001E64DC">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E64DC" w:rsidRPr="003E394A" w:rsidRDefault="001E64DC" w:rsidP="001E64DC">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E64DC" w:rsidRPr="00516452" w:rsidRDefault="001E64DC" w:rsidP="001E64DC">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1E64DC" w:rsidRDefault="001E64DC" w:rsidP="001E64DC">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1E64DC" w:rsidRDefault="001E64DC" w:rsidP="001E64DC">
                            <w:pPr>
                              <w:tabs>
                                <w:tab w:val="left" w:pos="6300"/>
                              </w:tabs>
                              <w:jc w:val="both"/>
                              <w:rPr>
                                <w:rFonts w:ascii="Arial" w:hAnsi="Arial"/>
                                <w:sz w:val="18"/>
                                <w:szCs w:val="18"/>
                              </w:rPr>
                            </w:pPr>
                          </w:p>
                          <w:p w:rsidR="001E64DC" w:rsidRDefault="001E64DC" w:rsidP="001E64DC">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301.199,-Kč</w:t>
                            </w:r>
                          </w:p>
                          <w:p w:rsidR="001E64DC" w:rsidRDefault="001E64DC" w:rsidP="001E64DC">
                            <w:r>
                              <w:rPr>
                                <w:rFonts w:ascii="Arial" w:hAnsi="Arial"/>
                                <w:color w:val="000000"/>
                                <w:sz w:val="18"/>
                                <w:szCs w:val="18"/>
                              </w:rPr>
                              <w:t xml:space="preserve">         3749 00                          5169 14                         01-60-84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2182" id="_x0000_t202" coordsize="21600,21600" o:spt="202" path="m,l,21600r21600,l21600,xe">
                <v:stroke joinstyle="miter"/>
                <v:path gradientshapeok="t" o:connecttype="rect"/>
              </v:shapetype>
              <v:shape id="Textové pole 1" o:spid="_x0000_s1026" type="#_x0000_t202" style="position:absolute;margin-left:66.25pt;margin-top:17.45pt;width:352.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">
                <v:textbox>
                  <w:txbxContent>
                    <w:p w:rsidR="001E64DC" w:rsidRDefault="001E64DC" w:rsidP="001E64DC">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1E64DC" w:rsidRPr="003E394A" w:rsidRDefault="001E64DC" w:rsidP="001E64DC">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1E64DC" w:rsidRPr="00516452" w:rsidRDefault="001E64DC" w:rsidP="001E64DC">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25. 4. 2019 </w:t>
                      </w:r>
                      <w:r>
                        <w:rPr>
                          <w:rFonts w:ascii="Arial" w:hAnsi="Arial" w:cs="Arial"/>
                          <w:sz w:val="18"/>
                          <w:szCs w:val="18"/>
                        </w:rPr>
                        <w:tab/>
                        <w:t>Ing. Michal Servus</w:t>
                      </w:r>
                    </w:p>
                    <w:p w:rsidR="001E64DC" w:rsidRDefault="001E64DC" w:rsidP="001E64DC">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2019</w:t>
                      </w:r>
                      <w:r>
                        <w:rPr>
                          <w:rFonts w:ascii="Arial" w:hAnsi="Arial" w:cs="Arial"/>
                          <w:sz w:val="18"/>
                          <w:szCs w:val="18"/>
                        </w:rPr>
                        <w:tab/>
                        <w:t>Eva Barščová</w:t>
                      </w:r>
                    </w:p>
                    <w:p w:rsidR="001E64DC" w:rsidRDefault="001E64DC" w:rsidP="001E64DC">
                      <w:pPr>
                        <w:tabs>
                          <w:tab w:val="left" w:pos="6300"/>
                        </w:tabs>
                        <w:jc w:val="both"/>
                        <w:rPr>
                          <w:rFonts w:ascii="Arial" w:hAnsi="Arial"/>
                          <w:sz w:val="18"/>
                          <w:szCs w:val="18"/>
                        </w:rPr>
                      </w:pPr>
                    </w:p>
                    <w:p w:rsidR="001E64DC" w:rsidRDefault="001E64DC" w:rsidP="001E64DC">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301.199,-Kč</w:t>
                      </w:r>
                    </w:p>
                    <w:p w:rsidR="001E64DC" w:rsidRDefault="001E64DC" w:rsidP="001E64DC">
                      <w:r>
                        <w:rPr>
                          <w:rFonts w:ascii="Arial" w:hAnsi="Arial"/>
                          <w:color w:val="000000"/>
                          <w:sz w:val="18"/>
                          <w:szCs w:val="18"/>
                        </w:rPr>
                        <w:t xml:space="preserve">         3749 00                          5169 14                         01-60-84              </w:t>
                      </w:r>
                    </w:p>
                  </w:txbxContent>
                </v:textbox>
              </v:shape>
            </w:pict>
          </mc:Fallback>
        </mc:AlternateContent>
      </w:r>
    </w:p>
    <w:sectPr w:rsidR="003C2CA4" w:rsidSect="00CA46ED">
      <w:pgSz w:w="11906" w:h="16838"/>
      <w:pgMar w:top="1417" w:right="1417"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ED"/>
    <w:rsid w:val="001643C3"/>
    <w:rsid w:val="001A2895"/>
    <w:rsid w:val="001E64DC"/>
    <w:rsid w:val="003C2CA4"/>
    <w:rsid w:val="005B4BEE"/>
    <w:rsid w:val="00826C84"/>
    <w:rsid w:val="009F6253"/>
    <w:rsid w:val="00CA4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08438-4EF8-4C29-B1A1-1410E95C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Normlnweb">
    <w:name w:val="Normal (Web)"/>
    <w:basedOn w:val="Normln"/>
    <w:uiPriority w:val="99"/>
    <w:semiHidden/>
    <w:unhideWhenUsed/>
    <w:rsid w:val="001E64DC"/>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50111">
      <w:bodyDiv w:val="1"/>
      <w:marLeft w:val="0"/>
      <w:marRight w:val="0"/>
      <w:marTop w:val="0"/>
      <w:marBottom w:val="0"/>
      <w:divBdr>
        <w:top w:val="none" w:sz="0" w:space="0" w:color="auto"/>
        <w:left w:val="none" w:sz="0" w:space="0" w:color="auto"/>
        <w:bottom w:val="none" w:sz="0" w:space="0" w:color="auto"/>
        <w:right w:val="none" w:sz="0" w:space="0" w:color="auto"/>
      </w:divBdr>
    </w:div>
    <w:div w:id="749303832">
      <w:bodyDiv w:val="1"/>
      <w:marLeft w:val="0"/>
      <w:marRight w:val="0"/>
      <w:marTop w:val="0"/>
      <w:marBottom w:val="0"/>
      <w:divBdr>
        <w:top w:val="none" w:sz="0" w:space="0" w:color="auto"/>
        <w:left w:val="none" w:sz="0" w:space="0" w:color="auto"/>
        <w:bottom w:val="none" w:sz="0" w:space="0" w:color="auto"/>
        <w:right w:val="none" w:sz="0" w:space="0" w:color="auto"/>
      </w:divBdr>
    </w:div>
    <w:div w:id="17356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1670</Words>
  <Characters>9855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3</cp:revision>
  <cp:lastPrinted>2019-08-20T08:28:00Z</cp:lastPrinted>
  <dcterms:created xsi:type="dcterms:W3CDTF">2019-08-20T08:05:00Z</dcterms:created>
  <dcterms:modified xsi:type="dcterms:W3CDTF">2019-08-26T08:25:00Z</dcterms:modified>
</cp:coreProperties>
</file>