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bookmarkStart w:id="0" w:name="_GoBack"/>
      <w:bookmarkEnd w:id="0"/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18639D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18639D"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 w:rsidRPr="0018639D"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 w:rsidRPr="0018639D">
        <w:rPr>
          <w:rFonts w:asciiTheme="minorHAnsi" w:hAnsiTheme="minorHAnsi" w:cstheme="minorHAnsi"/>
          <w:color w:val="auto"/>
          <w:szCs w:val="24"/>
        </w:rPr>
        <w:t xml:space="preserve">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18639D">
        <w:rPr>
          <w:rFonts w:asciiTheme="minorHAnsi" w:hAnsiTheme="minorHAnsi" w:cstheme="minorHAnsi"/>
          <w:color w:val="auto"/>
          <w:szCs w:val="24"/>
        </w:rPr>
        <w:t>poskytování právních služeb, jejímž předmětem je pokyn klienta k</w:t>
      </w:r>
      <w:r w:rsidR="00110772" w:rsidRPr="0018639D">
        <w:rPr>
          <w:rFonts w:asciiTheme="minorHAnsi" w:hAnsiTheme="minorHAnsi" w:cstheme="minorHAnsi"/>
          <w:color w:val="auto"/>
          <w:szCs w:val="24"/>
        </w:rPr>
        <w:t> 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B774FF">
        <w:rPr>
          <w:rFonts w:asciiTheme="minorHAnsi" w:hAnsiTheme="minorHAnsi" w:cstheme="minorHAnsi"/>
          <w:b/>
          <w:color w:val="auto"/>
          <w:szCs w:val="24"/>
        </w:rPr>
        <w:t xml:space="preserve">daňového řízení o porušení rozpočtové kázně před Finančním úřadem pro </w:t>
      </w:r>
      <w:r w:rsidR="003C0B20">
        <w:rPr>
          <w:rFonts w:asciiTheme="minorHAnsi" w:hAnsiTheme="minorHAnsi" w:cstheme="minorHAnsi"/>
          <w:b/>
          <w:color w:val="auto"/>
          <w:szCs w:val="24"/>
        </w:rPr>
        <w:t>hlavní město Prahu, Oddělením</w:t>
      </w:r>
      <w:r w:rsidR="00B774FF">
        <w:rPr>
          <w:rFonts w:asciiTheme="minorHAnsi" w:hAnsiTheme="minorHAnsi" w:cstheme="minorHAnsi"/>
          <w:b/>
          <w:color w:val="auto"/>
          <w:szCs w:val="24"/>
        </w:rPr>
        <w:t xml:space="preserve"> kontroly zvláštních činností</w:t>
      </w:r>
      <w:r w:rsidR="003C0B20">
        <w:rPr>
          <w:rFonts w:asciiTheme="minorHAnsi" w:hAnsiTheme="minorHAnsi" w:cstheme="minorHAnsi"/>
          <w:b/>
          <w:color w:val="auto"/>
          <w:szCs w:val="24"/>
        </w:rPr>
        <w:t xml:space="preserve"> VI.</w:t>
      </w:r>
      <w:r w:rsidR="00EA4210">
        <w:rPr>
          <w:rFonts w:asciiTheme="minorHAnsi" w:hAnsiTheme="minorHAnsi" w:cstheme="minorHAnsi"/>
          <w:b/>
          <w:color w:val="auto"/>
          <w:szCs w:val="24"/>
        </w:rPr>
        <w:t>,</w:t>
      </w:r>
      <w:r w:rsidR="000E164D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3C0B20">
        <w:rPr>
          <w:rFonts w:asciiTheme="minorHAnsi" w:hAnsiTheme="minorHAnsi" w:cstheme="minorHAnsi"/>
          <w:b/>
          <w:color w:val="auto"/>
          <w:szCs w:val="24"/>
        </w:rPr>
        <w:t>v jehož rámci byl vydán platební výměr na odvod za porušení rozpočtové kázně č. j. 5069932/17/2000-31476-108894 ze dne 13. 6. 2017 a platební výměr na penále za prodlení s odvodem za porušení rozpočtové kázně za období od 13. 5. 2009 do 23. 7. 2019, č. j. 6321588/19/2000-31476-108894, ze dne 26. 7. 2019</w:t>
      </w:r>
      <w:r w:rsidR="0018639D" w:rsidRPr="0018639D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Klient se zavazuje udělit advokátu plnou moc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110772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Předpokládaný rozsah práce dle této dílčí </w:t>
      </w:r>
      <w:r w:rsidRPr="0076778E">
        <w:rPr>
          <w:rFonts w:ascii="Calibri" w:hAnsi="Calibri"/>
          <w:color w:val="auto"/>
          <w:szCs w:val="24"/>
        </w:rPr>
        <w:t xml:space="preserve">smlouvy: převzetí věci a seznámení s poskytnutými podklady </w:t>
      </w:r>
      <w:r w:rsidR="00DD7955" w:rsidRPr="0076778E">
        <w:rPr>
          <w:rFonts w:ascii="Calibri" w:hAnsi="Calibri"/>
          <w:color w:val="auto"/>
          <w:szCs w:val="24"/>
        </w:rPr>
        <w:t>1</w:t>
      </w:r>
      <w:r w:rsidRPr="0076778E">
        <w:rPr>
          <w:rFonts w:ascii="Calibri" w:hAnsi="Calibri"/>
          <w:color w:val="auto"/>
          <w:szCs w:val="24"/>
        </w:rPr>
        <w:t xml:space="preserve">h, </w:t>
      </w:r>
      <w:r w:rsidR="00DD7955" w:rsidRPr="0076778E">
        <w:rPr>
          <w:rFonts w:ascii="Calibri" w:hAnsi="Calibri"/>
          <w:color w:val="auto"/>
          <w:szCs w:val="24"/>
        </w:rPr>
        <w:t>příprava odvolání</w:t>
      </w:r>
      <w:r w:rsidR="006B4631" w:rsidRPr="0076778E">
        <w:rPr>
          <w:rFonts w:ascii="Calibri" w:hAnsi="Calibri"/>
          <w:color w:val="auto"/>
          <w:szCs w:val="24"/>
        </w:rPr>
        <w:t xml:space="preserve"> </w:t>
      </w:r>
      <w:r w:rsidR="00DD7955" w:rsidRPr="0076778E">
        <w:rPr>
          <w:rFonts w:ascii="Calibri" w:hAnsi="Calibri"/>
          <w:color w:val="auto"/>
          <w:szCs w:val="24"/>
        </w:rPr>
        <w:t>3</w:t>
      </w:r>
      <w:r w:rsidR="006B4631" w:rsidRPr="0076778E">
        <w:rPr>
          <w:rFonts w:ascii="Calibri" w:hAnsi="Calibri"/>
          <w:color w:val="auto"/>
          <w:szCs w:val="24"/>
        </w:rPr>
        <w:t>h</w:t>
      </w:r>
      <w:r w:rsidR="006810D4" w:rsidRPr="0076778E">
        <w:rPr>
          <w:rFonts w:ascii="Calibri" w:hAnsi="Calibri"/>
          <w:color w:val="auto"/>
          <w:szCs w:val="24"/>
        </w:rPr>
        <w:t>, další</w:t>
      </w:r>
      <w:r w:rsidR="006B4631" w:rsidRPr="0076778E">
        <w:rPr>
          <w:rFonts w:ascii="Calibri" w:hAnsi="Calibri"/>
          <w:color w:val="auto"/>
          <w:szCs w:val="24"/>
        </w:rPr>
        <w:t xml:space="preserve"> dle vývoje </w:t>
      </w:r>
      <w:r w:rsidR="00DD7955" w:rsidRPr="0076778E">
        <w:rPr>
          <w:rFonts w:ascii="Calibri" w:hAnsi="Calibri"/>
          <w:color w:val="auto"/>
          <w:szCs w:val="24"/>
        </w:rPr>
        <w:t>řízení</w:t>
      </w:r>
      <w:r w:rsidR="006B4631" w:rsidRPr="0076778E">
        <w:rPr>
          <w:rFonts w:ascii="Calibri" w:hAnsi="Calibri"/>
          <w:color w:val="auto"/>
          <w:szCs w:val="24"/>
        </w:rPr>
        <w:t xml:space="preserve">. </w:t>
      </w:r>
      <w:r w:rsidR="006810D4" w:rsidRPr="0076778E">
        <w:rPr>
          <w:rFonts w:ascii="Calibri" w:hAnsi="Calibri"/>
          <w:color w:val="auto"/>
          <w:szCs w:val="24"/>
        </w:rPr>
        <w:t xml:space="preserve"> Smluvní strany berou na vědomí, že uvedený rozsah práce je orientační a může se měnit v závislosti na vývoji ve věci, přičemž není možno předem vyloučit nutnost poskytování dalších služeb či vyšší časové dotace u služeb předpokládaných výše. Veškeré právní služby</w:t>
      </w:r>
      <w:r w:rsidR="006810D4">
        <w:rPr>
          <w:rFonts w:ascii="Calibri" w:hAnsi="Calibri"/>
          <w:color w:val="auto"/>
          <w:szCs w:val="24"/>
        </w:rPr>
        <w:t xml:space="preserve">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__. __. 2019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>V Praze dne __. __. 2019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2D" w:rsidRDefault="0091272D">
      <w:r>
        <w:separator/>
      </w:r>
    </w:p>
  </w:endnote>
  <w:endnote w:type="continuationSeparator" w:id="0">
    <w:p w:rsidR="0091272D" w:rsidRDefault="009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E80D72" w:rsidRPr="00E80D72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91272D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2D" w:rsidRDefault="0091272D">
      <w:r>
        <w:separator/>
      </w:r>
    </w:p>
  </w:footnote>
  <w:footnote w:type="continuationSeparator" w:id="0">
    <w:p w:rsidR="0091272D" w:rsidRDefault="0091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60750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0B20"/>
    <w:rsid w:val="003C7868"/>
    <w:rsid w:val="003F4EC8"/>
    <w:rsid w:val="004253F2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27702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94D1D"/>
    <w:rsid w:val="007B0B42"/>
    <w:rsid w:val="007B7681"/>
    <w:rsid w:val="007B7F33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6EBF"/>
    <w:rsid w:val="0091272D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336F"/>
    <w:rsid w:val="00BF4E8B"/>
    <w:rsid w:val="00C227B5"/>
    <w:rsid w:val="00C23BE5"/>
    <w:rsid w:val="00C4008C"/>
    <w:rsid w:val="00C47C29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72FD7"/>
    <w:rsid w:val="00E800D5"/>
    <w:rsid w:val="00E80D72"/>
    <w:rsid w:val="00E86CC4"/>
    <w:rsid w:val="00E94C62"/>
    <w:rsid w:val="00EA3780"/>
    <w:rsid w:val="00EA4210"/>
    <w:rsid w:val="00EB6711"/>
    <w:rsid w:val="00ED0C4F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2019-08-23T12:36:00Z</dcterms:created>
  <dcterms:modified xsi:type="dcterms:W3CDTF">2019-08-23T12:36:00Z</dcterms:modified>
</cp:coreProperties>
</file>