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77777777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264420">
        <w:rPr>
          <w:sz w:val="30"/>
          <w:szCs w:val="30"/>
        </w:rPr>
        <w:t xml:space="preserve"> </w:t>
      </w:r>
      <w:r w:rsidR="008E0931">
        <w:rPr>
          <w:sz w:val="30"/>
          <w:szCs w:val="30"/>
        </w:rPr>
        <w:t>ORG</w:t>
      </w:r>
      <w:r w:rsidR="00B3502D">
        <w:rPr>
          <w:sz w:val="30"/>
          <w:szCs w:val="30"/>
        </w:rPr>
        <w:t xml:space="preserve"> </w:t>
      </w:r>
      <w:r w:rsidR="00A03086">
        <w:rPr>
          <w:sz w:val="30"/>
          <w:szCs w:val="30"/>
        </w:rPr>
        <w:t>9</w:t>
      </w:r>
      <w:r w:rsidR="00391B11">
        <w:rPr>
          <w:sz w:val="30"/>
          <w:szCs w:val="30"/>
        </w:rPr>
        <w:t>5</w:t>
      </w:r>
      <w:r w:rsidR="00A03086">
        <w:rPr>
          <w:sz w:val="30"/>
          <w:szCs w:val="30"/>
        </w:rPr>
        <w:t>66</w:t>
      </w:r>
      <w:r w:rsidR="00391B11">
        <w:rPr>
          <w:sz w:val="30"/>
          <w:szCs w:val="30"/>
        </w:rPr>
        <w:t>32</w:t>
      </w:r>
      <w:r w:rsidR="008E0931">
        <w:rPr>
          <w:sz w:val="30"/>
          <w:szCs w:val="30"/>
        </w:rPr>
        <w:t xml:space="preserve"> </w:t>
      </w:r>
      <w:r w:rsidRPr="00264420">
        <w:rPr>
          <w:sz w:val="30"/>
          <w:szCs w:val="30"/>
        </w:rPr>
        <w:t>„</w:t>
      </w:r>
      <w:r w:rsidR="00391B11">
        <w:rPr>
          <w:sz w:val="30"/>
          <w:szCs w:val="30"/>
        </w:rPr>
        <w:t>Vybudování</w:t>
      </w:r>
      <w:r w:rsidR="00A03086">
        <w:rPr>
          <w:sz w:val="30"/>
          <w:szCs w:val="30"/>
        </w:rPr>
        <w:t xml:space="preserve"> dětského hřiště</w:t>
      </w:r>
      <w:r w:rsidR="00652D4F">
        <w:rPr>
          <w:sz w:val="30"/>
          <w:szCs w:val="30"/>
        </w:rPr>
        <w:t xml:space="preserve"> v areálu </w:t>
      </w:r>
      <w:r w:rsidR="00A03086">
        <w:rPr>
          <w:sz w:val="30"/>
          <w:szCs w:val="30"/>
        </w:rPr>
        <w:t xml:space="preserve">ŠvP </w:t>
      </w:r>
      <w:r w:rsidR="00391B11">
        <w:rPr>
          <w:sz w:val="30"/>
          <w:szCs w:val="30"/>
        </w:rPr>
        <w:t>Janské Lázně</w:t>
      </w:r>
      <w:r w:rsidRPr="00264420">
        <w:rPr>
          <w:sz w:val="30"/>
          <w:szCs w:val="30"/>
        </w:rPr>
        <w:t>“</w:t>
      </w:r>
      <w:r w:rsidR="00E646C8">
        <w:rPr>
          <w:sz w:val="30"/>
          <w:szCs w:val="30"/>
        </w:rPr>
        <w:t>,</w:t>
      </w:r>
      <w:r w:rsidR="001330E9">
        <w:rPr>
          <w:sz w:val="30"/>
          <w:szCs w:val="30"/>
        </w:rPr>
        <w:t xml:space="preserve"> </w:t>
      </w:r>
      <w:r w:rsidR="00B33FDE">
        <w:rPr>
          <w:sz w:val="30"/>
          <w:szCs w:val="30"/>
        </w:rPr>
        <w:t>středisk</w:t>
      </w:r>
      <w:r w:rsidR="00E63801">
        <w:rPr>
          <w:sz w:val="30"/>
          <w:szCs w:val="30"/>
        </w:rPr>
        <w:t>a</w:t>
      </w:r>
      <w:r w:rsidRPr="00264420">
        <w:rPr>
          <w:sz w:val="30"/>
          <w:szCs w:val="30"/>
        </w:rPr>
        <w:t xml:space="preserve"> Do</w:t>
      </w:r>
      <w:r w:rsidR="006E10FA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79AEA4F3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BB64BF">
        <w:rPr>
          <w:rFonts w:ascii="Arial" w:hAnsi="Arial" w:cs="Arial"/>
        </w:rPr>
        <w:t xml:space="preserve">TEWIKO </w:t>
      </w:r>
      <w:proofErr w:type="spellStart"/>
      <w:r w:rsidR="00BB64BF">
        <w:rPr>
          <w:rFonts w:ascii="Arial" w:hAnsi="Arial" w:cs="Arial"/>
        </w:rPr>
        <w:t>systems</w:t>
      </w:r>
      <w:proofErr w:type="spellEnd"/>
      <w:r w:rsidR="00BB64BF">
        <w:rPr>
          <w:rFonts w:ascii="Arial" w:hAnsi="Arial" w:cs="Arial"/>
        </w:rPr>
        <w:t>, s.r.o.</w:t>
      </w:r>
    </w:p>
    <w:p w14:paraId="40A1C8BD" w14:textId="28C7F811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BB64BF">
        <w:rPr>
          <w:rFonts w:ascii="Arial" w:hAnsi="Arial" w:cs="Arial"/>
        </w:rPr>
        <w:t>Dr. Milady Horákové</w:t>
      </w:r>
      <w:r w:rsidR="00502862">
        <w:rPr>
          <w:rFonts w:ascii="Arial" w:hAnsi="Arial" w:cs="Arial"/>
        </w:rPr>
        <w:t xml:space="preserve"> 185/66, 460 07 Liberec</w:t>
      </w:r>
    </w:p>
    <w:p w14:paraId="199ED15B" w14:textId="77FB4E08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OR:           </w:t>
      </w:r>
      <w:r w:rsidR="004F7CB7">
        <w:rPr>
          <w:rFonts w:ascii="Arial" w:hAnsi="Arial" w:cs="Arial"/>
        </w:rPr>
        <w:tab/>
      </w:r>
      <w:r w:rsidR="00502862">
        <w:rPr>
          <w:rFonts w:ascii="Arial" w:hAnsi="Arial" w:cs="Arial"/>
        </w:rPr>
        <w:t>u KS v Ústí nad Ladem oddíl C, vložka 19676</w:t>
      </w:r>
    </w:p>
    <w:p w14:paraId="7CD2499A" w14:textId="7E6046B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2C14D9">
        <w:rPr>
          <w:rFonts w:ascii="Arial" w:hAnsi="Arial" w:cs="Arial"/>
        </w:rPr>
        <w:t>Radimem Kozákem, jednatelem</w:t>
      </w:r>
    </w:p>
    <w:p w14:paraId="2A5E85F8" w14:textId="308DE28C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2C14D9">
        <w:rPr>
          <w:rFonts w:ascii="Arial" w:hAnsi="Arial" w:cs="Arial"/>
        </w:rPr>
        <w:t>ČSOB, a.s.</w:t>
      </w:r>
    </w:p>
    <w:p w14:paraId="074639AA" w14:textId="415FAC58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účtu :         </w:t>
      </w:r>
      <w:r w:rsidRPr="004F7CB7">
        <w:rPr>
          <w:rFonts w:ascii="Arial" w:hAnsi="Arial" w:cs="Arial"/>
        </w:rPr>
        <w:tab/>
      </w:r>
      <w:r w:rsidR="002C14D9">
        <w:rPr>
          <w:rFonts w:ascii="Arial" w:hAnsi="Arial" w:cs="Arial"/>
        </w:rPr>
        <w:t>184702858</w:t>
      </w:r>
      <w:r w:rsidR="00E319F9">
        <w:rPr>
          <w:rFonts w:ascii="Arial" w:hAnsi="Arial" w:cs="Arial"/>
        </w:rPr>
        <w:t>/0300</w:t>
      </w:r>
    </w:p>
    <w:p w14:paraId="2C1ED592" w14:textId="24F4458B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E319F9">
        <w:rPr>
          <w:rFonts w:ascii="Arial" w:hAnsi="Arial" w:cs="Arial"/>
        </w:rPr>
        <w:t>25472887</w:t>
      </w:r>
    </w:p>
    <w:p w14:paraId="35F41F53" w14:textId="6D3F58CB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4F7CB7" w:rsidRPr="00E319F9">
        <w:rPr>
          <w:rFonts w:ascii="Arial" w:hAnsi="Arial" w:cs="Arial"/>
        </w:rPr>
        <w:t>CZ</w:t>
      </w:r>
      <w:r w:rsidR="00E319F9" w:rsidRPr="00E319F9">
        <w:rPr>
          <w:rFonts w:ascii="Arial" w:hAnsi="Arial" w:cs="Arial"/>
        </w:rPr>
        <w:t>25472887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5AF0244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9AC8C03" w14:textId="77777777" w:rsidR="00BD1FA4" w:rsidRPr="00652D4F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stavby:  </w:t>
      </w:r>
      <w:r w:rsidR="00A03086">
        <w:rPr>
          <w:b/>
        </w:rPr>
        <w:t>9</w:t>
      </w:r>
      <w:r w:rsidR="00391B11">
        <w:rPr>
          <w:b/>
        </w:rPr>
        <w:t>5</w:t>
      </w:r>
      <w:r w:rsidR="00A03086">
        <w:rPr>
          <w:b/>
        </w:rPr>
        <w:t>66</w:t>
      </w:r>
      <w:r w:rsidR="00391B11">
        <w:rPr>
          <w:b/>
        </w:rPr>
        <w:t>32</w:t>
      </w:r>
    </w:p>
    <w:p w14:paraId="7B842F38" w14:textId="77777777"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391B11">
        <w:rPr>
          <w:b/>
          <w:bCs/>
          <w:sz w:val="26"/>
          <w:szCs w:val="26"/>
        </w:rPr>
        <w:t>Vybudování</w:t>
      </w:r>
      <w:r w:rsidR="00A03086">
        <w:rPr>
          <w:b/>
          <w:sz w:val="26"/>
          <w:szCs w:val="26"/>
        </w:rPr>
        <w:t xml:space="preserve"> dětského hřiště v areálu ŠvP </w:t>
      </w:r>
      <w:r w:rsidR="00391B11">
        <w:rPr>
          <w:b/>
          <w:sz w:val="26"/>
          <w:szCs w:val="26"/>
        </w:rPr>
        <w:t>Janské Lázně</w:t>
      </w:r>
      <w:r w:rsidR="001330E9">
        <w:rPr>
          <w:b/>
          <w:sz w:val="26"/>
          <w:szCs w:val="26"/>
        </w:rPr>
        <w:t xml:space="preserve">“ </w:t>
      </w:r>
    </w:p>
    <w:p w14:paraId="19147946" w14:textId="77777777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r w:rsidR="00A03086">
        <w:rPr>
          <w:b/>
        </w:rPr>
        <w:t xml:space="preserve">ŠvP </w:t>
      </w:r>
      <w:r w:rsidR="00391B11">
        <w:rPr>
          <w:b/>
        </w:rPr>
        <w:t>Janské Lázně</w:t>
      </w:r>
      <w:r w:rsidR="00A03086">
        <w:rPr>
          <w:b/>
        </w:rPr>
        <w:t xml:space="preserve">, </w:t>
      </w:r>
      <w:r w:rsidR="00391B11">
        <w:rPr>
          <w:b/>
        </w:rPr>
        <w:t>Lesní ulice 210</w:t>
      </w:r>
      <w:r w:rsidR="00A03086">
        <w:rPr>
          <w:b/>
        </w:rPr>
        <w:t>,</w:t>
      </w:r>
      <w:r w:rsidR="00391B11">
        <w:rPr>
          <w:b/>
        </w:rPr>
        <w:t xml:space="preserve"> obec Janské Lázně,</w:t>
      </w:r>
      <w:r w:rsidR="00A03086">
        <w:rPr>
          <w:b/>
        </w:rPr>
        <w:t xml:space="preserve"> okres </w:t>
      </w:r>
      <w:r w:rsidR="00391B11">
        <w:rPr>
          <w:b/>
        </w:rPr>
        <w:t>Trutnov</w:t>
      </w:r>
    </w:p>
    <w:p w14:paraId="417D24B5" w14:textId="77777777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78F60905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580DCE62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č.: </w:t>
      </w:r>
      <w:r w:rsidR="00A03086">
        <w:rPr>
          <w:b/>
        </w:rPr>
        <w:t>9</w:t>
      </w:r>
      <w:r w:rsidR="00391B11">
        <w:rPr>
          <w:b/>
        </w:rPr>
        <w:t>5</w:t>
      </w:r>
      <w:r w:rsidR="00A03086">
        <w:rPr>
          <w:b/>
        </w:rPr>
        <w:t>66</w:t>
      </w:r>
      <w:r w:rsidR="00391B11">
        <w:rPr>
          <w:b/>
        </w:rPr>
        <w:t>32</w:t>
      </w:r>
      <w:r w:rsidR="00264420" w:rsidRPr="00264420">
        <w:rPr>
          <w:b/>
        </w:rPr>
        <w:t xml:space="preserve"> </w:t>
      </w:r>
      <w:r w:rsidR="00264420" w:rsidRPr="00264420">
        <w:t xml:space="preserve">-   </w:t>
      </w:r>
      <w:r w:rsidR="00264420" w:rsidRPr="00264420">
        <w:rPr>
          <w:b/>
        </w:rPr>
        <w:t>„</w:t>
      </w:r>
      <w:r w:rsidR="00391B11">
        <w:rPr>
          <w:b/>
        </w:rPr>
        <w:t>Vybudování</w:t>
      </w:r>
      <w:r w:rsidR="00A03086">
        <w:rPr>
          <w:b/>
        </w:rPr>
        <w:t xml:space="preserve"> dětského hřiště v areálu ŠvP </w:t>
      </w:r>
      <w:r w:rsidR="00391B11">
        <w:rPr>
          <w:b/>
        </w:rPr>
        <w:t>Janské Lázně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položkový rozpočet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 xml:space="preserve">dne </w:t>
      </w:r>
      <w:r w:rsidR="00A33F5E">
        <w:t xml:space="preserve">2. </w:t>
      </w:r>
      <w:r w:rsidR="00A55F01">
        <w:t>7.</w:t>
      </w:r>
      <w:r w:rsidR="00A33F5E">
        <w:t xml:space="preserve"> 2019</w:t>
      </w:r>
      <w:r w:rsidR="00D342FF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 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77777777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3A94738F" w14:textId="77777777"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77777777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6E10FA">
        <w:t>……..</w:t>
      </w:r>
      <w:r>
        <w:t xml:space="preserve"> 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309F86A8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</w:t>
      </w:r>
      <w:r w:rsidR="0023213E">
        <w:t xml:space="preserve"> 2. 9.</w:t>
      </w:r>
      <w:r w:rsidR="00F165A4">
        <w:t xml:space="preserve"> </w:t>
      </w:r>
      <w:r w:rsidR="00B3502D">
        <w:t>201</w:t>
      </w:r>
      <w:r w:rsidR="00A92FEA">
        <w:t>9</w:t>
      </w:r>
    </w:p>
    <w:p w14:paraId="721D93C5" w14:textId="37AF375C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r w:rsidR="00572C2F">
        <w:rPr>
          <w:b/>
        </w:rPr>
        <w:t xml:space="preserve">do </w:t>
      </w:r>
      <w:r w:rsidR="00572C2F" w:rsidRPr="0023213E">
        <w:rPr>
          <w:bCs/>
        </w:rPr>
        <w:t>-</w:t>
      </w:r>
      <w:r w:rsidRPr="0023213E">
        <w:rPr>
          <w:bCs/>
        </w:rPr>
        <w:t xml:space="preserve">    </w:t>
      </w:r>
      <w:r w:rsidR="0023213E" w:rsidRPr="0023213E">
        <w:rPr>
          <w:bCs/>
        </w:rPr>
        <w:t>10. 9.</w:t>
      </w:r>
      <w:r w:rsidR="00F165A4">
        <w:t xml:space="preserve"> </w:t>
      </w:r>
      <w:r w:rsidR="00B3502D">
        <w:t>201</w:t>
      </w:r>
      <w:r w:rsidR="00A92FEA">
        <w:t>9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7777777"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14:paraId="77365584" w14:textId="310E2452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A55F01">
        <w:t>25. 7. 2019</w:t>
      </w:r>
      <w:r>
        <w:t xml:space="preserve"> jako cena nejvýše přípustná a činí: </w:t>
      </w:r>
    </w:p>
    <w:p w14:paraId="7A7B9BBD" w14:textId="63EDEDE1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AE1D8D">
        <w:rPr>
          <w:b/>
        </w:rPr>
        <w:t xml:space="preserve">       </w:t>
      </w:r>
      <w:r w:rsidR="006E10FA">
        <w:rPr>
          <w:b/>
        </w:rPr>
        <w:tab/>
      </w:r>
      <w:r w:rsidR="00AE1D8D">
        <w:rPr>
          <w:b/>
        </w:rPr>
        <w:t xml:space="preserve">     233 284,00 </w:t>
      </w:r>
      <w:r w:rsidR="006E10FA">
        <w:rPr>
          <w:b/>
        </w:rPr>
        <w:t xml:space="preserve">Kč          </w:t>
      </w:r>
      <w:r w:rsidRPr="00650695">
        <w:rPr>
          <w:b/>
        </w:rPr>
        <w:tab/>
      </w:r>
    </w:p>
    <w:p w14:paraId="7312AC5A" w14:textId="2DB84B11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AF03E2" w:rsidRPr="004F7CB7">
        <w:rPr>
          <w:b/>
        </w:rPr>
        <w:tab/>
      </w:r>
      <w:r w:rsidR="006E10FA">
        <w:rPr>
          <w:b/>
        </w:rPr>
        <w:tab/>
      </w:r>
      <w:r w:rsidR="00A96841">
        <w:rPr>
          <w:b/>
        </w:rPr>
        <w:t xml:space="preserve">       </w:t>
      </w:r>
      <w:r w:rsidR="00775311">
        <w:rPr>
          <w:b/>
        </w:rPr>
        <w:t>48</w:t>
      </w:r>
      <w:r w:rsidR="003A66B8">
        <w:rPr>
          <w:b/>
        </w:rPr>
        <w:t> </w:t>
      </w:r>
      <w:r w:rsidR="00775311">
        <w:rPr>
          <w:b/>
        </w:rPr>
        <w:t>9</w:t>
      </w:r>
      <w:r w:rsidR="003A66B8">
        <w:rPr>
          <w:b/>
        </w:rPr>
        <w:t>90,00</w:t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0F3DBEFF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E10FA">
        <w:rPr>
          <w:b/>
        </w:rPr>
        <w:tab/>
      </w:r>
      <w:r w:rsidR="003A66B8">
        <w:rPr>
          <w:b/>
        </w:rPr>
        <w:t xml:space="preserve">     282 274,00</w:t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538A70FB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201</w:t>
      </w:r>
      <w:r w:rsidR="00AA7DA9">
        <w:t>9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 xml:space="preserve">,(pokud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9C4B999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3B111958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1A061AF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7462377" w14:textId="79BF7630"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r w:rsidR="003A66B8">
        <w:t>Miroslav An</w:t>
      </w:r>
      <w:r w:rsidR="006E36D8">
        <w:t>drle</w:t>
      </w:r>
      <w:r w:rsidR="00194271" w:rsidRPr="004F7CB7">
        <w:t xml:space="preserve"> (tel.: </w:t>
      </w:r>
      <w:r w:rsidR="006E36D8">
        <w:t>775 554 104</w:t>
      </w:r>
      <w:r w:rsidR="00194271" w:rsidRPr="004F7CB7">
        <w:t>), který zabezpečuje zejména</w:t>
      </w:r>
      <w:r w:rsidR="00194271">
        <w:t xml:space="preserve"> tyto činnosti:</w:t>
      </w:r>
    </w:p>
    <w:p w14:paraId="58CB77F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0C6937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D13969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385F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267592F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794D10D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14:paraId="73248ABB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D72E8E">
        <w:t xml:space="preserve"> </w:t>
      </w:r>
      <w:r>
        <w:t>Objednatel je povinen sledovat obsah zápisů v deníku a k zápisům připojovat svá stanoviska.</w:t>
      </w:r>
    </w:p>
    <w:p w14:paraId="5BEB0BD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331095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6B406C8D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19159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024771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14:paraId="71F8BE0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6E9E5613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B5900C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14:paraId="307F9F1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14:paraId="2B073C8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FA9D498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14DA4F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ABF2240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7191CEC2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14:paraId="01B5DCB2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A80E659" w14:textId="77777777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167E3055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052DA9">
        <w:rPr>
          <w:b/>
        </w:rPr>
        <w:t>48</w:t>
      </w:r>
      <w:r>
        <w:rPr>
          <w:b/>
        </w:rPr>
        <w:t xml:space="preserve"> měsíců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3AFFB618"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>písemné výzvy</w:t>
      </w:r>
      <w:r>
        <w:t xml:space="preserve"> - reklamace objednatelem.</w:t>
      </w:r>
    </w:p>
    <w:p w14:paraId="340234A6" w14:textId="77777777"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F7CB7">
        <w:t>1.000</w:t>
      </w:r>
      <w:r w:rsidR="00F165A4">
        <w:t>,--</w:t>
      </w:r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40122623" w14:textId="77777777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Š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77777777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 ),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 ),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6F60F534" w14:textId="77777777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14CC676E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052DA9">
        <w:t>Radim Kozák</w:t>
      </w:r>
      <w:r w:rsidR="004F7CB7" w:rsidRPr="004F7CB7">
        <w:t>,</w:t>
      </w:r>
      <w:r w:rsidRPr="004F7CB7">
        <w:t xml:space="preserve"> tel.</w:t>
      </w:r>
      <w:r w:rsidR="00052DA9">
        <w:t xml:space="preserve"> 604</w:t>
      </w:r>
      <w:r w:rsidR="00517F89">
        <w:t> 333 131</w:t>
      </w:r>
    </w:p>
    <w:p w14:paraId="336CD1FC" w14:textId="330095B9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517F89">
        <w:t>Miroslav Andrle</w:t>
      </w:r>
      <w:r w:rsidR="004F7CB7" w:rsidRPr="004F7CB7">
        <w:t xml:space="preserve">, tel. </w:t>
      </w:r>
      <w:r w:rsidR="00517F89">
        <w:t>775 554 104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77777777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368FB11A" w14:textId="77777777"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>č. 2. Časový harmonogram postupu prací</w:t>
      </w:r>
    </w:p>
    <w:p w14:paraId="4189F069" w14:textId="77777777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099555A5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B315DA">
        <w:t xml:space="preserve"> 5. 8. 2019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B315DA">
        <w:t xml:space="preserve">    </w:t>
      </w:r>
      <w:r w:rsidR="00FC2470">
        <w:t xml:space="preserve">V </w:t>
      </w:r>
      <w:r w:rsidR="009346A2">
        <w:t>Liberci</w:t>
      </w:r>
      <w:r w:rsidR="00057A53">
        <w:t xml:space="preserve">    </w:t>
      </w:r>
      <w:r w:rsidR="00FC2470">
        <w:t xml:space="preserve"> dne</w:t>
      </w:r>
      <w:r w:rsidR="004F7CB7">
        <w:t xml:space="preserve"> </w:t>
      </w:r>
      <w:r w:rsidR="00B315DA">
        <w:t>25. 7. 2019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2F868604" w:rsidR="00194271" w:rsidRDefault="00A32DF9">
      <w:pPr>
        <w:spacing w:before="120" w:line="240" w:lineRule="atLeast"/>
        <w:jc w:val="both"/>
      </w:pPr>
      <w:r>
        <w:t xml:space="preserve">               Libor Bezděk                                                                      Kozák R.</w:t>
      </w:r>
      <w:bookmarkStart w:id="0" w:name="_GoBack"/>
      <w:bookmarkEnd w:id="0"/>
      <w:r>
        <w:t xml:space="preserve"> </w:t>
      </w: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62095F5D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9346A2">
        <w:rPr>
          <w:bCs/>
        </w:rPr>
        <w:t>Radim Kozák</w:t>
      </w:r>
    </w:p>
    <w:p w14:paraId="455E4AE1" w14:textId="61D6A55A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9346A2">
        <w:t xml:space="preserve">                       </w:t>
      </w:r>
      <w:r w:rsidR="00194271">
        <w:t xml:space="preserve">ředitel                  </w:t>
      </w:r>
      <w:r w:rsidR="009346A2">
        <w:t xml:space="preserve">                                                        jednatel</w:t>
      </w:r>
    </w:p>
    <w:sectPr w:rsidR="00BD1FA4" w:rsidSect="00387BFA">
      <w:headerReference w:type="default" r:id="rId11"/>
      <w:footerReference w:type="even" r:id="rId12"/>
      <w:footerReference w:type="default" r:id="rId13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E089" w14:textId="77777777" w:rsidR="00F66968" w:rsidRDefault="00F66968">
      <w:r>
        <w:separator/>
      </w:r>
    </w:p>
  </w:endnote>
  <w:endnote w:type="continuationSeparator" w:id="0">
    <w:p w14:paraId="3F7F77C0" w14:textId="77777777" w:rsidR="00F66968" w:rsidRDefault="00F6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66FD" w14:textId="77777777" w:rsidR="00F66968" w:rsidRDefault="00F66968">
      <w:r>
        <w:separator/>
      </w:r>
    </w:p>
  </w:footnote>
  <w:footnote w:type="continuationSeparator" w:id="0">
    <w:p w14:paraId="34BD1272" w14:textId="77777777" w:rsidR="00F66968" w:rsidRDefault="00F6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7412" w14:textId="321B1E7F" w:rsidR="00B3502D" w:rsidRDefault="00B3502D" w:rsidP="006E10FA">
    <w:pPr>
      <w:pStyle w:val="Zhlav"/>
      <w:tabs>
        <w:tab w:val="clear" w:pos="4536"/>
        <w:tab w:val="clear" w:pos="9072"/>
        <w:tab w:val="left" w:pos="1458"/>
      </w:tabs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EAF"/>
    <w:rsid w:val="000031C3"/>
    <w:rsid w:val="00052DA9"/>
    <w:rsid w:val="00052E8C"/>
    <w:rsid w:val="00057A53"/>
    <w:rsid w:val="00080438"/>
    <w:rsid w:val="000856D2"/>
    <w:rsid w:val="00095069"/>
    <w:rsid w:val="000C56AA"/>
    <w:rsid w:val="000D49BA"/>
    <w:rsid w:val="000D6662"/>
    <w:rsid w:val="00113B01"/>
    <w:rsid w:val="001330E9"/>
    <w:rsid w:val="0014156B"/>
    <w:rsid w:val="00146264"/>
    <w:rsid w:val="00151DD0"/>
    <w:rsid w:val="001614F7"/>
    <w:rsid w:val="00172683"/>
    <w:rsid w:val="00182BCB"/>
    <w:rsid w:val="00190BF0"/>
    <w:rsid w:val="00194271"/>
    <w:rsid w:val="001A60C3"/>
    <w:rsid w:val="001B53D9"/>
    <w:rsid w:val="001F51B9"/>
    <w:rsid w:val="002040A9"/>
    <w:rsid w:val="0023213E"/>
    <w:rsid w:val="00232E5D"/>
    <w:rsid w:val="002357BD"/>
    <w:rsid w:val="00240D4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C14D9"/>
    <w:rsid w:val="002C625F"/>
    <w:rsid w:val="002D22CB"/>
    <w:rsid w:val="002D7080"/>
    <w:rsid w:val="002E0B04"/>
    <w:rsid w:val="002E606E"/>
    <w:rsid w:val="002F3500"/>
    <w:rsid w:val="002F593F"/>
    <w:rsid w:val="00301002"/>
    <w:rsid w:val="00301F07"/>
    <w:rsid w:val="0033096A"/>
    <w:rsid w:val="00337B92"/>
    <w:rsid w:val="003542BD"/>
    <w:rsid w:val="00356E0E"/>
    <w:rsid w:val="00373D70"/>
    <w:rsid w:val="00382CEE"/>
    <w:rsid w:val="00386D6B"/>
    <w:rsid w:val="00387BFA"/>
    <w:rsid w:val="00391B11"/>
    <w:rsid w:val="003A66B8"/>
    <w:rsid w:val="003B492D"/>
    <w:rsid w:val="003C4AAD"/>
    <w:rsid w:val="003D1C52"/>
    <w:rsid w:val="003D7D6B"/>
    <w:rsid w:val="00402A0A"/>
    <w:rsid w:val="00402F69"/>
    <w:rsid w:val="00404D94"/>
    <w:rsid w:val="00413EB3"/>
    <w:rsid w:val="0042036F"/>
    <w:rsid w:val="004513DC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7CB7"/>
    <w:rsid w:val="00502862"/>
    <w:rsid w:val="00506934"/>
    <w:rsid w:val="00507972"/>
    <w:rsid w:val="00513315"/>
    <w:rsid w:val="00517D77"/>
    <w:rsid w:val="00517F89"/>
    <w:rsid w:val="00522FFF"/>
    <w:rsid w:val="0054124E"/>
    <w:rsid w:val="00544C80"/>
    <w:rsid w:val="00553356"/>
    <w:rsid w:val="00555400"/>
    <w:rsid w:val="00567F65"/>
    <w:rsid w:val="00572C2F"/>
    <w:rsid w:val="005744AA"/>
    <w:rsid w:val="005A0044"/>
    <w:rsid w:val="005A6D79"/>
    <w:rsid w:val="005D2345"/>
    <w:rsid w:val="005E0F96"/>
    <w:rsid w:val="00600A51"/>
    <w:rsid w:val="006268D9"/>
    <w:rsid w:val="00632BEF"/>
    <w:rsid w:val="00650695"/>
    <w:rsid w:val="00652D4F"/>
    <w:rsid w:val="006B30D0"/>
    <w:rsid w:val="006D2B44"/>
    <w:rsid w:val="006D3F7F"/>
    <w:rsid w:val="006E10FA"/>
    <w:rsid w:val="006E36D8"/>
    <w:rsid w:val="006E64E6"/>
    <w:rsid w:val="006F7BD8"/>
    <w:rsid w:val="00707F5F"/>
    <w:rsid w:val="00732EAF"/>
    <w:rsid w:val="00740C4E"/>
    <w:rsid w:val="007523F8"/>
    <w:rsid w:val="00773787"/>
    <w:rsid w:val="00775311"/>
    <w:rsid w:val="00775832"/>
    <w:rsid w:val="00787397"/>
    <w:rsid w:val="007970C6"/>
    <w:rsid w:val="007B18EF"/>
    <w:rsid w:val="007C0FDF"/>
    <w:rsid w:val="007C3EA7"/>
    <w:rsid w:val="007C4E6D"/>
    <w:rsid w:val="007E34A6"/>
    <w:rsid w:val="00803D89"/>
    <w:rsid w:val="00803EC5"/>
    <w:rsid w:val="00814727"/>
    <w:rsid w:val="00815B3B"/>
    <w:rsid w:val="00815C37"/>
    <w:rsid w:val="00852273"/>
    <w:rsid w:val="00867D50"/>
    <w:rsid w:val="00873628"/>
    <w:rsid w:val="00873A21"/>
    <w:rsid w:val="008A47D0"/>
    <w:rsid w:val="008A6484"/>
    <w:rsid w:val="008B6C4E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346A2"/>
    <w:rsid w:val="009565F6"/>
    <w:rsid w:val="00957187"/>
    <w:rsid w:val="0096779C"/>
    <w:rsid w:val="00990781"/>
    <w:rsid w:val="0099487F"/>
    <w:rsid w:val="00995089"/>
    <w:rsid w:val="009C0EF5"/>
    <w:rsid w:val="009C202E"/>
    <w:rsid w:val="009E56F0"/>
    <w:rsid w:val="009E7C9F"/>
    <w:rsid w:val="009F6F1C"/>
    <w:rsid w:val="00A00039"/>
    <w:rsid w:val="00A00FF8"/>
    <w:rsid w:val="00A03086"/>
    <w:rsid w:val="00A2500B"/>
    <w:rsid w:val="00A32DF9"/>
    <w:rsid w:val="00A33F5E"/>
    <w:rsid w:val="00A4096B"/>
    <w:rsid w:val="00A43DF3"/>
    <w:rsid w:val="00A55F01"/>
    <w:rsid w:val="00A640FF"/>
    <w:rsid w:val="00A856C1"/>
    <w:rsid w:val="00A91D98"/>
    <w:rsid w:val="00A92FEA"/>
    <w:rsid w:val="00A96841"/>
    <w:rsid w:val="00AA42B9"/>
    <w:rsid w:val="00AA4E1E"/>
    <w:rsid w:val="00AA57C7"/>
    <w:rsid w:val="00AA79B5"/>
    <w:rsid w:val="00AA7DA9"/>
    <w:rsid w:val="00AB17EB"/>
    <w:rsid w:val="00AC4ADB"/>
    <w:rsid w:val="00AD2FFF"/>
    <w:rsid w:val="00AE1D6C"/>
    <w:rsid w:val="00AE1D8D"/>
    <w:rsid w:val="00AE49EF"/>
    <w:rsid w:val="00AF03E2"/>
    <w:rsid w:val="00AF0D21"/>
    <w:rsid w:val="00AF2AD3"/>
    <w:rsid w:val="00AF72DE"/>
    <w:rsid w:val="00B27C2E"/>
    <w:rsid w:val="00B30225"/>
    <w:rsid w:val="00B315DA"/>
    <w:rsid w:val="00B33FDE"/>
    <w:rsid w:val="00B3502D"/>
    <w:rsid w:val="00B4104D"/>
    <w:rsid w:val="00B67AAE"/>
    <w:rsid w:val="00B74897"/>
    <w:rsid w:val="00B97902"/>
    <w:rsid w:val="00BB64BF"/>
    <w:rsid w:val="00BC45FB"/>
    <w:rsid w:val="00BC7556"/>
    <w:rsid w:val="00BD1FA4"/>
    <w:rsid w:val="00BD678B"/>
    <w:rsid w:val="00C129FE"/>
    <w:rsid w:val="00C33C96"/>
    <w:rsid w:val="00C77472"/>
    <w:rsid w:val="00CC240B"/>
    <w:rsid w:val="00CC5AB4"/>
    <w:rsid w:val="00CD7167"/>
    <w:rsid w:val="00CE14BA"/>
    <w:rsid w:val="00CF1410"/>
    <w:rsid w:val="00CF69AD"/>
    <w:rsid w:val="00D276E5"/>
    <w:rsid w:val="00D342FF"/>
    <w:rsid w:val="00D51929"/>
    <w:rsid w:val="00D67FD0"/>
    <w:rsid w:val="00D72E8E"/>
    <w:rsid w:val="00D941C2"/>
    <w:rsid w:val="00DB4B2C"/>
    <w:rsid w:val="00DD23C7"/>
    <w:rsid w:val="00DD3511"/>
    <w:rsid w:val="00DF65C3"/>
    <w:rsid w:val="00E059FE"/>
    <w:rsid w:val="00E20AB0"/>
    <w:rsid w:val="00E319F9"/>
    <w:rsid w:val="00E602BA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35A5D"/>
    <w:rsid w:val="00F44D55"/>
    <w:rsid w:val="00F66968"/>
    <w:rsid w:val="00FB0754"/>
    <w:rsid w:val="00FB0D67"/>
    <w:rsid w:val="00FB6180"/>
    <w:rsid w:val="00FC2470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A40A-7916-4080-BEAC-101BF0ADF912}">
  <ds:schemaRefs>
    <ds:schemaRef ds:uri="http://purl.org/dc/elements/1.1/"/>
    <ds:schemaRef ds:uri="http://schemas.microsoft.com/office/2006/metadata/properties"/>
    <ds:schemaRef ds:uri="8b14bd04-8a2f-4491-83a3-23cbee00ac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80a1f4-909b-4a50-8653-82bc8b374d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4B4F74-5744-41AA-AA4A-114B35B56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DC381-B735-4DEF-8C33-11296EAF5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DF846-805E-4D64-B60A-1C2695AF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4569</Words>
  <Characters>26962</Characters>
  <Application>Microsoft Office Word</Application>
  <DocSecurity>0</DocSecurity>
  <Lines>224</Lines>
  <Paragraphs>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Ježková Věra</cp:lastModifiedBy>
  <cp:revision>22</cp:revision>
  <cp:lastPrinted>2016-06-03T14:10:00Z</cp:lastPrinted>
  <dcterms:created xsi:type="dcterms:W3CDTF">2019-07-25T10:25:00Z</dcterms:created>
  <dcterms:modified xsi:type="dcterms:W3CDTF">2019-08-23T11:19:00Z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