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384A" w:rsidRDefault="002B384A">
      <w:pPr>
        <w:pStyle w:val="Zkladntext"/>
        <w:spacing w:after="120"/>
        <w:rPr>
          <w:rFonts w:eastAsia="Calibri" w:cs="Arial"/>
          <w:sz w:val="22"/>
          <w:szCs w:val="22"/>
        </w:rPr>
      </w:pPr>
      <w:r>
        <w:rPr>
          <w:i/>
          <w:iCs/>
          <w:sz w:val="22"/>
          <w:szCs w:val="22"/>
        </w:rPr>
        <w:t>Níže uvedeného roku, měsíce a dne</w:t>
      </w:r>
    </w:p>
    <w:p w:rsidR="002B384A" w:rsidRDefault="002B384A">
      <w:pPr>
        <w:tabs>
          <w:tab w:val="left" w:pos="786"/>
        </w:tabs>
        <w:rPr>
          <w:bCs/>
          <w:i/>
          <w:iCs/>
          <w:sz w:val="22"/>
          <w:szCs w:val="22"/>
        </w:rPr>
      </w:pPr>
      <w:r>
        <w:rPr>
          <w:rFonts w:eastAsia="Calibri" w:cs="Arial"/>
          <w:sz w:val="22"/>
          <w:szCs w:val="22"/>
        </w:rPr>
        <w:t>RENOVO – SD s. r. o.</w:t>
      </w:r>
    </w:p>
    <w:p w:rsidR="002B384A" w:rsidRDefault="002B384A">
      <w:pPr>
        <w:tabs>
          <w:tab w:val="left" w:pos="786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se sídlem: Závodní 391/96 C, Karlovy Vary – Dvory, 360 06</w:t>
      </w:r>
    </w:p>
    <w:p w:rsidR="002B384A" w:rsidRDefault="002B384A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jednající: Viktor Hulínský, jednatel společnosti</w:t>
      </w:r>
    </w:p>
    <w:p w:rsidR="002B384A" w:rsidRDefault="002B384A">
      <w:pPr>
        <w:tabs>
          <w:tab w:val="left" w:pos="786"/>
        </w:tabs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IČ: 280 43 359</w:t>
      </w:r>
    </w:p>
    <w:p w:rsidR="002B384A" w:rsidRDefault="002B384A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DIČ: CZ 280 43 359</w:t>
      </w:r>
    </w:p>
    <w:p w:rsidR="002B384A" w:rsidRDefault="002B384A">
      <w:pPr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číslo účtu: </w:t>
      </w:r>
      <w:r w:rsidR="005A436C">
        <w:rPr>
          <w:bCs/>
          <w:i/>
          <w:iCs/>
          <w:sz w:val="22"/>
          <w:szCs w:val="22"/>
        </w:rPr>
        <w:t>XXXXXXXXXXXXXXXXXXX</w:t>
      </w:r>
      <w:bookmarkStart w:id="0" w:name="_GoBack"/>
      <w:bookmarkEnd w:id="0"/>
    </w:p>
    <w:p w:rsidR="002B384A" w:rsidRDefault="002B384A">
      <w:pPr>
        <w:tabs>
          <w:tab w:val="left" w:pos="786"/>
        </w:tabs>
        <w:spacing w:after="120"/>
        <w:rPr>
          <w:rFonts w:cs="Arial"/>
          <w:i/>
          <w:sz w:val="22"/>
          <w:szCs w:val="22"/>
        </w:rPr>
      </w:pPr>
      <w:r>
        <w:rPr>
          <w:bCs/>
          <w:i/>
          <w:iCs/>
          <w:sz w:val="22"/>
          <w:szCs w:val="22"/>
        </w:rPr>
        <w:t>společnost zapsaná v obchodním rejstříku vedeném Krajským soudem v Plzni v oddíle C, vložka 22532</w:t>
      </w:r>
    </w:p>
    <w:p w:rsidR="002B384A" w:rsidRDefault="002B384A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(dále jen „nájemce“ nebo „smluvní strana“)</w:t>
      </w:r>
    </w:p>
    <w:p w:rsidR="002B384A" w:rsidRDefault="002B384A">
      <w:pPr>
        <w:spacing w:before="120" w:after="120"/>
        <w:rPr>
          <w:rFonts w:eastAsia="Calibri" w:cs="Arial"/>
          <w:sz w:val="22"/>
          <w:szCs w:val="22"/>
        </w:rPr>
      </w:pPr>
      <w:r>
        <w:rPr>
          <w:rFonts w:cs="Arial"/>
          <w:i/>
          <w:sz w:val="22"/>
          <w:szCs w:val="22"/>
        </w:rPr>
        <w:t>a</w:t>
      </w:r>
    </w:p>
    <w:p w:rsidR="002B384A" w:rsidRDefault="002B384A">
      <w:pPr>
        <w:rPr>
          <w:rFonts w:cs="Arial"/>
          <w:i/>
          <w:sz w:val="22"/>
          <w:szCs w:val="22"/>
        </w:rPr>
      </w:pPr>
      <w:r>
        <w:rPr>
          <w:rFonts w:eastAsia="Calibri" w:cs="Arial"/>
          <w:sz w:val="22"/>
          <w:szCs w:val="22"/>
        </w:rPr>
        <w:t>Regionální rada regionu soudržnosti Severozápad</w:t>
      </w:r>
    </w:p>
    <w:p w:rsidR="002B384A" w:rsidRDefault="002B384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se sídlem: Berní 2261/1, Ústí nad Labem 400 01</w:t>
      </w:r>
    </w:p>
    <w:p w:rsidR="002B384A" w:rsidRDefault="002B384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zastoupená: RSDr. Milanem Pipalem, předsedou Regionální rady regionu soudržnosti Severozápad</w:t>
      </w:r>
    </w:p>
    <w:p w:rsidR="002B384A" w:rsidRDefault="002B384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IČ: 750 821 36</w:t>
      </w:r>
    </w:p>
    <w:p w:rsidR="002B384A" w:rsidRDefault="002B384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DIČ: není plátcem DPH</w:t>
      </w:r>
    </w:p>
    <w:p w:rsidR="002B384A" w:rsidRDefault="002B384A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číslo účtu: </w:t>
      </w:r>
      <w:r>
        <w:rPr>
          <w:i/>
          <w:sz w:val="22"/>
          <w:szCs w:val="22"/>
        </w:rPr>
        <w:t>2673372</w:t>
      </w:r>
      <w:r>
        <w:rPr>
          <w:rFonts w:cs="Arial"/>
          <w:i/>
          <w:sz w:val="22"/>
          <w:szCs w:val="22"/>
        </w:rPr>
        <w:t>/0800</w:t>
      </w:r>
    </w:p>
    <w:p w:rsidR="002B384A" w:rsidRDefault="002B384A">
      <w:pPr>
        <w:spacing w:after="120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(dále jen „podnájemce“ nebo „smluvní strana“)</w:t>
      </w:r>
    </w:p>
    <w:p w:rsidR="002B384A" w:rsidRDefault="002B384A">
      <w:pPr>
        <w:spacing w:after="120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(společně též jako „smluvní strany“)</w:t>
      </w:r>
    </w:p>
    <w:p w:rsidR="002B384A" w:rsidRDefault="002B384A">
      <w:pPr>
        <w:spacing w:after="120"/>
        <w:rPr>
          <w:rFonts w:cs="Arial"/>
          <w:sz w:val="22"/>
          <w:szCs w:val="22"/>
        </w:rPr>
      </w:pPr>
    </w:p>
    <w:p w:rsidR="002B384A" w:rsidRDefault="002B384A">
      <w:pPr>
        <w:spacing w:after="120"/>
        <w:rPr>
          <w:b/>
          <w:bCs/>
          <w:i/>
          <w:iCs/>
          <w:spacing w:val="40"/>
          <w:sz w:val="28"/>
          <w:szCs w:val="28"/>
        </w:rPr>
      </w:pPr>
      <w:r>
        <w:rPr>
          <w:rFonts w:cs="Arial"/>
          <w:sz w:val="22"/>
          <w:szCs w:val="22"/>
        </w:rPr>
        <w:t xml:space="preserve">uzavřely tento </w:t>
      </w:r>
    </w:p>
    <w:p w:rsidR="006C3F34" w:rsidRDefault="006C3F34">
      <w:pPr>
        <w:jc w:val="center"/>
        <w:rPr>
          <w:b/>
          <w:bCs/>
          <w:i/>
          <w:iCs/>
          <w:spacing w:val="40"/>
          <w:sz w:val="28"/>
          <w:szCs w:val="28"/>
        </w:rPr>
      </w:pPr>
    </w:p>
    <w:p w:rsidR="002B384A" w:rsidRDefault="002B384A">
      <w:pPr>
        <w:jc w:val="center"/>
        <w:rPr>
          <w:b/>
          <w:bCs/>
          <w:i/>
          <w:iCs/>
          <w:spacing w:val="40"/>
        </w:rPr>
      </w:pPr>
      <w:r>
        <w:rPr>
          <w:b/>
          <w:bCs/>
          <w:i/>
          <w:iCs/>
          <w:spacing w:val="40"/>
          <w:sz w:val="28"/>
          <w:szCs w:val="28"/>
        </w:rPr>
        <w:t>Dodatek č. 2</w:t>
      </w:r>
    </w:p>
    <w:p w:rsidR="002B384A" w:rsidRDefault="002B384A">
      <w:pPr>
        <w:jc w:val="center"/>
        <w:rPr>
          <w:b/>
          <w:bCs/>
          <w:i/>
          <w:iCs/>
          <w:spacing w:val="40"/>
        </w:rPr>
      </w:pPr>
      <w:r>
        <w:rPr>
          <w:b/>
          <w:bCs/>
          <w:i/>
          <w:iCs/>
          <w:spacing w:val="40"/>
        </w:rPr>
        <w:t>k Podnájemní smlouvě ze dne 4. 11. 201</w:t>
      </w:r>
      <w:r w:rsidR="006C208B">
        <w:rPr>
          <w:b/>
          <w:bCs/>
          <w:i/>
          <w:iCs/>
          <w:spacing w:val="40"/>
        </w:rPr>
        <w:t>4</w:t>
      </w:r>
      <w:r>
        <w:rPr>
          <w:b/>
          <w:bCs/>
          <w:i/>
          <w:iCs/>
          <w:spacing w:val="40"/>
        </w:rPr>
        <w:t>:</w:t>
      </w:r>
    </w:p>
    <w:p w:rsidR="006C3F34" w:rsidRDefault="006C3F34">
      <w:pPr>
        <w:jc w:val="center"/>
        <w:rPr>
          <w:b/>
          <w:bCs/>
          <w:i/>
          <w:iCs/>
          <w:spacing w:val="40"/>
        </w:rPr>
      </w:pPr>
    </w:p>
    <w:p w:rsidR="002B384A" w:rsidRDefault="002B384A">
      <w:pPr>
        <w:jc w:val="left"/>
        <w:rPr>
          <w:rFonts w:ascii="Calibri" w:eastAsia="Calibri" w:hAnsi="Calibri" w:cs="Calibri"/>
        </w:rPr>
      </w:pPr>
    </w:p>
    <w:p w:rsidR="002B384A" w:rsidRDefault="002B384A">
      <w:pPr>
        <w:pStyle w:val="Odstavecseseznamem1"/>
        <w:numPr>
          <w:ilvl w:val="0"/>
          <w:numId w:val="2"/>
        </w:numPr>
        <w:spacing w:after="120"/>
        <w:rPr>
          <w:strike/>
          <w:vanish/>
          <w:sz w:val="22"/>
          <w:szCs w:val="22"/>
        </w:rPr>
      </w:pPr>
    </w:p>
    <w:p w:rsidR="002B384A" w:rsidRDefault="002B384A">
      <w:pPr>
        <w:pStyle w:val="Odstavecseseznamem1"/>
        <w:numPr>
          <w:ilvl w:val="0"/>
          <w:numId w:val="3"/>
        </w:numPr>
        <w:spacing w:after="12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Tímto dodatkem se ruší dosavadní text odstavce č. 1.3 v Článku I a nahrazuje se tímto novým  zněním:</w:t>
      </w:r>
    </w:p>
    <w:p w:rsidR="002B384A" w:rsidRDefault="002B384A">
      <w:pPr>
        <w:pStyle w:val="Odstavecseseznamem1"/>
        <w:spacing w:after="120"/>
        <w:rPr>
          <w:sz w:val="22"/>
          <w:szCs w:val="22"/>
        </w:rPr>
      </w:pPr>
      <w:r>
        <w:rPr>
          <w:sz w:val="22"/>
          <w:szCs w:val="22"/>
        </w:rPr>
        <w:t>„ 1.3  Předmětem podnájmu jsou nebytové prostory umístěné v administrativní budově dle odst. 1.1 tohoto článku o výměře 435,8 m², jejichž přesná specifikace a umístění v této administrativní budově  je uvedena v příloze č. 2 této podnájemní smlouvy, a to včetně vybavení uvedeného v příloze č. 3 této podnájemní smlouvy (dále jen „předmět podnájmu“</w:t>
      </w:r>
      <w:r w:rsidR="00DC765E" w:rsidRPr="006C3F34">
        <w:rPr>
          <w:sz w:val="22"/>
          <w:szCs w:val="22"/>
        </w:rPr>
        <w:t>)</w:t>
      </w:r>
      <w:r w:rsidRPr="006C3F34">
        <w:rPr>
          <w:sz w:val="22"/>
          <w:szCs w:val="22"/>
        </w:rPr>
        <w:t>.</w:t>
      </w:r>
    </w:p>
    <w:p w:rsidR="009B19AF" w:rsidRDefault="009B19AF" w:rsidP="009B19AF">
      <w:pPr>
        <w:pStyle w:val="Odstavecseseznamem1"/>
        <w:spacing w:after="120"/>
        <w:ind w:left="0"/>
        <w:rPr>
          <w:b/>
          <w:bCs/>
          <w:i/>
          <w:iCs/>
          <w:sz w:val="22"/>
          <w:szCs w:val="22"/>
        </w:rPr>
      </w:pPr>
    </w:p>
    <w:p w:rsidR="002B384A" w:rsidRPr="00DF357E" w:rsidRDefault="002B384A">
      <w:pPr>
        <w:pStyle w:val="Odstavecseseznamem1"/>
        <w:numPr>
          <w:ilvl w:val="0"/>
          <w:numId w:val="3"/>
        </w:numPr>
        <w:spacing w:after="120"/>
        <w:rPr>
          <w:b/>
          <w:bCs/>
          <w:i/>
          <w:iCs/>
          <w:sz w:val="22"/>
          <w:szCs w:val="22"/>
        </w:rPr>
      </w:pPr>
      <w:r w:rsidRPr="00DF357E">
        <w:rPr>
          <w:b/>
          <w:bCs/>
          <w:i/>
          <w:iCs/>
          <w:sz w:val="22"/>
          <w:szCs w:val="22"/>
        </w:rPr>
        <w:t xml:space="preserve">Tímto dodatkem se dosavadní text Článku III </w:t>
      </w:r>
      <w:r w:rsidR="00DC765E" w:rsidRPr="00DF357E">
        <w:rPr>
          <w:b/>
          <w:bCs/>
          <w:i/>
          <w:iCs/>
          <w:sz w:val="22"/>
          <w:szCs w:val="22"/>
        </w:rPr>
        <w:t>doplňuje o odstavec 3. 2. v tomto znění:</w:t>
      </w:r>
      <w:r w:rsidRPr="00DF357E">
        <w:rPr>
          <w:b/>
          <w:bCs/>
          <w:i/>
          <w:iCs/>
          <w:sz w:val="22"/>
          <w:szCs w:val="22"/>
        </w:rPr>
        <w:t xml:space="preserve"> </w:t>
      </w:r>
    </w:p>
    <w:p w:rsidR="002B384A" w:rsidRPr="00DF357E" w:rsidRDefault="002B384A">
      <w:pPr>
        <w:pStyle w:val="Odstavecseseznamem1"/>
        <w:spacing w:after="120"/>
        <w:ind w:left="786" w:hanging="360"/>
      </w:pPr>
      <w:r w:rsidRPr="00427ABA">
        <w:rPr>
          <w:b/>
          <w:bCs/>
          <w:i/>
          <w:iCs/>
          <w:color w:val="FF0000"/>
          <w:sz w:val="22"/>
          <w:szCs w:val="22"/>
        </w:rPr>
        <w:t xml:space="preserve">    </w:t>
      </w:r>
      <w:r w:rsidRPr="00DF357E">
        <w:rPr>
          <w:b/>
          <w:bCs/>
          <w:i/>
          <w:iCs/>
          <w:sz w:val="22"/>
          <w:szCs w:val="22"/>
        </w:rPr>
        <w:t xml:space="preserve">„ </w:t>
      </w:r>
      <w:r w:rsidRPr="00DF357E">
        <w:rPr>
          <w:i/>
          <w:iCs/>
          <w:sz w:val="22"/>
          <w:szCs w:val="22"/>
        </w:rPr>
        <w:t>3</w:t>
      </w:r>
      <w:r w:rsidRPr="00DF357E">
        <w:rPr>
          <w:iCs/>
          <w:sz w:val="22"/>
          <w:szCs w:val="22"/>
        </w:rPr>
        <w:t>.</w:t>
      </w:r>
      <w:r w:rsidR="00DC765E" w:rsidRPr="00DF357E">
        <w:rPr>
          <w:iCs/>
          <w:sz w:val="22"/>
          <w:szCs w:val="22"/>
        </w:rPr>
        <w:t>2.</w:t>
      </w:r>
      <w:r w:rsidRPr="00DF357E">
        <w:rPr>
          <w:iCs/>
          <w:sz w:val="22"/>
          <w:szCs w:val="22"/>
        </w:rPr>
        <w:t xml:space="preserve">   </w:t>
      </w:r>
      <w:r w:rsidRPr="00DF357E">
        <w:rPr>
          <w:bCs/>
          <w:iCs/>
          <w:sz w:val="22"/>
          <w:szCs w:val="22"/>
        </w:rPr>
        <w:t xml:space="preserve">Podnájemní vztah se </w:t>
      </w:r>
      <w:r w:rsidR="00DC765E" w:rsidRPr="00DF357E">
        <w:rPr>
          <w:bCs/>
          <w:iCs/>
          <w:sz w:val="22"/>
          <w:szCs w:val="22"/>
        </w:rPr>
        <w:t>prodlužuje</w:t>
      </w:r>
      <w:r w:rsidRPr="00DF357E">
        <w:rPr>
          <w:bCs/>
          <w:iCs/>
          <w:sz w:val="22"/>
          <w:szCs w:val="22"/>
        </w:rPr>
        <w:t xml:space="preserve"> do </w:t>
      </w:r>
      <w:r w:rsidRPr="00DF357E">
        <w:rPr>
          <w:b/>
          <w:bCs/>
          <w:iCs/>
          <w:sz w:val="22"/>
          <w:szCs w:val="22"/>
        </w:rPr>
        <w:t>31. 12. 2016</w:t>
      </w:r>
      <w:r w:rsidRPr="00DF357E">
        <w:rPr>
          <w:bCs/>
          <w:iCs/>
          <w:sz w:val="22"/>
          <w:szCs w:val="22"/>
        </w:rPr>
        <w:t xml:space="preserve"> s opcí na další prodloužení této podnájemní smlouvy.“</w:t>
      </w:r>
    </w:p>
    <w:p w:rsidR="002B384A" w:rsidRDefault="002B384A">
      <w:pPr>
        <w:pStyle w:val="Odstavecseseznamem1"/>
        <w:spacing w:after="120"/>
        <w:ind w:left="786" w:hanging="360"/>
      </w:pPr>
    </w:p>
    <w:p w:rsidR="002B384A" w:rsidRDefault="002B384A">
      <w:pPr>
        <w:pStyle w:val="Odstavecseseznamem1"/>
        <w:numPr>
          <w:ilvl w:val="0"/>
          <w:numId w:val="3"/>
        </w:numPr>
        <w:spacing w:after="12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lastRenderedPageBreak/>
        <w:t xml:space="preserve">Tímto dodatkem se původní Příloha č. 4 </w:t>
      </w:r>
      <w:r w:rsidR="00DC206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Výpočtový list ze dne 5. 11. 2014 nahrazuje novým Výpočtovým listem </w:t>
      </w:r>
      <w:r w:rsidR="00427ABA">
        <w:rPr>
          <w:bCs/>
          <w:iCs/>
          <w:sz w:val="22"/>
          <w:szCs w:val="22"/>
        </w:rPr>
        <w:t xml:space="preserve">označeným jako </w:t>
      </w:r>
      <w:r w:rsidR="00427ABA" w:rsidRPr="00DF357E">
        <w:rPr>
          <w:bCs/>
          <w:iCs/>
          <w:sz w:val="22"/>
          <w:szCs w:val="22"/>
        </w:rPr>
        <w:t>Příloha č. 4 a.</w:t>
      </w:r>
    </w:p>
    <w:p w:rsidR="004B4226" w:rsidRDefault="004B4226">
      <w:pPr>
        <w:pStyle w:val="ListParagraph"/>
        <w:numPr>
          <w:ilvl w:val="0"/>
          <w:numId w:val="3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Tímto dodatkem se ruší původní příloha č. 2 ze dne 5.11.2014 a nahrazuje se novou Přílohou č.2 , platnou od 1.12.2015</w:t>
      </w:r>
      <w:r w:rsidR="00DC206D">
        <w:rPr>
          <w:bCs/>
          <w:iCs/>
          <w:sz w:val="22"/>
          <w:szCs w:val="22"/>
        </w:rPr>
        <w:t>.</w:t>
      </w:r>
    </w:p>
    <w:p w:rsidR="004B4226" w:rsidRDefault="00C361D8">
      <w:pPr>
        <w:pStyle w:val="ListParagraph"/>
        <w:numPr>
          <w:ilvl w:val="0"/>
          <w:numId w:val="3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Tímto dodatkem se ruší původní příloha č. 3 ze dne 5.11.2014 a nahrazuje se novou Přílohou č.</w:t>
      </w:r>
      <w:r w:rsidR="00DC206D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3, platnou od 1.12.2015</w:t>
      </w:r>
      <w:r w:rsidR="00DC206D">
        <w:rPr>
          <w:bCs/>
          <w:iCs/>
          <w:sz w:val="22"/>
          <w:szCs w:val="22"/>
        </w:rPr>
        <w:t>.</w:t>
      </w:r>
    </w:p>
    <w:p w:rsidR="002B384A" w:rsidRDefault="002B384A">
      <w:pPr>
        <w:pStyle w:val="ListParagraph"/>
        <w:numPr>
          <w:ilvl w:val="0"/>
          <w:numId w:val="3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Všechna ostatní ustanovení Smlouvy nedotčená tímto Dodatkem zůstávají v platnosti a účinnosti beze změn.</w:t>
      </w:r>
    </w:p>
    <w:p w:rsidR="002B384A" w:rsidRDefault="002B384A">
      <w:pPr>
        <w:pStyle w:val="ListParagraph"/>
        <w:numPr>
          <w:ilvl w:val="0"/>
          <w:numId w:val="3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Smluvní strany svým podpisem stvrzují, že Dodatek byl uzavřen na základě jejich svobodné, pravé a vážné vůle, nikoliv v tísni ani za nápadně nevýhodných podmínek či pod nátlakem.</w:t>
      </w:r>
    </w:p>
    <w:p w:rsidR="002B384A" w:rsidRDefault="002B384A">
      <w:pPr>
        <w:pStyle w:val="ListParagraph"/>
        <w:numPr>
          <w:ilvl w:val="0"/>
          <w:numId w:val="3"/>
        </w:numPr>
        <w:spacing w:after="113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Tento Dodatek byl zhotoven ve třech vyhotoveních, z nichž každé má platnost originálu. Podnájemce obdrží jedno vyhotovení, nájemce dvě vyhotovení.</w:t>
      </w:r>
    </w:p>
    <w:p w:rsidR="002B384A" w:rsidRDefault="002B384A">
      <w:pPr>
        <w:pStyle w:val="ListParagraph"/>
        <w:numPr>
          <w:ilvl w:val="0"/>
          <w:numId w:val="3"/>
        </w:numPr>
        <w:spacing w:after="113"/>
        <w:rPr>
          <w:bCs/>
          <w:iCs/>
        </w:rPr>
      </w:pPr>
      <w:r>
        <w:rPr>
          <w:bCs/>
          <w:iCs/>
          <w:sz w:val="22"/>
          <w:szCs w:val="22"/>
        </w:rPr>
        <w:t>Tento Dodatek nabývá platnosti okamžikem podpisu oprávněnými zástupci obou smluvních stran s účinností ode dne 1. 12. 2015.</w:t>
      </w:r>
    </w:p>
    <w:p w:rsidR="002B384A" w:rsidRDefault="002B384A">
      <w:pPr>
        <w:spacing w:after="113"/>
        <w:rPr>
          <w:bCs/>
          <w:iCs/>
        </w:rPr>
      </w:pPr>
    </w:p>
    <w:p w:rsidR="002B384A" w:rsidRDefault="002B384A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88"/>
        <w:gridCol w:w="4888"/>
      </w:tblGrid>
      <w:tr w:rsidR="002B384A">
        <w:trPr>
          <w:trHeight w:val="1042"/>
        </w:trPr>
        <w:tc>
          <w:tcPr>
            <w:tcW w:w="4888" w:type="dxa"/>
            <w:shd w:val="clear" w:color="auto" w:fill="auto"/>
          </w:tcPr>
          <w:p w:rsidR="002B384A" w:rsidRDefault="002B384A" w:rsidP="00DC206D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 Karlových Varech dne                    </w:t>
            </w:r>
          </w:p>
        </w:tc>
        <w:tc>
          <w:tcPr>
            <w:tcW w:w="4888" w:type="dxa"/>
            <w:shd w:val="clear" w:color="auto" w:fill="auto"/>
          </w:tcPr>
          <w:p w:rsidR="002B384A" w:rsidRDefault="002B384A" w:rsidP="00DC206D">
            <w:pPr>
              <w:spacing w:after="120"/>
            </w:pPr>
            <w:r>
              <w:rPr>
                <w:sz w:val="22"/>
                <w:szCs w:val="22"/>
              </w:rPr>
              <w:t>V Ústí nad Lab</w:t>
            </w:r>
            <w:r w:rsidR="00DC206D">
              <w:rPr>
                <w:sz w:val="22"/>
                <w:szCs w:val="22"/>
              </w:rPr>
              <w:t xml:space="preserve">em dne                     </w:t>
            </w:r>
          </w:p>
        </w:tc>
      </w:tr>
      <w:tr w:rsidR="002B384A">
        <w:trPr>
          <w:trHeight w:val="1042"/>
        </w:trPr>
        <w:tc>
          <w:tcPr>
            <w:tcW w:w="4888" w:type="dxa"/>
            <w:shd w:val="clear" w:color="auto" w:fill="auto"/>
          </w:tcPr>
          <w:p w:rsidR="002B384A" w:rsidRDefault="002B384A">
            <w:pPr>
              <w:spacing w:before="360"/>
            </w:pPr>
            <w:r>
              <w:t>..............................................……..</w:t>
            </w:r>
          </w:p>
        </w:tc>
        <w:tc>
          <w:tcPr>
            <w:tcW w:w="4888" w:type="dxa"/>
            <w:shd w:val="clear" w:color="auto" w:fill="auto"/>
          </w:tcPr>
          <w:p w:rsidR="002B384A" w:rsidRDefault="002B384A">
            <w:pPr>
              <w:spacing w:before="360"/>
              <w:jc w:val="center"/>
              <w:rPr>
                <w:sz w:val="22"/>
                <w:szCs w:val="22"/>
              </w:rPr>
            </w:pPr>
            <w:r>
              <w:t>..............................................……..</w:t>
            </w:r>
          </w:p>
        </w:tc>
      </w:tr>
      <w:tr w:rsidR="002B384A">
        <w:trPr>
          <w:trHeight w:val="1042"/>
        </w:trPr>
        <w:tc>
          <w:tcPr>
            <w:tcW w:w="4888" w:type="dxa"/>
            <w:shd w:val="clear" w:color="auto" w:fill="auto"/>
          </w:tcPr>
          <w:p w:rsidR="002B384A" w:rsidRDefault="002B3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nájemce</w:t>
            </w:r>
          </w:p>
        </w:tc>
        <w:tc>
          <w:tcPr>
            <w:tcW w:w="4888" w:type="dxa"/>
            <w:shd w:val="clear" w:color="auto" w:fill="auto"/>
          </w:tcPr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za podnájemce</w:t>
            </w:r>
          </w:p>
        </w:tc>
      </w:tr>
      <w:tr w:rsidR="002B384A">
        <w:trPr>
          <w:trHeight w:val="1042"/>
        </w:trPr>
        <w:tc>
          <w:tcPr>
            <w:tcW w:w="4888" w:type="dxa"/>
            <w:shd w:val="clear" w:color="auto" w:fill="auto"/>
          </w:tcPr>
          <w:p w:rsidR="002B384A" w:rsidRDefault="002B384A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Viktor Hulínský, jednatel RENOVO – SD s. r. o.</w:t>
            </w:r>
          </w:p>
          <w:p w:rsidR="002B384A" w:rsidRDefault="002B384A">
            <w:pPr>
              <w:rPr>
                <w:sz w:val="22"/>
                <w:szCs w:val="22"/>
              </w:rPr>
            </w:pPr>
          </w:p>
          <w:p w:rsidR="002B384A" w:rsidRDefault="002B384A">
            <w:pPr>
              <w:rPr>
                <w:sz w:val="22"/>
                <w:szCs w:val="22"/>
              </w:rPr>
            </w:pPr>
          </w:p>
          <w:p w:rsidR="002B384A" w:rsidRDefault="002B384A">
            <w:pPr>
              <w:rPr>
                <w:sz w:val="22"/>
                <w:szCs w:val="22"/>
              </w:rPr>
            </w:pPr>
          </w:p>
          <w:p w:rsidR="002B384A" w:rsidRDefault="002B38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…………………………………………………….</w:t>
            </w:r>
          </w:p>
          <w:p w:rsidR="002B384A" w:rsidRDefault="002B384A">
            <w:pPr>
              <w:rPr>
                <w:sz w:val="22"/>
                <w:szCs w:val="22"/>
              </w:rPr>
            </w:pPr>
          </w:p>
          <w:p w:rsidR="002B384A" w:rsidRDefault="002B384A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Za pronajímatele</w:t>
            </w:r>
          </w:p>
        </w:tc>
        <w:tc>
          <w:tcPr>
            <w:tcW w:w="4888" w:type="dxa"/>
            <w:shd w:val="clear" w:color="auto" w:fill="auto"/>
          </w:tcPr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RSDr. Milan Pipal</w:t>
            </w:r>
            <w:r>
              <w:rPr>
                <w:i/>
                <w:sz w:val="22"/>
                <w:szCs w:val="22"/>
              </w:rPr>
              <w:t>, předseda Regionální rady regionu soudržnosti Severozápad</w:t>
            </w:r>
          </w:p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</w:p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</w:p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</w:p>
          <w:p w:rsidR="002B384A" w:rsidRDefault="002B384A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2B384A" w:rsidRDefault="002B384A"/>
    <w:sectPr w:rsidR="002B3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3" w:right="1134" w:bottom="1655" w:left="1134" w:header="624" w:footer="794" w:gutter="0"/>
      <w:cols w:space="708"/>
      <w:docGrid w:linePitch="272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BC" w:rsidRDefault="00661FBC">
      <w:r>
        <w:separator/>
      </w:r>
    </w:p>
  </w:endnote>
  <w:endnote w:type="continuationSeparator" w:id="0">
    <w:p w:rsidR="00661FBC" w:rsidRDefault="0066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2B38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5A436C">
    <w:pPr>
      <w:pStyle w:val="Zpat"/>
    </w:pPr>
    <w:r>
      <w:rPr>
        <w:noProof/>
        <w:lang w:eastAsia="cs-CZ"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-208915</wp:posOffset>
          </wp:positionV>
          <wp:extent cx="7559040" cy="1078865"/>
          <wp:effectExtent l="0" t="0" r="381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78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2B38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BC" w:rsidRDefault="00661FBC">
      <w:r>
        <w:separator/>
      </w:r>
    </w:p>
  </w:footnote>
  <w:footnote w:type="continuationSeparator" w:id="0">
    <w:p w:rsidR="00661FBC" w:rsidRDefault="0066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2B384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5A436C">
    <w:pPr>
      <w:pStyle w:val="Zhlav"/>
    </w:pPr>
    <w:r>
      <w:rPr>
        <w:noProof/>
        <w:lang w:eastAsia="cs-CZ"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040" cy="1438910"/>
          <wp:effectExtent l="0" t="0" r="381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4389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2795" cy="492125"/>
          <wp:effectExtent l="0" t="0" r="0" b="3175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492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84A" w:rsidRDefault="002B384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9AF"/>
    <w:rsid w:val="000419D3"/>
    <w:rsid w:val="002B384A"/>
    <w:rsid w:val="00427ABA"/>
    <w:rsid w:val="004B4226"/>
    <w:rsid w:val="005A436C"/>
    <w:rsid w:val="00661FBC"/>
    <w:rsid w:val="006A01AA"/>
    <w:rsid w:val="006B7132"/>
    <w:rsid w:val="006C208B"/>
    <w:rsid w:val="006C3F34"/>
    <w:rsid w:val="007746DF"/>
    <w:rsid w:val="009B19AF"/>
    <w:rsid w:val="00AA1E30"/>
    <w:rsid w:val="00C361D8"/>
    <w:rsid w:val="00CD59C7"/>
    <w:rsid w:val="00D11F56"/>
    <w:rsid w:val="00D21BF9"/>
    <w:rsid w:val="00DB5EF5"/>
    <w:rsid w:val="00DC206D"/>
    <w:rsid w:val="00DC765E"/>
    <w:rsid w:val="00D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left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tabs>
        <w:tab w:val="left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tabs>
        <w:tab w:val="left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kladntextChar">
    <w:name w:val="Základní text Char"/>
    <w:rPr>
      <w:rFonts w:ascii="Arial" w:eastAsia="Lucida Sans Unicode" w:hAnsi="Arial"/>
      <w:kern w:val="1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eastAsia="Microsoft YaHei" w:cs="Tahoma"/>
      <w:b/>
      <w:sz w:val="18"/>
      <w:szCs w:val="28"/>
    </w:rPr>
  </w:style>
  <w:style w:type="paragraph" w:styleId="Zkladntext">
    <w:name w:val="Body Text"/>
    <w:basedOn w:val="Normln"/>
    <w:pPr>
      <w:spacing w:after="113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paragraph" w:customStyle="1" w:styleId="NormalWeb">
    <w:name w:val="Normal (Web)"/>
    <w:basedOn w:val="Normln"/>
    <w:pPr>
      <w:widowControl/>
      <w:suppressAutoHyphens w:val="0"/>
      <w:spacing w:before="28" w:after="119"/>
      <w:jc w:val="left"/>
    </w:pPr>
    <w:rPr>
      <w:rFonts w:eastAsia="Times New Roman" w:cs="Ari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ListParagraph">
    <w:name w:val="List Paragraph"/>
    <w:basedOn w:val="Normln"/>
    <w:pPr>
      <w:ind w:left="720"/>
    </w:pPr>
    <w:rPr>
      <w:rFonts w:cs="Times New Roman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jc w:val="both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tabs>
        <w:tab w:val="left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tabs>
        <w:tab w:val="left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tabs>
        <w:tab w:val="left" w:pos="0"/>
      </w:tabs>
      <w:outlineLvl w:val="2"/>
    </w:pPr>
    <w:rPr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kladntextChar">
    <w:name w:val="Základní text Char"/>
    <w:rPr>
      <w:rFonts w:ascii="Arial" w:eastAsia="Lucida Sans Unicode" w:hAnsi="Arial"/>
      <w:kern w:val="1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</w:r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eastAsia="Microsoft YaHei" w:cs="Tahoma"/>
      <w:b/>
      <w:sz w:val="18"/>
      <w:szCs w:val="28"/>
    </w:rPr>
  </w:style>
  <w:style w:type="paragraph" w:styleId="Zkladntext">
    <w:name w:val="Body Text"/>
    <w:basedOn w:val="Normln"/>
    <w:pPr>
      <w:spacing w:after="113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rmce">
    <w:name w:val="Obsah rámce"/>
    <w:basedOn w:val="Normln"/>
  </w:style>
  <w:style w:type="paragraph" w:customStyle="1" w:styleId="NormalWeb">
    <w:name w:val="Normal (Web)"/>
    <w:basedOn w:val="Normln"/>
    <w:pPr>
      <w:widowControl/>
      <w:suppressAutoHyphens w:val="0"/>
      <w:spacing w:before="28" w:after="119"/>
      <w:jc w:val="left"/>
    </w:pPr>
    <w:rPr>
      <w:rFonts w:eastAsia="Times New Roman" w:cs="Arial"/>
    </w:rPr>
  </w:style>
  <w:style w:type="paragraph" w:customStyle="1" w:styleId="Odstavecseseznamem1">
    <w:name w:val="Odstavec se seznamem1"/>
    <w:basedOn w:val="Normln"/>
    <w:pPr>
      <w:ind w:left="720"/>
    </w:pPr>
  </w:style>
  <w:style w:type="paragraph" w:customStyle="1" w:styleId="ListParagraph">
    <w:name w:val="List Paragraph"/>
    <w:basedOn w:val="Normln"/>
    <w:pPr>
      <w:ind w:left="720"/>
    </w:pPr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Regionální rada regionu soudržnosti Severozápad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Editka Cermanová</dc:creator>
  <cp:lastModifiedBy>Cermanová Edit</cp:lastModifiedBy>
  <cp:revision>2</cp:revision>
  <cp:lastPrinted>2016-12-15T14:51:00Z</cp:lastPrinted>
  <dcterms:created xsi:type="dcterms:W3CDTF">2016-12-15T14:51:00Z</dcterms:created>
  <dcterms:modified xsi:type="dcterms:W3CDTF">2016-12-15T14:51:00Z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