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64" w:rsidRPr="00DA4AD0" w:rsidRDefault="001D1564" w:rsidP="00DB0D8B">
      <w:pPr>
        <w:pStyle w:val="Nadpis1"/>
        <w:spacing w:before="360"/>
      </w:pPr>
      <w:r w:rsidRPr="00DA4AD0">
        <w:t xml:space="preserve">Smlouva </w:t>
      </w:r>
      <w:r>
        <w:t>o poskytování podpory na IDS HP S330</w:t>
      </w:r>
    </w:p>
    <w:p w:rsidR="001D1564" w:rsidRPr="00DA4AD0" w:rsidRDefault="001D1564" w:rsidP="001D1564">
      <w:pPr>
        <w:ind w:left="426" w:hanging="426"/>
        <w:jc w:val="both"/>
        <w:rPr>
          <w:b/>
        </w:rPr>
      </w:pPr>
    </w:p>
    <w:p w:rsidR="00DA4AD0" w:rsidRPr="00DA4AD0" w:rsidRDefault="00DA4AD0" w:rsidP="00157BA8">
      <w:pPr>
        <w:ind w:left="426" w:hanging="426"/>
        <w:jc w:val="both"/>
        <w:rPr>
          <w:b/>
        </w:rPr>
      </w:pPr>
      <w:r w:rsidRPr="00DA4AD0">
        <w:rPr>
          <w:b/>
        </w:rPr>
        <w:t xml:space="preserve">Smluvní strany: </w:t>
      </w:r>
    </w:p>
    <w:p w:rsidR="00DA4AD0" w:rsidRPr="00DA4AD0" w:rsidRDefault="00DA4AD0" w:rsidP="00157BA8">
      <w:pPr>
        <w:ind w:left="426" w:hanging="426"/>
        <w:jc w:val="both"/>
        <w:rPr>
          <w:b/>
        </w:rPr>
      </w:pPr>
      <w:r w:rsidRPr="00DA4AD0">
        <w:rPr>
          <w:b/>
        </w:rPr>
        <w:t>Česká republika – Státní pozemkový úřad</w:t>
      </w:r>
    </w:p>
    <w:p w:rsidR="00DA4AD0" w:rsidRPr="00DA4AD0" w:rsidRDefault="009373BB" w:rsidP="00157BA8">
      <w:pPr>
        <w:ind w:left="426" w:hanging="426"/>
        <w:jc w:val="both"/>
      </w:pPr>
      <w:r>
        <w:t xml:space="preserve">se sídlem: </w:t>
      </w:r>
      <w:r>
        <w:tab/>
      </w:r>
      <w:r>
        <w:tab/>
      </w:r>
      <w:r w:rsidR="00DA4AD0" w:rsidRPr="00DA4AD0">
        <w:t>Husinecká 10</w:t>
      </w:r>
      <w:r>
        <w:t>24/11a, 130 00 Praha 3 - Žižkov</w:t>
      </w:r>
    </w:p>
    <w:p w:rsidR="00DA4AD0" w:rsidRPr="00DA4AD0" w:rsidRDefault="00DA4AD0" w:rsidP="00157BA8">
      <w:pPr>
        <w:ind w:left="426" w:hanging="426"/>
        <w:jc w:val="both"/>
      </w:pPr>
      <w:r w:rsidRPr="00DA4AD0">
        <w:t xml:space="preserve">IČO: </w:t>
      </w:r>
      <w:r w:rsidR="009373BB">
        <w:tab/>
      </w:r>
      <w:r w:rsidR="009373BB">
        <w:tab/>
      </w:r>
      <w:r w:rsidR="009373BB">
        <w:tab/>
      </w:r>
      <w:r w:rsidRPr="00DA4AD0">
        <w:t>01312774</w:t>
      </w:r>
    </w:p>
    <w:p w:rsidR="00DA4AD0" w:rsidRPr="00DA4AD0" w:rsidRDefault="00DA1792" w:rsidP="00157BA8">
      <w:pPr>
        <w:ind w:left="426" w:hanging="426"/>
        <w:jc w:val="both"/>
      </w:pPr>
      <w:r>
        <w:t>jednající</w:t>
      </w:r>
      <w:r w:rsidR="00DA4AD0" w:rsidRPr="00DA4AD0">
        <w:t xml:space="preserve">: </w:t>
      </w:r>
      <w:r w:rsidR="009373BB">
        <w:tab/>
      </w:r>
      <w:r w:rsidR="009373BB">
        <w:tab/>
      </w:r>
      <w:r>
        <w:t>David Mrkvička, zástupce ředitele Odboru ICT</w:t>
      </w:r>
    </w:p>
    <w:p w:rsidR="00DA4AD0" w:rsidRPr="00DA4AD0" w:rsidRDefault="00DA4AD0" w:rsidP="00157BA8">
      <w:pPr>
        <w:ind w:left="426" w:hanging="426"/>
        <w:jc w:val="both"/>
      </w:pPr>
      <w:r w:rsidRPr="00DA4AD0">
        <w:t xml:space="preserve">bankovní spojení: </w:t>
      </w:r>
      <w:r w:rsidR="009373BB">
        <w:tab/>
      </w:r>
      <w:r w:rsidR="00DA1792">
        <w:t>Česká národní banka</w:t>
      </w:r>
    </w:p>
    <w:p w:rsidR="00DA4AD0" w:rsidRPr="00DA4AD0" w:rsidRDefault="00DA4AD0" w:rsidP="00157BA8">
      <w:pPr>
        <w:ind w:left="426" w:hanging="426"/>
        <w:jc w:val="both"/>
      </w:pPr>
      <w:r w:rsidRPr="00DA4AD0">
        <w:t xml:space="preserve">číslo účtu: </w:t>
      </w:r>
      <w:r w:rsidR="009373BB">
        <w:tab/>
      </w:r>
      <w:r w:rsidR="009373BB">
        <w:tab/>
      </w:r>
      <w:proofErr w:type="spellStart"/>
      <w:r w:rsidR="00FD588C">
        <w:t>xxx</w:t>
      </w:r>
      <w:proofErr w:type="spellEnd"/>
    </w:p>
    <w:p w:rsidR="00DA4AD0" w:rsidRPr="00DA4AD0" w:rsidRDefault="00DA4AD0" w:rsidP="00157BA8">
      <w:pPr>
        <w:ind w:left="426" w:hanging="426"/>
        <w:jc w:val="both"/>
      </w:pPr>
      <w:r w:rsidRPr="00DA4AD0">
        <w:t>(dále jen „objednatel“)</w:t>
      </w:r>
    </w:p>
    <w:p w:rsidR="00E21B01" w:rsidRDefault="00E21B01" w:rsidP="00157BA8">
      <w:pPr>
        <w:ind w:left="426" w:hanging="426"/>
        <w:jc w:val="both"/>
      </w:pPr>
    </w:p>
    <w:p w:rsidR="00DA4AD0" w:rsidRPr="00DA4AD0" w:rsidRDefault="00DA4AD0" w:rsidP="00157BA8">
      <w:pPr>
        <w:ind w:left="426" w:hanging="426"/>
        <w:jc w:val="both"/>
      </w:pPr>
      <w:r w:rsidRPr="00DA4AD0">
        <w:t>a</w:t>
      </w:r>
    </w:p>
    <w:p w:rsidR="00E954A6" w:rsidRPr="00170664" w:rsidRDefault="00857037" w:rsidP="00157BA8">
      <w:pPr>
        <w:ind w:left="426" w:hanging="426"/>
        <w:jc w:val="both"/>
        <w:rPr>
          <w:b/>
          <w:color w:val="000000" w:themeColor="text1"/>
        </w:rPr>
      </w:pPr>
      <w:proofErr w:type="spellStart"/>
      <w:r w:rsidRPr="00170664">
        <w:rPr>
          <w:b/>
          <w:color w:val="000000" w:themeColor="text1"/>
        </w:rPr>
        <w:t>CompuNet</w:t>
      </w:r>
      <w:proofErr w:type="spellEnd"/>
      <w:r w:rsidRPr="00170664">
        <w:rPr>
          <w:b/>
          <w:color w:val="000000" w:themeColor="text1"/>
        </w:rPr>
        <w:t>, s.r.o.</w:t>
      </w:r>
    </w:p>
    <w:p w:rsidR="00DA4AD0" w:rsidRPr="00857037" w:rsidRDefault="00DA4AD0" w:rsidP="00157BA8">
      <w:pPr>
        <w:ind w:left="426" w:hanging="426"/>
        <w:jc w:val="both"/>
        <w:rPr>
          <w:color w:val="000000" w:themeColor="text1"/>
        </w:rPr>
      </w:pPr>
      <w:r w:rsidRPr="00857037">
        <w:rPr>
          <w:color w:val="000000" w:themeColor="text1"/>
        </w:rPr>
        <w:t>se sídlem:</w:t>
      </w:r>
      <w:r w:rsidR="00505807" w:rsidRPr="00857037">
        <w:rPr>
          <w:color w:val="000000" w:themeColor="text1"/>
        </w:rPr>
        <w:tab/>
      </w:r>
      <w:r w:rsidR="00505807" w:rsidRPr="00857037">
        <w:rPr>
          <w:color w:val="000000" w:themeColor="text1"/>
        </w:rPr>
        <w:tab/>
      </w:r>
      <w:r w:rsidR="00857037" w:rsidRPr="00857037">
        <w:rPr>
          <w:color w:val="000000" w:themeColor="text1"/>
        </w:rPr>
        <w:t>Zubatého 295/5, 150 00 Praha 5</w:t>
      </w:r>
    </w:p>
    <w:p w:rsidR="00DA4AD0" w:rsidRPr="00857037" w:rsidRDefault="00DA4AD0" w:rsidP="00157BA8">
      <w:pPr>
        <w:ind w:left="426" w:hanging="426"/>
        <w:jc w:val="both"/>
        <w:rPr>
          <w:color w:val="000000" w:themeColor="text1"/>
        </w:rPr>
      </w:pPr>
      <w:r w:rsidRPr="00857037">
        <w:rPr>
          <w:color w:val="000000" w:themeColor="text1"/>
        </w:rPr>
        <w:t>IČO:</w:t>
      </w:r>
      <w:r w:rsidR="00505807" w:rsidRPr="00857037">
        <w:rPr>
          <w:color w:val="000000" w:themeColor="text1"/>
        </w:rPr>
        <w:tab/>
      </w:r>
      <w:r w:rsidR="00505807" w:rsidRPr="00857037">
        <w:rPr>
          <w:color w:val="000000" w:themeColor="text1"/>
        </w:rPr>
        <w:tab/>
      </w:r>
      <w:r w:rsidR="00505807" w:rsidRPr="00857037">
        <w:rPr>
          <w:color w:val="000000" w:themeColor="text1"/>
        </w:rPr>
        <w:tab/>
      </w:r>
      <w:r w:rsidR="002A6CB3" w:rsidRPr="00857037">
        <w:rPr>
          <w:color w:val="000000" w:themeColor="text1"/>
        </w:rPr>
        <w:tab/>
      </w:r>
      <w:r w:rsidR="00857037" w:rsidRPr="00857037">
        <w:rPr>
          <w:color w:val="000000" w:themeColor="text1"/>
        </w:rPr>
        <w:t>276 08 514</w:t>
      </w:r>
    </w:p>
    <w:p w:rsidR="00DA4AD0" w:rsidRPr="00857037" w:rsidRDefault="00DA4AD0" w:rsidP="00157BA8">
      <w:pPr>
        <w:ind w:left="426" w:hanging="426"/>
        <w:jc w:val="both"/>
        <w:rPr>
          <w:color w:val="000000" w:themeColor="text1"/>
        </w:rPr>
      </w:pPr>
      <w:r w:rsidRPr="00857037">
        <w:rPr>
          <w:color w:val="000000" w:themeColor="text1"/>
        </w:rPr>
        <w:t>Zastoupená:</w:t>
      </w:r>
      <w:r w:rsidR="00505807" w:rsidRPr="00857037">
        <w:rPr>
          <w:color w:val="000000" w:themeColor="text1"/>
        </w:rPr>
        <w:tab/>
      </w:r>
      <w:r w:rsidR="00505807" w:rsidRPr="00857037">
        <w:rPr>
          <w:color w:val="000000" w:themeColor="text1"/>
        </w:rPr>
        <w:tab/>
      </w:r>
      <w:r w:rsidR="00857037" w:rsidRPr="00857037">
        <w:rPr>
          <w:color w:val="000000" w:themeColor="text1"/>
        </w:rPr>
        <w:t>Ing. Pavel Pikhart, jednatel</w:t>
      </w:r>
    </w:p>
    <w:p w:rsidR="00DA4AD0" w:rsidRPr="00857037" w:rsidRDefault="00DA4AD0" w:rsidP="00157BA8">
      <w:pPr>
        <w:ind w:left="426" w:hanging="426"/>
        <w:jc w:val="both"/>
        <w:rPr>
          <w:color w:val="000000" w:themeColor="text1"/>
        </w:rPr>
      </w:pPr>
      <w:r w:rsidRPr="00857037">
        <w:rPr>
          <w:color w:val="000000" w:themeColor="text1"/>
        </w:rPr>
        <w:t>bankovní spojení:</w:t>
      </w:r>
      <w:r w:rsidR="00505807" w:rsidRPr="00857037">
        <w:rPr>
          <w:color w:val="000000" w:themeColor="text1"/>
        </w:rPr>
        <w:tab/>
      </w:r>
      <w:r w:rsidR="00857037" w:rsidRPr="00857037">
        <w:rPr>
          <w:color w:val="000000" w:themeColor="text1"/>
        </w:rPr>
        <w:t>Komerční banka, a.s.</w:t>
      </w:r>
    </w:p>
    <w:p w:rsidR="00DA4AD0" w:rsidRPr="00857037" w:rsidRDefault="00DA4AD0" w:rsidP="00157BA8">
      <w:pPr>
        <w:ind w:left="426" w:hanging="426"/>
        <w:jc w:val="both"/>
        <w:rPr>
          <w:color w:val="000000" w:themeColor="text1"/>
        </w:rPr>
      </w:pPr>
      <w:r w:rsidRPr="00857037">
        <w:rPr>
          <w:color w:val="000000" w:themeColor="text1"/>
        </w:rPr>
        <w:t>číslo účtu:</w:t>
      </w:r>
      <w:r w:rsidR="00505807" w:rsidRPr="00857037">
        <w:rPr>
          <w:color w:val="000000" w:themeColor="text1"/>
        </w:rPr>
        <w:tab/>
      </w:r>
      <w:r w:rsidR="00505807" w:rsidRPr="00857037">
        <w:rPr>
          <w:color w:val="000000" w:themeColor="text1"/>
        </w:rPr>
        <w:tab/>
      </w:r>
      <w:proofErr w:type="spellStart"/>
      <w:r w:rsidR="00FD588C">
        <w:rPr>
          <w:color w:val="000000" w:themeColor="text1"/>
        </w:rPr>
        <w:t>xxx</w:t>
      </w:r>
      <w:proofErr w:type="spellEnd"/>
    </w:p>
    <w:p w:rsidR="00DA4AD0" w:rsidRPr="00DA4AD0" w:rsidRDefault="00DA4AD0" w:rsidP="00157BA8">
      <w:pPr>
        <w:ind w:left="426" w:hanging="426"/>
        <w:jc w:val="both"/>
      </w:pPr>
      <w:r w:rsidRPr="00DA4AD0">
        <w:t>(dále jen „poskytovatel“)</w:t>
      </w:r>
    </w:p>
    <w:p w:rsidR="00DA4AD0" w:rsidRPr="00DA4AD0" w:rsidRDefault="00DA4AD0" w:rsidP="00157BA8">
      <w:pPr>
        <w:ind w:left="426" w:hanging="426"/>
        <w:jc w:val="both"/>
      </w:pPr>
    </w:p>
    <w:p w:rsidR="00DA4AD0" w:rsidRPr="00DA4AD0" w:rsidRDefault="00DA4AD0" w:rsidP="00157BA8">
      <w:pPr>
        <w:ind w:left="426" w:hanging="426"/>
        <w:jc w:val="both"/>
      </w:pPr>
    </w:p>
    <w:p w:rsidR="00DA4AD0" w:rsidRPr="00DA4AD0" w:rsidRDefault="00DA4AD0" w:rsidP="00157BA8">
      <w:pPr>
        <w:ind w:left="426" w:hanging="426"/>
        <w:jc w:val="both"/>
      </w:pPr>
      <w:proofErr w:type="gramStart"/>
      <w:r w:rsidRPr="00DA4AD0">
        <w:t>se</w:t>
      </w:r>
      <w:proofErr w:type="gramEnd"/>
      <w:r w:rsidRPr="00DA4AD0">
        <w:t xml:space="preserve"> </w:t>
      </w:r>
      <w:r w:rsidR="003D5136">
        <w:t xml:space="preserve">níže uvedeného </w:t>
      </w:r>
      <w:r w:rsidRPr="00DA4AD0">
        <w:t>dne</w:t>
      </w:r>
      <w:r w:rsidR="003D5136">
        <w:t>, měsíce a roku</w:t>
      </w:r>
      <w:r w:rsidRPr="00DA4AD0">
        <w:t xml:space="preserve"> dohodl</w:t>
      </w:r>
      <w:r w:rsidR="00D825E0">
        <w:t xml:space="preserve">i </w:t>
      </w:r>
      <w:r w:rsidR="00AB074D">
        <w:t>p</w:t>
      </w:r>
      <w:r w:rsidR="003D5136" w:rsidRPr="00D4027E">
        <w:t xml:space="preserve">odle </w:t>
      </w:r>
      <w:r w:rsidR="003D5136" w:rsidRPr="00D4027E">
        <w:rPr>
          <w:u w:val="single"/>
        </w:rPr>
        <w:t>§ 21 a</w:t>
      </w:r>
      <w:r w:rsidR="003D5136" w:rsidRPr="00D4027E">
        <w:t xml:space="preserve"> § 1746 zákona č.</w:t>
      </w:r>
      <w:r w:rsidR="00D825E0">
        <w:t> </w:t>
      </w:r>
      <w:r w:rsidR="003D5136" w:rsidRPr="00D4027E">
        <w:t xml:space="preserve">89/2012 Sb., občanský zákoník, </w:t>
      </w:r>
      <w:r w:rsidR="00D825E0">
        <w:rPr>
          <w:u w:val="single"/>
        </w:rPr>
        <w:t>v platném znění</w:t>
      </w:r>
      <w:r w:rsidR="003D5136" w:rsidRPr="00D4027E">
        <w:t xml:space="preserve"> (dále jen „občanský zákoník)</w:t>
      </w:r>
      <w:r w:rsidRPr="00DA4AD0">
        <w:t xml:space="preserve">, </w:t>
      </w:r>
      <w:r w:rsidR="003D5136">
        <w:t xml:space="preserve">na </w:t>
      </w:r>
      <w:r w:rsidRPr="00DA4AD0">
        <w:t>uzav</w:t>
      </w:r>
      <w:r w:rsidR="003D5136">
        <w:t>ření</w:t>
      </w:r>
      <w:r w:rsidRPr="00DA4AD0">
        <w:t xml:space="preserve"> t</w:t>
      </w:r>
      <w:r w:rsidR="003D5136">
        <w:t>éto</w:t>
      </w:r>
      <w:r w:rsidRPr="00DA4AD0">
        <w:t xml:space="preserve"> smlouv</w:t>
      </w:r>
      <w:r w:rsidR="003D5136">
        <w:t>y</w:t>
      </w:r>
      <w:r w:rsidRPr="00DA4AD0">
        <w:t xml:space="preserve">: </w:t>
      </w:r>
    </w:p>
    <w:p w:rsidR="001D1564" w:rsidRPr="00505807" w:rsidRDefault="001D1564" w:rsidP="00EA5AB5">
      <w:pPr>
        <w:spacing w:before="240" w:after="240"/>
        <w:jc w:val="center"/>
        <w:rPr>
          <w:b/>
        </w:rPr>
      </w:pPr>
      <w:bookmarkStart w:id="0" w:name="_Toc433768390"/>
      <w:r w:rsidRPr="00505807">
        <w:rPr>
          <w:b/>
        </w:rPr>
        <w:t>Článek I.</w:t>
      </w:r>
      <w:bookmarkStart w:id="1" w:name="_Toc433768391"/>
      <w:bookmarkEnd w:id="0"/>
      <w:r w:rsidRPr="00505807">
        <w:rPr>
          <w:b/>
        </w:rPr>
        <w:t xml:space="preserve"> </w:t>
      </w:r>
      <w:r w:rsidR="00D825E0">
        <w:rPr>
          <w:b/>
        </w:rPr>
        <w:br/>
      </w:r>
      <w:r w:rsidRPr="00505807">
        <w:rPr>
          <w:b/>
        </w:rPr>
        <w:t>Předmět plnění</w:t>
      </w:r>
      <w:bookmarkEnd w:id="1"/>
    </w:p>
    <w:p w:rsidR="00A22BEF" w:rsidRDefault="001D1564" w:rsidP="00E954A6">
      <w:pPr>
        <w:numPr>
          <w:ilvl w:val="1"/>
          <w:numId w:val="4"/>
        </w:numPr>
        <w:ind w:left="567" w:hanging="567"/>
        <w:jc w:val="both"/>
      </w:pPr>
      <w:r w:rsidRPr="00DA4AD0">
        <w:t>Předmětem této smlouvy je závazek poskytovate</w:t>
      </w:r>
      <w:r>
        <w:t xml:space="preserve">le poskytnout objednateli podporu na </w:t>
      </w:r>
      <w:r w:rsidR="00FF343C">
        <w:br/>
      </w:r>
      <w:r w:rsidR="002A00B4">
        <w:t>12</w:t>
      </w:r>
      <w:r>
        <w:t xml:space="preserve"> měsíců na služby</w:t>
      </w:r>
      <w:r w:rsidR="006A7B80">
        <w:t xml:space="preserve"> k zařízením </w:t>
      </w:r>
      <w:r>
        <w:t>uveden</w:t>
      </w:r>
      <w:r w:rsidR="006A7B80">
        <w:t>ým</w:t>
      </w:r>
      <w:r>
        <w:t xml:space="preserve"> v tabulce 1.</w:t>
      </w:r>
      <w:r w:rsidR="006A7B80">
        <w:t xml:space="preserve"> </w:t>
      </w:r>
    </w:p>
    <w:p w:rsidR="00A22BEF" w:rsidRDefault="00A22BEF" w:rsidP="00A22BEF">
      <w:pPr>
        <w:sectPr w:rsidR="00A22BE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54A6" w:rsidRDefault="00E954A6" w:rsidP="00E21B01">
      <w:pPr>
        <w:ind w:left="567"/>
        <w:jc w:val="both"/>
      </w:pPr>
      <w:r>
        <w:lastRenderedPageBreak/>
        <w:t>Tabulka č. 1</w:t>
      </w:r>
    </w:p>
    <w:tbl>
      <w:tblPr>
        <w:tblW w:w="8519" w:type="dxa"/>
        <w:tblInd w:w="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3"/>
        <w:gridCol w:w="6236"/>
      </w:tblGrid>
      <w:tr w:rsidR="00E21B01" w:rsidRPr="00E21B01" w:rsidTr="00E21B0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01" w:rsidRPr="00E21B01" w:rsidRDefault="00E21B01" w:rsidP="00E21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1B0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01" w:rsidRPr="00E21B01" w:rsidRDefault="00E21B01" w:rsidP="00E21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1B01">
              <w:rPr>
                <w:rFonts w:ascii="Calibri" w:eastAsia="Arial Unicode MS" w:hAnsi="Calibri" w:cs="Arial Unicode MS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01" w:rsidRPr="00E21B01" w:rsidRDefault="00E21B01" w:rsidP="00E21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21B01">
              <w:rPr>
                <w:rFonts w:ascii="Calibri" w:eastAsia="Arial Unicode MS" w:hAnsi="Calibri" w:cs="Arial Unicode MS"/>
                <w:b/>
                <w:bCs/>
                <w:color w:val="000000"/>
                <w:lang w:eastAsia="cs-CZ"/>
              </w:rPr>
              <w:t>Popis položky</w:t>
            </w:r>
          </w:p>
        </w:tc>
      </w:tr>
      <w:tr w:rsidR="00E21B01" w:rsidRPr="00E21B01" w:rsidTr="00E21B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01" w:rsidRPr="00E21B01" w:rsidRDefault="00E21B01" w:rsidP="00E21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1B0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01" w:rsidRPr="00E21B01" w:rsidRDefault="00E21B01" w:rsidP="00E21B0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1B01">
              <w:rPr>
                <w:rFonts w:ascii="Calibri" w:eastAsia="Arial Unicode MS" w:hAnsi="Calibri" w:cs="Arial Unicode MS"/>
                <w:color w:val="000000"/>
                <w:lang w:eastAsia="cs-CZ"/>
              </w:rPr>
              <w:t>JC187A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01" w:rsidRPr="00E21B01" w:rsidRDefault="00E21B01" w:rsidP="00E21B0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1B01">
              <w:rPr>
                <w:rFonts w:ascii="Calibri" w:eastAsia="Arial Unicode MS" w:hAnsi="Calibri" w:cs="Arial Unicode MS"/>
                <w:color w:val="000000"/>
                <w:lang w:eastAsia="cs-CZ"/>
              </w:rPr>
              <w:t>HP S330 300Mbps IPS</w:t>
            </w:r>
          </w:p>
        </w:tc>
      </w:tr>
      <w:tr w:rsidR="00E21B01" w:rsidRPr="00E21B01" w:rsidTr="00E21B0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01" w:rsidRPr="00E21B01" w:rsidRDefault="00E21B01" w:rsidP="00E21B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1B0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01" w:rsidRPr="00E21B01" w:rsidRDefault="00E21B01" w:rsidP="00E21B0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1B01">
              <w:rPr>
                <w:rFonts w:ascii="Calibri" w:eastAsia="Arial Unicode MS" w:hAnsi="Calibri" w:cs="Arial Unicode MS"/>
                <w:color w:val="000000"/>
                <w:lang w:eastAsia="cs-CZ"/>
              </w:rPr>
              <w:t>H2W18AC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B01" w:rsidRPr="00E21B01" w:rsidRDefault="00E21B01" w:rsidP="00E21B0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21B01">
              <w:rPr>
                <w:rFonts w:ascii="Calibri" w:eastAsia="Arial Unicode MS" w:hAnsi="Calibri" w:cs="Arial Unicode MS"/>
                <w:color w:val="000000"/>
                <w:lang w:eastAsia="cs-CZ"/>
              </w:rPr>
              <w:t xml:space="preserve">HP </w:t>
            </w:r>
            <w:proofErr w:type="spellStart"/>
            <w:r w:rsidRPr="00E21B01">
              <w:rPr>
                <w:rFonts w:ascii="Calibri" w:eastAsia="Arial Unicode MS" w:hAnsi="Calibri" w:cs="Arial Unicode MS"/>
                <w:color w:val="000000"/>
                <w:lang w:eastAsia="cs-CZ"/>
              </w:rPr>
              <w:t>TippingPoint</w:t>
            </w:r>
            <w:proofErr w:type="spellEnd"/>
            <w:r w:rsidRPr="00E21B01">
              <w:rPr>
                <w:rFonts w:ascii="Calibri" w:eastAsia="Arial Unicode MS" w:hAnsi="Calibri" w:cs="Arial Unicode MS"/>
                <w:color w:val="000000"/>
                <w:lang w:eastAsia="cs-CZ"/>
              </w:rPr>
              <w:t xml:space="preserve"> Premium + </w:t>
            </w:r>
            <w:proofErr w:type="spellStart"/>
            <w:r w:rsidRPr="00E21B01">
              <w:rPr>
                <w:rFonts w:ascii="Calibri" w:eastAsia="Arial Unicode MS" w:hAnsi="Calibri" w:cs="Arial Unicode MS"/>
                <w:color w:val="000000"/>
                <w:lang w:eastAsia="cs-CZ"/>
              </w:rPr>
              <w:t>ThDV</w:t>
            </w:r>
            <w:proofErr w:type="spellEnd"/>
            <w:r w:rsidRPr="00E21B01">
              <w:rPr>
                <w:rFonts w:ascii="Calibri" w:eastAsia="Arial Unicode MS" w:hAnsi="Calibri" w:cs="Arial Unicode MS"/>
                <w:color w:val="000000"/>
                <w:lang w:eastAsia="cs-CZ"/>
              </w:rPr>
              <w:t xml:space="preserve"> </w:t>
            </w:r>
            <w:proofErr w:type="spellStart"/>
            <w:r w:rsidRPr="00E21B01">
              <w:rPr>
                <w:rFonts w:ascii="Calibri" w:eastAsia="Arial Unicode MS" w:hAnsi="Calibri" w:cs="Arial Unicode MS"/>
                <w:color w:val="000000"/>
                <w:lang w:eastAsia="cs-CZ"/>
              </w:rPr>
              <w:t>Svc</w:t>
            </w:r>
            <w:proofErr w:type="spellEnd"/>
          </w:p>
        </w:tc>
      </w:tr>
    </w:tbl>
    <w:p w:rsidR="00A66C1E" w:rsidRPr="00EA5AB5" w:rsidRDefault="00274B3D" w:rsidP="00E21B01">
      <w:pPr>
        <w:spacing w:before="240" w:after="120"/>
        <w:ind w:left="568" w:hanging="284"/>
        <w:jc w:val="both"/>
      </w:pPr>
      <w:r>
        <w:tab/>
      </w:r>
      <w:r w:rsidR="00A66C1E">
        <w:t>Jednotlivé služby jsou specifikovány v příloze č. 1. Při plnění dle této smlouvy se postupuje v rozsahu vymezeném v přílohách,</w:t>
      </w:r>
      <w:r w:rsidR="00D43FE3">
        <w:t xml:space="preserve"> nestanoví-li tato smlouva jinak.</w:t>
      </w:r>
    </w:p>
    <w:p w:rsidR="00DA4AD0" w:rsidRPr="00940965" w:rsidRDefault="00C703E4" w:rsidP="002A6CB3">
      <w:pPr>
        <w:numPr>
          <w:ilvl w:val="1"/>
          <w:numId w:val="4"/>
        </w:numPr>
        <w:ind w:left="567" w:hanging="567"/>
        <w:jc w:val="both"/>
      </w:pPr>
      <w:r w:rsidRPr="00940965">
        <w:t>Služby zahrnují</w:t>
      </w:r>
      <w:r w:rsidR="00D43FE3">
        <w:t xml:space="preserve"> zejm.</w:t>
      </w:r>
      <w:r w:rsidRPr="00940965">
        <w:t xml:space="preserve"> vzdálenou </w:t>
      </w:r>
      <w:r w:rsidR="00EA5AB5">
        <w:t xml:space="preserve">případnou </w:t>
      </w:r>
      <w:r w:rsidRPr="00940965">
        <w:t xml:space="preserve">diagnostiku a podporu, opravu hardware </w:t>
      </w:r>
      <w:r w:rsidR="006E5682">
        <w:br/>
      </w:r>
      <w:r w:rsidRPr="00940965">
        <w:t>u objednatele</w:t>
      </w:r>
      <w:r w:rsidR="001D1564">
        <w:t>,</w:t>
      </w:r>
      <w:r w:rsidR="001D1564" w:rsidRPr="001D1564">
        <w:t xml:space="preserve"> </w:t>
      </w:r>
      <w:r w:rsidR="001D1564" w:rsidRPr="003936BE">
        <w:t>digitální vakcíny a nové verze operačního systému popřípadě nové verze firmware</w:t>
      </w:r>
      <w:r w:rsidR="00D43FE3">
        <w:t>.</w:t>
      </w:r>
      <w:r w:rsidRPr="00940965">
        <w:t xml:space="preserve"> </w:t>
      </w:r>
      <w:r w:rsidR="00DA4AD0" w:rsidRPr="00940965">
        <w:t xml:space="preserve">Poskytovatel se dále zavazuje zajistit po celou dobu realizace předmětu plnění pro všechny </w:t>
      </w:r>
      <w:r w:rsidR="00D43FE3">
        <w:t>zaměstnance</w:t>
      </w:r>
      <w:r w:rsidR="00D43FE3" w:rsidRPr="00940965">
        <w:t xml:space="preserve"> </w:t>
      </w:r>
      <w:r w:rsidR="00DA4AD0" w:rsidRPr="00940965">
        <w:t>objednatele hot</w:t>
      </w:r>
      <w:r w:rsidR="00D43FE3">
        <w:t>-</w:t>
      </w:r>
      <w:r w:rsidR="00DA4AD0" w:rsidRPr="00940965">
        <w:t>line k řešení vzniklých problémů</w:t>
      </w:r>
      <w:r w:rsidR="004B695E">
        <w:t xml:space="preserve"> a konzultacím</w:t>
      </w:r>
      <w:r w:rsidR="00D43FE3">
        <w:t xml:space="preserve">. Poskytovatel se zavazuje, že hot-line zpřístupní </w:t>
      </w:r>
      <w:r w:rsidR="004B695E">
        <w:t>v rozsahu 24/7/365</w:t>
      </w:r>
      <w:r w:rsidR="00D43FE3">
        <w:t>.</w:t>
      </w:r>
    </w:p>
    <w:p w:rsidR="00DA4AD0" w:rsidRPr="008140AD" w:rsidRDefault="00DA4AD0" w:rsidP="002A6CB3">
      <w:pPr>
        <w:numPr>
          <w:ilvl w:val="2"/>
          <w:numId w:val="4"/>
        </w:numPr>
        <w:ind w:left="567" w:hanging="567"/>
        <w:jc w:val="both"/>
        <w:rPr>
          <w:color w:val="000000" w:themeColor="text1"/>
        </w:rPr>
      </w:pPr>
      <w:r w:rsidRPr="00DA4AD0">
        <w:t>Telefonický kontakt</w:t>
      </w:r>
      <w:r w:rsidRPr="00DA4AD0">
        <w:tab/>
      </w:r>
      <w:proofErr w:type="spellStart"/>
      <w:r w:rsidR="00FD588C">
        <w:rPr>
          <w:color w:val="000000" w:themeColor="text1"/>
        </w:rPr>
        <w:t>xxx</w:t>
      </w:r>
      <w:proofErr w:type="spellEnd"/>
    </w:p>
    <w:p w:rsidR="00DA4AD0" w:rsidRPr="008140AD" w:rsidRDefault="00DA4AD0" w:rsidP="002A6CB3">
      <w:pPr>
        <w:numPr>
          <w:ilvl w:val="2"/>
          <w:numId w:val="4"/>
        </w:numPr>
        <w:ind w:left="567" w:hanging="567"/>
        <w:jc w:val="both"/>
        <w:rPr>
          <w:color w:val="000000" w:themeColor="text1"/>
        </w:rPr>
      </w:pPr>
      <w:r w:rsidRPr="008140AD">
        <w:rPr>
          <w:color w:val="000000" w:themeColor="text1"/>
        </w:rPr>
        <w:t>Elektronický kontakt</w:t>
      </w:r>
      <w:r w:rsidRPr="008140AD">
        <w:rPr>
          <w:color w:val="000000" w:themeColor="text1"/>
        </w:rPr>
        <w:tab/>
      </w:r>
      <w:r w:rsidR="00FD588C">
        <w:rPr>
          <w:color w:val="000000" w:themeColor="text1"/>
        </w:rPr>
        <w:t>xxx</w:t>
      </w:r>
      <w:bookmarkStart w:id="2" w:name="_GoBack"/>
      <w:bookmarkEnd w:id="2"/>
    </w:p>
    <w:p w:rsidR="00211E8A" w:rsidRDefault="00450898" w:rsidP="00211E8A">
      <w:pPr>
        <w:numPr>
          <w:ilvl w:val="1"/>
          <w:numId w:val="4"/>
        </w:numPr>
        <w:ind w:left="567" w:hanging="567"/>
        <w:jc w:val="both"/>
      </w:pPr>
      <w:r>
        <w:t>Poskytovatel</w:t>
      </w:r>
      <w:r w:rsidR="00505807">
        <w:t xml:space="preserve"> </w:t>
      </w:r>
      <w:r w:rsidR="00F9630F">
        <w:t xml:space="preserve">provede </w:t>
      </w:r>
      <w:r w:rsidR="004B695E">
        <w:t xml:space="preserve">servisní </w:t>
      </w:r>
      <w:r w:rsidR="00F9630F">
        <w:t>služby s potřebnou péčí v ujednaném čase a obstará vše, co je k</w:t>
      </w:r>
      <w:r w:rsidR="00451506">
        <w:t> </w:t>
      </w:r>
      <w:r w:rsidR="00F9630F">
        <w:t xml:space="preserve">provedení </w:t>
      </w:r>
      <w:r w:rsidR="004B695E">
        <w:t>služeb</w:t>
      </w:r>
      <w:r w:rsidR="00F9630F">
        <w:t xml:space="preserve"> potřeba. Za řádně provedené se považují</w:t>
      </w:r>
      <w:r w:rsidR="004B695E">
        <w:t xml:space="preserve"> takové servisní</w:t>
      </w:r>
      <w:r w:rsidR="00F9630F">
        <w:t xml:space="preserve"> služby, které jsou dokončené a</w:t>
      </w:r>
      <w:r w:rsidR="00451506">
        <w:t> </w:t>
      </w:r>
      <w:r w:rsidR="00F9630F">
        <w:t xml:space="preserve">předané. </w:t>
      </w:r>
      <w:r w:rsidR="004B695E">
        <w:t>Servisní s</w:t>
      </w:r>
      <w:r w:rsidR="00F9630F">
        <w:t>lužby jsou</w:t>
      </w:r>
      <w:r w:rsidR="00505807">
        <w:t xml:space="preserve"> dokončené, pokud je předvedena </w:t>
      </w:r>
      <w:r w:rsidR="00F9630F">
        <w:t>způsobilost dané služby sloužit svému účelu.</w:t>
      </w:r>
      <w:r w:rsidR="00211E8A">
        <w:t xml:space="preserve"> </w:t>
      </w:r>
    </w:p>
    <w:p w:rsidR="00211E8A" w:rsidRDefault="00211E8A" w:rsidP="00211E8A">
      <w:pPr>
        <w:numPr>
          <w:ilvl w:val="1"/>
          <w:numId w:val="4"/>
        </w:numPr>
        <w:ind w:left="567" w:hanging="567"/>
        <w:jc w:val="both"/>
      </w:pPr>
      <w:r>
        <w:t>V případě technických problémů mající</w:t>
      </w:r>
      <w:r w:rsidR="00A531F2">
        <w:t>ch</w:t>
      </w:r>
      <w:r>
        <w:t xml:space="preserve"> vliv na funkčnost</w:t>
      </w:r>
      <w:r w:rsidR="007614B0">
        <w:t xml:space="preserve"> servisovaných zařízení</w:t>
      </w:r>
      <w:r>
        <w:t xml:space="preserve"> </w:t>
      </w:r>
      <w:r w:rsidR="007614B0">
        <w:t xml:space="preserve">je poskytovatel povinen </w:t>
      </w:r>
      <w:r w:rsidR="004B695E">
        <w:t xml:space="preserve">servisní </w:t>
      </w:r>
      <w:r w:rsidR="00B1156B">
        <w:t>službu dokončit do následujícího pracovního dne.</w:t>
      </w:r>
    </w:p>
    <w:p w:rsidR="00F9630F" w:rsidRDefault="00F9630F" w:rsidP="002A6CB3">
      <w:pPr>
        <w:numPr>
          <w:ilvl w:val="1"/>
          <w:numId w:val="4"/>
        </w:numPr>
        <w:ind w:left="567" w:hanging="567"/>
        <w:jc w:val="both"/>
      </w:pPr>
      <w:r>
        <w:t>Součástí předmětu této smlouvy jsou i práce v této smlouvě nespecifikované, které jsou k</w:t>
      </w:r>
      <w:r w:rsidR="00451506">
        <w:t> </w:t>
      </w:r>
      <w:r>
        <w:t>řádnému provedení předmětu této smlouvy nezbytné</w:t>
      </w:r>
      <w:r w:rsidR="00451506">
        <w:t>,</w:t>
      </w:r>
      <w:r>
        <w:t xml:space="preserve"> a o kterých </w:t>
      </w:r>
      <w:r w:rsidR="00451506">
        <w:t>poskytovatel</w:t>
      </w:r>
      <w:r>
        <w:t xml:space="preserve"> vzhledem ke své kvalifikaci a zkušenostem měl, nebo mohl vědět. Provedení těchto prací nezvyšuje </w:t>
      </w:r>
      <w:r w:rsidR="00A531F2">
        <w:t>smluvní cenu</w:t>
      </w:r>
      <w:r>
        <w:t xml:space="preserve"> sjednanou </w:t>
      </w:r>
      <w:r w:rsidR="004B695E">
        <w:t>v této smlouvě</w:t>
      </w:r>
      <w:r>
        <w:t>.</w:t>
      </w:r>
    </w:p>
    <w:p w:rsidR="00DA4AD0" w:rsidRPr="00DA4AD0" w:rsidRDefault="00DA4AD0" w:rsidP="00157BA8">
      <w:pPr>
        <w:spacing w:before="240" w:after="240"/>
        <w:ind w:left="426" w:hanging="426"/>
        <w:jc w:val="center"/>
        <w:rPr>
          <w:b/>
        </w:rPr>
      </w:pPr>
      <w:bookmarkStart w:id="3" w:name="_Toc433768392"/>
      <w:r w:rsidRPr="00DA4AD0">
        <w:rPr>
          <w:b/>
        </w:rPr>
        <w:t>Článek II.</w:t>
      </w:r>
      <w:bookmarkStart w:id="4" w:name="_Toc433768393"/>
      <w:bookmarkEnd w:id="3"/>
      <w:r w:rsidR="00505807">
        <w:rPr>
          <w:b/>
        </w:rPr>
        <w:t xml:space="preserve"> </w:t>
      </w:r>
      <w:r w:rsidRPr="00DA4AD0">
        <w:rPr>
          <w:b/>
        </w:rPr>
        <w:t>Místo plnění</w:t>
      </w:r>
      <w:bookmarkEnd w:id="4"/>
    </w:p>
    <w:p w:rsidR="00157BA8" w:rsidRPr="00157BA8" w:rsidRDefault="00157BA8" w:rsidP="00157BA8">
      <w:pPr>
        <w:pStyle w:val="Odstavecseseznamem"/>
        <w:numPr>
          <w:ilvl w:val="0"/>
          <w:numId w:val="15"/>
        </w:numPr>
        <w:ind w:left="426" w:hanging="426"/>
        <w:contextualSpacing w:val="0"/>
        <w:jc w:val="both"/>
        <w:rPr>
          <w:vanish/>
        </w:rPr>
      </w:pPr>
    </w:p>
    <w:p w:rsidR="00157BA8" w:rsidRPr="00157BA8" w:rsidRDefault="00157BA8" w:rsidP="00157BA8">
      <w:pPr>
        <w:pStyle w:val="Odstavecseseznamem"/>
        <w:numPr>
          <w:ilvl w:val="0"/>
          <w:numId w:val="15"/>
        </w:numPr>
        <w:ind w:left="426" w:hanging="426"/>
        <w:contextualSpacing w:val="0"/>
        <w:jc w:val="both"/>
        <w:rPr>
          <w:vanish/>
        </w:rPr>
      </w:pPr>
    </w:p>
    <w:p w:rsidR="00DA4AD0" w:rsidRPr="00157BA8" w:rsidRDefault="00DA4AD0" w:rsidP="002A6CB3">
      <w:pPr>
        <w:numPr>
          <w:ilvl w:val="1"/>
          <w:numId w:val="15"/>
        </w:numPr>
        <w:ind w:left="567" w:hanging="567"/>
        <w:jc w:val="both"/>
      </w:pPr>
      <w:r w:rsidRPr="00DA4AD0">
        <w:t>Místem plnění předmětu smlouvy je sídlo objednatele</w:t>
      </w:r>
      <w:r w:rsidR="00451506">
        <w:t>.</w:t>
      </w:r>
      <w:bookmarkStart w:id="5" w:name="_Toc433768394"/>
    </w:p>
    <w:p w:rsidR="00DA4AD0" w:rsidRPr="00505807" w:rsidRDefault="00DA4AD0" w:rsidP="00157BA8">
      <w:pPr>
        <w:tabs>
          <w:tab w:val="left" w:pos="3150"/>
          <w:tab w:val="center" w:pos="4536"/>
        </w:tabs>
        <w:spacing w:before="240" w:after="240"/>
        <w:ind w:left="426" w:hanging="426"/>
        <w:jc w:val="center"/>
        <w:rPr>
          <w:b/>
        </w:rPr>
      </w:pPr>
      <w:r w:rsidRPr="00505807">
        <w:rPr>
          <w:b/>
        </w:rPr>
        <w:t>Článek III.</w:t>
      </w:r>
      <w:bookmarkEnd w:id="5"/>
      <w:r w:rsidRPr="00505807">
        <w:rPr>
          <w:b/>
        </w:rPr>
        <w:t xml:space="preserve"> </w:t>
      </w:r>
      <w:bookmarkStart w:id="6" w:name="_Toc433768395"/>
      <w:r w:rsidR="00451506">
        <w:rPr>
          <w:b/>
        </w:rPr>
        <w:t>Doba</w:t>
      </w:r>
      <w:r w:rsidR="00451506" w:rsidRPr="00505807">
        <w:rPr>
          <w:b/>
        </w:rPr>
        <w:t xml:space="preserve"> </w:t>
      </w:r>
      <w:r w:rsidRPr="00505807">
        <w:rPr>
          <w:b/>
        </w:rPr>
        <w:t>plnění</w:t>
      </w:r>
      <w:bookmarkEnd w:id="6"/>
    </w:p>
    <w:p w:rsidR="00DA4AD0" w:rsidRPr="00DA4AD0" w:rsidRDefault="00DA4AD0" w:rsidP="00157BA8">
      <w:pPr>
        <w:numPr>
          <w:ilvl w:val="0"/>
          <w:numId w:val="2"/>
        </w:numPr>
        <w:ind w:left="426" w:hanging="426"/>
        <w:jc w:val="both"/>
        <w:rPr>
          <w:vanish/>
          <w:lang w:val="x-none"/>
        </w:rPr>
      </w:pPr>
    </w:p>
    <w:p w:rsidR="00DA4AD0" w:rsidRPr="00DA4AD0" w:rsidRDefault="00DA4AD0" w:rsidP="00157BA8">
      <w:pPr>
        <w:numPr>
          <w:ilvl w:val="0"/>
          <w:numId w:val="2"/>
        </w:numPr>
        <w:ind w:left="426" w:hanging="426"/>
        <w:jc w:val="both"/>
        <w:rPr>
          <w:vanish/>
          <w:lang w:val="x-none"/>
        </w:rPr>
      </w:pPr>
    </w:p>
    <w:p w:rsidR="00DA4AD0" w:rsidRPr="00DA4AD0" w:rsidRDefault="00DA4AD0" w:rsidP="00157BA8">
      <w:pPr>
        <w:numPr>
          <w:ilvl w:val="0"/>
          <w:numId w:val="2"/>
        </w:numPr>
        <w:ind w:left="426" w:hanging="426"/>
        <w:jc w:val="both"/>
        <w:rPr>
          <w:vanish/>
          <w:lang w:val="x-none"/>
        </w:rPr>
      </w:pPr>
    </w:p>
    <w:p w:rsidR="00F9630F" w:rsidRPr="00584C8B" w:rsidRDefault="00DA4AD0" w:rsidP="002A6CB3">
      <w:pPr>
        <w:numPr>
          <w:ilvl w:val="1"/>
          <w:numId w:val="2"/>
        </w:numPr>
        <w:ind w:left="567" w:hanging="567"/>
        <w:jc w:val="both"/>
        <w:rPr>
          <w:b/>
          <w:lang w:val="x-none"/>
        </w:rPr>
      </w:pPr>
      <w:r w:rsidRPr="00DA4AD0">
        <w:t>Poskytovatel se zavazuje poskytovat sl</w:t>
      </w:r>
      <w:r w:rsidR="00F62C25">
        <w:t xml:space="preserve">užby dle této smlouvy </w:t>
      </w:r>
      <w:r w:rsidR="00F62C25" w:rsidRPr="00FF343C">
        <w:rPr>
          <w:color w:val="000000" w:themeColor="text1"/>
        </w:rPr>
        <w:t xml:space="preserve">po dobu </w:t>
      </w:r>
      <w:r w:rsidR="006E5682" w:rsidRPr="00FF343C">
        <w:rPr>
          <w:color w:val="000000" w:themeColor="text1"/>
        </w:rPr>
        <w:t xml:space="preserve">12 </w:t>
      </w:r>
      <w:r w:rsidRPr="00FF343C">
        <w:rPr>
          <w:color w:val="000000" w:themeColor="text1"/>
        </w:rPr>
        <w:t xml:space="preserve">měsíců </w:t>
      </w:r>
      <w:r w:rsidR="00451506" w:rsidRPr="00FF343C">
        <w:rPr>
          <w:color w:val="000000" w:themeColor="text1"/>
        </w:rPr>
        <w:t xml:space="preserve">po </w:t>
      </w:r>
      <w:r w:rsidR="00505807">
        <w:t>p</w:t>
      </w:r>
      <w:r w:rsidR="00584C8B">
        <w:t>odpisu smlouvy</w:t>
      </w:r>
      <w:r w:rsidR="00505807">
        <w:t xml:space="preserve">. </w:t>
      </w:r>
      <w:r w:rsidR="00F9630F" w:rsidRPr="00F9630F">
        <w:t xml:space="preserve">V případě, že </w:t>
      </w:r>
      <w:r w:rsidR="00451506">
        <w:t>poskytovatel</w:t>
      </w:r>
      <w:r w:rsidR="00F9630F" w:rsidRPr="00F9630F">
        <w:t xml:space="preserve"> přeruší plnění předmětu této smlouvy z důvodů na jeho straně, nebo na pokyn objednatele, k jehož vydání bude objednatel vyzván příslušnými orgány za mimořádné situace (např. požár, povodeň), projedná s ním objednatel neprodleně důvod přerušení a dohodne s ním termín opět</w:t>
      </w:r>
      <w:r w:rsidR="00274B3D">
        <w:t>ov</w:t>
      </w:r>
      <w:r w:rsidR="00F9630F" w:rsidRPr="00F9630F">
        <w:t xml:space="preserve">ného zahájení plnění. Nedojde-li k dohodě, resp. nesplní-li </w:t>
      </w:r>
      <w:r w:rsidR="00451506">
        <w:t>poskytovatel</w:t>
      </w:r>
      <w:r w:rsidR="00F9630F" w:rsidRPr="00F9630F">
        <w:t xml:space="preserve"> dohodnutý termín k zahájení prací, stanoví objednatel písemně dodatečnou přiměřenou lhůtu pro zahájení prací </w:t>
      </w:r>
      <w:r w:rsidR="00451506">
        <w:t>poskytovatel</w:t>
      </w:r>
      <w:r w:rsidR="00F9630F" w:rsidRPr="00F9630F">
        <w:t xml:space="preserve">em. Nezahájí-li </w:t>
      </w:r>
      <w:r w:rsidR="00451506">
        <w:t>poskytovatel</w:t>
      </w:r>
      <w:r w:rsidR="00F9630F" w:rsidRPr="00F9630F">
        <w:t xml:space="preserve"> v dodatečné lhůtě práce nebo prohlásí před uplynutím dodatečné lhůty, že svůj závazek nesplní, může objednatel od smlouvy odstoupit. Toto přerušení prací nemá vli</w:t>
      </w:r>
      <w:r w:rsidR="00F9630F">
        <w:t>v na dohodnutou dobu plnění</w:t>
      </w:r>
      <w:r w:rsidR="00F9630F" w:rsidRPr="00F9630F">
        <w:t>, pokud nedojde k jiné dohodě formou dodatku ke smlouvě</w:t>
      </w:r>
    </w:p>
    <w:p w:rsidR="00DA4AD0" w:rsidRPr="00505807" w:rsidRDefault="00DA4AD0" w:rsidP="00157BA8">
      <w:pPr>
        <w:spacing w:before="240" w:after="240"/>
        <w:ind w:left="426" w:hanging="426"/>
        <w:jc w:val="center"/>
        <w:rPr>
          <w:b/>
        </w:rPr>
      </w:pPr>
      <w:bookmarkStart w:id="7" w:name="_Toc433768398"/>
      <w:r w:rsidRPr="00505807">
        <w:rPr>
          <w:b/>
        </w:rPr>
        <w:lastRenderedPageBreak/>
        <w:t>Článek IV.</w:t>
      </w:r>
      <w:bookmarkStart w:id="8" w:name="_Toc433768399"/>
      <w:bookmarkEnd w:id="7"/>
      <w:r w:rsidR="00505807" w:rsidRPr="00505807">
        <w:rPr>
          <w:b/>
        </w:rPr>
        <w:t xml:space="preserve"> </w:t>
      </w:r>
      <w:r w:rsidRPr="00505807">
        <w:rPr>
          <w:b/>
        </w:rPr>
        <w:t>Smluvní cena a platební podmínky</w:t>
      </w:r>
      <w:bookmarkEnd w:id="8"/>
    </w:p>
    <w:p w:rsidR="00DA4AD0" w:rsidRPr="00DA4AD0" w:rsidRDefault="00DA4AD0" w:rsidP="00157BA8">
      <w:pPr>
        <w:numPr>
          <w:ilvl w:val="0"/>
          <w:numId w:val="3"/>
        </w:numPr>
        <w:ind w:left="426" w:hanging="426"/>
        <w:jc w:val="both"/>
        <w:rPr>
          <w:vanish/>
        </w:rPr>
      </w:pPr>
    </w:p>
    <w:p w:rsidR="00DA4AD0" w:rsidRPr="00DA4AD0" w:rsidRDefault="00DA4AD0" w:rsidP="00157BA8">
      <w:pPr>
        <w:numPr>
          <w:ilvl w:val="0"/>
          <w:numId w:val="3"/>
        </w:numPr>
        <w:ind w:left="426" w:hanging="426"/>
        <w:jc w:val="both"/>
        <w:rPr>
          <w:vanish/>
        </w:rPr>
      </w:pPr>
    </w:p>
    <w:p w:rsidR="00DA4AD0" w:rsidRPr="00DA4AD0" w:rsidRDefault="00DA4AD0" w:rsidP="00157BA8">
      <w:pPr>
        <w:numPr>
          <w:ilvl w:val="0"/>
          <w:numId w:val="3"/>
        </w:numPr>
        <w:ind w:left="426" w:hanging="426"/>
        <w:jc w:val="both"/>
        <w:rPr>
          <w:vanish/>
        </w:rPr>
      </w:pPr>
    </w:p>
    <w:p w:rsidR="00DA4AD0" w:rsidRPr="00DA4AD0" w:rsidRDefault="00DA4AD0" w:rsidP="00157BA8">
      <w:pPr>
        <w:numPr>
          <w:ilvl w:val="0"/>
          <w:numId w:val="3"/>
        </w:numPr>
        <w:ind w:left="426" w:hanging="426"/>
        <w:jc w:val="both"/>
        <w:rPr>
          <w:vanish/>
        </w:rPr>
      </w:pPr>
    </w:p>
    <w:p w:rsidR="00DA4AD0" w:rsidRPr="00DA4AD0" w:rsidRDefault="00530C25" w:rsidP="00157BA8">
      <w:pPr>
        <w:numPr>
          <w:ilvl w:val="1"/>
          <w:numId w:val="3"/>
        </w:numPr>
        <w:ind w:left="567" w:hanging="567"/>
        <w:jc w:val="both"/>
      </w:pPr>
      <w:bookmarkStart w:id="9" w:name="_Toc433768402"/>
      <w:r>
        <w:t xml:space="preserve">Maximální cena plnění dle této smlouvy nepřekročí </w:t>
      </w:r>
      <w:r w:rsidR="00857037" w:rsidRPr="00A6169E">
        <w:rPr>
          <w:color w:val="000000" w:themeColor="text1"/>
        </w:rPr>
        <w:t xml:space="preserve">325 368,- </w:t>
      </w:r>
      <w:r w:rsidRPr="00A6169E">
        <w:rPr>
          <w:color w:val="000000" w:themeColor="text1"/>
        </w:rPr>
        <w:t>Kč</w:t>
      </w:r>
      <w:r w:rsidR="006E5682" w:rsidRPr="00A6169E">
        <w:rPr>
          <w:color w:val="000000" w:themeColor="text1"/>
        </w:rPr>
        <w:t xml:space="preserve"> be</w:t>
      </w:r>
      <w:r w:rsidR="001358B3" w:rsidRPr="00A6169E">
        <w:rPr>
          <w:color w:val="000000" w:themeColor="text1"/>
        </w:rPr>
        <w:t>z</w:t>
      </w:r>
      <w:r w:rsidR="006E5682" w:rsidRPr="00A6169E">
        <w:rPr>
          <w:color w:val="000000" w:themeColor="text1"/>
        </w:rPr>
        <w:t xml:space="preserve"> DPH (slovy: </w:t>
      </w:r>
      <w:proofErr w:type="spellStart"/>
      <w:r w:rsidR="00857037" w:rsidRPr="00A6169E">
        <w:rPr>
          <w:color w:val="000000" w:themeColor="text1"/>
        </w:rPr>
        <w:t>třistadvacetpěttisíctřistašedesátosm</w:t>
      </w:r>
      <w:proofErr w:type="spellEnd"/>
      <w:r w:rsidR="00857037" w:rsidRPr="00A6169E">
        <w:rPr>
          <w:color w:val="000000" w:themeColor="text1"/>
        </w:rPr>
        <w:t xml:space="preserve"> korun českých</w:t>
      </w:r>
      <w:r w:rsidR="006E5682" w:rsidRPr="00A6169E">
        <w:rPr>
          <w:color w:val="000000" w:themeColor="text1"/>
        </w:rPr>
        <w:t>)</w:t>
      </w:r>
      <w:r w:rsidRPr="00A6169E">
        <w:rPr>
          <w:color w:val="000000" w:themeColor="text1"/>
        </w:rPr>
        <w:t>.</w:t>
      </w:r>
      <w:r w:rsidR="004B695E" w:rsidRPr="00A6169E">
        <w:rPr>
          <w:color w:val="000000" w:themeColor="text1"/>
        </w:rPr>
        <w:t xml:space="preserve"> </w:t>
      </w:r>
      <w:r w:rsidR="004A1DDA" w:rsidRPr="004A1DDA">
        <w:rPr>
          <w:color w:val="000000" w:themeColor="text1"/>
        </w:rPr>
        <w:t xml:space="preserve">Platba za řádně poskytnuté služby bude provedena na základě faktury vystavené poskytovatelem do 30 dnů ode dne účinnosti této smlouvy. </w:t>
      </w:r>
      <w:r w:rsidR="00DA4AD0" w:rsidRPr="00DA4AD0">
        <w:t>Faktura vystavená poskytovatelem musí splňovat náležitosti daňového dokladu stanovené právními předpisy.</w:t>
      </w:r>
    </w:p>
    <w:p w:rsidR="00DA4AD0" w:rsidRPr="00DA4AD0" w:rsidRDefault="006E5682" w:rsidP="00157BA8">
      <w:pPr>
        <w:numPr>
          <w:ilvl w:val="1"/>
          <w:numId w:val="3"/>
        </w:numPr>
        <w:ind w:left="567" w:hanging="567"/>
        <w:jc w:val="both"/>
      </w:pPr>
      <w:r w:rsidRPr="00DA4AD0">
        <w:t>Fakturovan</w:t>
      </w:r>
      <w:r>
        <w:t>á</w:t>
      </w:r>
      <w:r w:rsidRPr="00DA4AD0">
        <w:t xml:space="preserve"> částk</w:t>
      </w:r>
      <w:r>
        <w:t>a</w:t>
      </w:r>
      <w:r w:rsidRPr="00DA4AD0">
        <w:t xml:space="preserve"> bud</w:t>
      </w:r>
      <w:r>
        <w:t>e</w:t>
      </w:r>
      <w:r w:rsidRPr="00DA4AD0">
        <w:t xml:space="preserve"> hrazen</w:t>
      </w:r>
      <w:r>
        <w:t>a</w:t>
      </w:r>
      <w:r w:rsidRPr="00DA4AD0">
        <w:t xml:space="preserve"> </w:t>
      </w:r>
      <w:r w:rsidR="00DA4AD0" w:rsidRPr="00DA4AD0">
        <w:t>bezhotovostně, a to bankovním převodem na účet poskytovatele uvedený v této smlouvě, nebo na účet poskytovatele dodatečně písemně oznámený objednateli, a to nejpozději ke dni doručení faktury.</w:t>
      </w:r>
    </w:p>
    <w:p w:rsidR="00DA4AD0" w:rsidRPr="00DA4AD0" w:rsidRDefault="00DA4AD0" w:rsidP="00157BA8">
      <w:pPr>
        <w:numPr>
          <w:ilvl w:val="1"/>
          <w:numId w:val="3"/>
        </w:numPr>
        <w:ind w:left="567" w:hanging="567"/>
        <w:jc w:val="both"/>
      </w:pPr>
      <w:r w:rsidRPr="00DA4AD0">
        <w:t xml:space="preserve">Splatnost faktury je 30 kalendářních dnů ode dne doručení řádně vystavené faktury objednateli. V případě, že faktura nebude obsahovat náležitosti daňového dokladu nebo nebude vystavena v souladu s podmínkami sjednanými v této smlouvě, je objednatel oprávněn vrátit ji poskytovateli k doplnění. V takovém případě se přeruší plynutí lhůty splatnosti a nová lhůta splatnosti začne plynout doručením opravené faktury objednateli. </w:t>
      </w:r>
    </w:p>
    <w:p w:rsidR="00DA4AD0" w:rsidRDefault="00DA4AD0" w:rsidP="00157BA8">
      <w:pPr>
        <w:numPr>
          <w:ilvl w:val="1"/>
          <w:numId w:val="3"/>
        </w:numPr>
        <w:ind w:left="567" w:hanging="567"/>
        <w:jc w:val="both"/>
      </w:pPr>
      <w:r w:rsidRPr="00DA4AD0">
        <w:t xml:space="preserve">Faktura se považuje za zaplacenou dnem, kdy bude fakturovaná částka odeslána z účtu objednatele ve prospěch účtu poskytovatele. </w:t>
      </w:r>
    </w:p>
    <w:p w:rsidR="00F9630F" w:rsidRDefault="00F9630F" w:rsidP="00157BA8">
      <w:pPr>
        <w:numPr>
          <w:ilvl w:val="1"/>
          <w:numId w:val="3"/>
        </w:numPr>
        <w:ind w:left="567" w:hanging="567"/>
        <w:jc w:val="both"/>
      </w:pPr>
      <w:r>
        <w:t>Poskytovatel tímto bere na vědomí, že objednatel je organizační složkou státu a jeho stav účtu závisí na převodu finančních prostředků ze státního rozpočtu. Poskytovatel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 nelze z těchto důvodů vůči objednateli uplatňovat žádné sankce. Objednatel se zavazuje, že v případě, že tato skutečnost nastane, oznámí ji neprodleně a to písemně poskytovateli nejpozději do 5 pracovních dní před původním termínem splatnosti faktury.</w:t>
      </w:r>
    </w:p>
    <w:p w:rsidR="00F9630F" w:rsidRDefault="00F9630F" w:rsidP="00157BA8">
      <w:pPr>
        <w:numPr>
          <w:ilvl w:val="1"/>
          <w:numId w:val="3"/>
        </w:numPr>
        <w:ind w:left="567" w:hanging="567"/>
        <w:jc w:val="both"/>
      </w:pPr>
      <w:r>
        <w:t xml:space="preserve">Poskytovatel </w:t>
      </w:r>
      <w:r w:rsidR="00530C25">
        <w:t xml:space="preserve">je rovněž seznámen s tím, že </w:t>
      </w:r>
      <w:r>
        <w:t>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:rsidR="00DA4AD0" w:rsidRPr="00505807" w:rsidRDefault="00DA4AD0" w:rsidP="00157BA8">
      <w:pPr>
        <w:spacing w:before="240" w:after="240"/>
        <w:ind w:left="426" w:hanging="426"/>
        <w:jc w:val="center"/>
      </w:pPr>
      <w:r w:rsidRPr="00505807">
        <w:rPr>
          <w:b/>
        </w:rPr>
        <w:t>Článek V.</w:t>
      </w:r>
      <w:bookmarkStart w:id="10" w:name="_Toc433768403"/>
      <w:bookmarkEnd w:id="9"/>
      <w:r w:rsidR="00505807" w:rsidRPr="00505807">
        <w:rPr>
          <w:b/>
        </w:rPr>
        <w:t xml:space="preserve"> </w:t>
      </w:r>
      <w:r w:rsidRPr="00505807">
        <w:rPr>
          <w:b/>
        </w:rPr>
        <w:t>Další podmínky plnění předmětu smlouvy</w:t>
      </w:r>
      <w:bookmarkEnd w:id="10"/>
    </w:p>
    <w:p w:rsidR="00DA4AD0" w:rsidRPr="00DA4AD0" w:rsidRDefault="00DA4AD0" w:rsidP="00157BA8">
      <w:pPr>
        <w:numPr>
          <w:ilvl w:val="1"/>
          <w:numId w:val="5"/>
        </w:numPr>
        <w:ind w:left="567" w:hanging="567"/>
        <w:jc w:val="both"/>
      </w:pPr>
      <w:r w:rsidRPr="00DA4AD0">
        <w:t xml:space="preserve">Poskytovatel je povinen poskytovat služby sjednané v této smlouvě řádně, včas, s odbornou péčí, podle svých nejlepších znalostí a schopností a v souladu s obecně závaznými právními předpisy, přičemž je povinen sledovat a chránit oprávněné zájmy objednatele. </w:t>
      </w:r>
    </w:p>
    <w:p w:rsidR="00DA4AD0" w:rsidRPr="00DA4AD0" w:rsidRDefault="00DA4AD0" w:rsidP="00157BA8">
      <w:pPr>
        <w:numPr>
          <w:ilvl w:val="1"/>
          <w:numId w:val="5"/>
        </w:numPr>
        <w:ind w:left="567" w:hanging="567"/>
        <w:jc w:val="both"/>
      </w:pPr>
      <w:r w:rsidRPr="00DA4AD0">
        <w:t>Poskytovatel se zavazuje oznámit objednateli všechny okolnosti, které zjistil v průběhu plnění této smlouvy a které mohou mít vliv na plnění předmětu této smlouvy.</w:t>
      </w:r>
    </w:p>
    <w:p w:rsidR="00DA4AD0" w:rsidRPr="00DA4AD0" w:rsidRDefault="00DA4AD0" w:rsidP="00157BA8">
      <w:pPr>
        <w:numPr>
          <w:ilvl w:val="1"/>
          <w:numId w:val="5"/>
        </w:numPr>
        <w:ind w:left="567" w:hanging="567"/>
        <w:jc w:val="both"/>
      </w:pPr>
      <w:r w:rsidRPr="00DA4AD0">
        <w:t xml:space="preserve">Objednatel se zavazuje poskytnout poskytovateli potřebné podklady a nezbytnou součinnost k plnění předmětu této smlouvy a umožnit za účelem provádění sjednaných služeb přístup </w:t>
      </w:r>
      <w:r w:rsidR="00530C25">
        <w:t>zaměstnancům</w:t>
      </w:r>
      <w:r w:rsidR="00530C25" w:rsidRPr="00DA4AD0">
        <w:t xml:space="preserve"> </w:t>
      </w:r>
      <w:r w:rsidRPr="00DA4AD0">
        <w:t xml:space="preserve">poskytovatele do svých objektů a k příslušnému hardwaru a softwaru pod správou objednatele. </w:t>
      </w:r>
    </w:p>
    <w:p w:rsidR="00DA4AD0" w:rsidRPr="00DA4AD0" w:rsidRDefault="00DA4AD0" w:rsidP="00157BA8">
      <w:pPr>
        <w:numPr>
          <w:ilvl w:val="1"/>
          <w:numId w:val="5"/>
        </w:numPr>
        <w:ind w:left="567" w:hanging="567"/>
        <w:jc w:val="both"/>
      </w:pPr>
      <w:r w:rsidRPr="00DA4AD0">
        <w:lastRenderedPageBreak/>
        <w:t xml:space="preserve">Poskytovatel se zavazuje, že nepostoupí své pohledávky z této smlouvy vzniklé na třetí osobu, stejně jak ani nesjedná zápočet této pohledávky bez předchozího souhlasu objednatele. </w:t>
      </w:r>
    </w:p>
    <w:p w:rsidR="003B4BA3" w:rsidRDefault="003B4BA3" w:rsidP="00157BA8">
      <w:pPr>
        <w:numPr>
          <w:ilvl w:val="1"/>
          <w:numId w:val="5"/>
        </w:numPr>
        <w:ind w:left="567" w:hanging="567"/>
        <w:jc w:val="both"/>
      </w:pPr>
      <w:r>
        <w:t>Objednatel</w:t>
      </w:r>
      <w:r w:rsidR="00505807">
        <w:t xml:space="preserve"> </w:t>
      </w:r>
      <w:r>
        <w:t xml:space="preserve">je povinen na výzvu poskytovatele poskytnout údaje a dokumenty nutné jako </w:t>
      </w:r>
      <w:r w:rsidR="00A531F2">
        <w:t>p</w:t>
      </w:r>
      <w:r>
        <w:t>odklady k vytvoření díla.</w:t>
      </w:r>
    </w:p>
    <w:p w:rsidR="003B4BA3" w:rsidRDefault="003B4BA3" w:rsidP="00157BA8">
      <w:pPr>
        <w:numPr>
          <w:ilvl w:val="1"/>
          <w:numId w:val="5"/>
        </w:numPr>
        <w:ind w:left="567" w:hanging="567"/>
        <w:jc w:val="both"/>
      </w:pPr>
      <w:r>
        <w:t>Smluvní strany se dohodly na tom, že poskytovatel není oprávněn výstupy</w:t>
      </w:r>
      <w:r w:rsidR="00505807">
        <w:t xml:space="preserve"> </w:t>
      </w:r>
      <w:r>
        <w:t>či podklady pro jeho vytvoření poskytnuté objednatelem bez písemného souhlasu objednatele dále prodávat, poskytovat třetím osobám, zveřejňovat či s nimi jinak nakládat.</w:t>
      </w:r>
    </w:p>
    <w:p w:rsidR="003B4BA3" w:rsidRDefault="003B4BA3" w:rsidP="00157BA8">
      <w:pPr>
        <w:numPr>
          <w:ilvl w:val="1"/>
          <w:numId w:val="5"/>
        </w:numPr>
        <w:ind w:left="567" w:hanging="567"/>
        <w:jc w:val="both"/>
      </w:pPr>
      <w:r>
        <w:t>Poskytovatel nese až do okamžiku předání díla nebezpečí škody na zhotoveném díle.</w:t>
      </w:r>
    </w:p>
    <w:p w:rsidR="003B4BA3" w:rsidRPr="00DA4AD0" w:rsidRDefault="003B4BA3" w:rsidP="00157BA8">
      <w:pPr>
        <w:numPr>
          <w:ilvl w:val="1"/>
          <w:numId w:val="5"/>
        </w:numPr>
        <w:ind w:left="567" w:hanging="567"/>
        <w:jc w:val="both"/>
      </w:pPr>
      <w:r>
        <w:t>Poskytovatel se zavazuje při poskytování díla respektovat rozhodnutí objednatele, je však současně povinen objednatele upozornit na možné negativní důsledky jeho rozhodnutí, včetně důsledků pro kvalitu a termín odevzdání díla.</w:t>
      </w:r>
    </w:p>
    <w:p w:rsidR="00DA4AD0" w:rsidRPr="00505807" w:rsidRDefault="00DA4AD0" w:rsidP="00157BA8">
      <w:pPr>
        <w:spacing w:before="240" w:after="240"/>
        <w:ind w:left="426" w:hanging="426"/>
        <w:jc w:val="center"/>
        <w:rPr>
          <w:b/>
          <w:bCs/>
        </w:rPr>
      </w:pPr>
      <w:bookmarkStart w:id="11" w:name="_Toc433768406"/>
      <w:r w:rsidRPr="00505807">
        <w:rPr>
          <w:b/>
        </w:rPr>
        <w:t xml:space="preserve">Článek </w:t>
      </w:r>
      <w:bookmarkEnd w:id="11"/>
      <w:r w:rsidRPr="00505807">
        <w:rPr>
          <w:b/>
        </w:rPr>
        <w:t>VI.</w:t>
      </w:r>
      <w:r w:rsidR="00505807" w:rsidRPr="00505807">
        <w:rPr>
          <w:b/>
        </w:rPr>
        <w:t xml:space="preserve"> </w:t>
      </w:r>
      <w:r w:rsidRPr="00505807">
        <w:rPr>
          <w:b/>
          <w:bCs/>
        </w:rPr>
        <w:t>Záruka za jakost, odpovědnost za vady</w:t>
      </w:r>
    </w:p>
    <w:p w:rsidR="00DA4AD0" w:rsidRDefault="000B29B9" w:rsidP="00157BA8">
      <w:pPr>
        <w:numPr>
          <w:ilvl w:val="1"/>
          <w:numId w:val="6"/>
        </w:numPr>
        <w:ind w:left="567" w:hanging="567"/>
        <w:jc w:val="both"/>
      </w:pPr>
      <w:bookmarkStart w:id="12" w:name="_Toc433768408"/>
      <w:r>
        <w:t xml:space="preserve">Poskytovatel zaručuje bezvadný stav jím provedených </w:t>
      </w:r>
      <w:r w:rsidR="00DA4AD0" w:rsidRPr="00DA4AD0">
        <w:t>oprav na technic</w:t>
      </w:r>
      <w:r w:rsidR="003B4BA3">
        <w:t xml:space="preserve">kém vybavení objednatele </w:t>
      </w:r>
      <w:r>
        <w:t xml:space="preserve">v rozsahu </w:t>
      </w:r>
      <w:r w:rsidR="00584C8B">
        <w:t>3</w:t>
      </w:r>
      <w:r w:rsidR="003B4BA3">
        <w:t xml:space="preserve"> </w:t>
      </w:r>
      <w:r w:rsidR="00DA4AD0" w:rsidRPr="00DA4AD0">
        <w:t>měsíc</w:t>
      </w:r>
      <w:r>
        <w:t>ů</w:t>
      </w:r>
      <w:r w:rsidR="00DA4AD0" w:rsidRPr="00DA4AD0">
        <w:t>. P</w:t>
      </w:r>
      <w:r w:rsidR="00DA4AD0" w:rsidRPr="00584C8B">
        <w:rPr>
          <w:iCs/>
        </w:rPr>
        <w:t xml:space="preserve">oskytovatel se zavazuje vady zjištěné </w:t>
      </w:r>
      <w:r w:rsidR="00DA4AD0" w:rsidRPr="002001FB">
        <w:rPr>
          <w:iCs/>
        </w:rPr>
        <w:t>neprodleně odstranit bez nároku na navýšení ceny</w:t>
      </w:r>
      <w:r w:rsidR="00505807">
        <w:rPr>
          <w:iCs/>
        </w:rPr>
        <w:t xml:space="preserve">. </w:t>
      </w:r>
      <w:r w:rsidR="00DA4AD0" w:rsidRPr="00584C8B">
        <w:rPr>
          <w:iCs/>
        </w:rPr>
        <w:t>U</w:t>
      </w:r>
      <w:r w:rsidR="00DA4AD0" w:rsidRPr="00DA4AD0">
        <w:t>platněním nároku z odpovědnosti za vady nejsou dotčeny nároky na náhradu škody nebo na uplatnění smluvní pokuty.</w:t>
      </w:r>
    </w:p>
    <w:p w:rsidR="003B4BA3" w:rsidRDefault="003B4BA3" w:rsidP="00157BA8">
      <w:pPr>
        <w:numPr>
          <w:ilvl w:val="1"/>
          <w:numId w:val="6"/>
        </w:numPr>
        <w:ind w:left="567" w:hanging="567"/>
        <w:jc w:val="both"/>
      </w:pPr>
      <w:r>
        <w:t>Zjistí-li objednatel případné vady díla, je povinen je neprodleně nahlásit poskytovateli. Objednatel je oprávněn požado</w:t>
      </w:r>
      <w:r w:rsidR="00505807">
        <w:t>vat jejich bezplatné odstranění</w:t>
      </w:r>
      <w:r>
        <w:t xml:space="preserve">. </w:t>
      </w:r>
      <w:r w:rsidR="00505807">
        <w:t>Pokud n</w:t>
      </w:r>
      <w:r>
        <w:t xml:space="preserve">ení odstranění vad možné, nebo pokud to </w:t>
      </w:r>
      <w:r w:rsidR="00451506">
        <w:t>poskytovatel</w:t>
      </w:r>
      <w:r>
        <w:t xml:space="preserve"> sám navrhne, může objednatel žádat přiměřenou slevu z ceny díla.</w:t>
      </w:r>
    </w:p>
    <w:p w:rsidR="003B4BA3" w:rsidRDefault="00451506" w:rsidP="00157BA8">
      <w:pPr>
        <w:numPr>
          <w:ilvl w:val="1"/>
          <w:numId w:val="6"/>
        </w:numPr>
        <w:ind w:left="567" w:hanging="567"/>
        <w:jc w:val="both"/>
      </w:pPr>
      <w:r>
        <w:t>Poskytovatel</w:t>
      </w:r>
      <w:r w:rsidR="003B4BA3">
        <w:t xml:space="preserve"> se zprošťuje odpovědnosti za vady, jsou-li způsobeny porušením povinnosti objednatele.</w:t>
      </w:r>
    </w:p>
    <w:p w:rsidR="003B4BA3" w:rsidRPr="00DA4AD0" w:rsidRDefault="003B4BA3" w:rsidP="00157BA8">
      <w:pPr>
        <w:numPr>
          <w:ilvl w:val="1"/>
          <w:numId w:val="6"/>
        </w:numPr>
        <w:ind w:left="567" w:hanging="567"/>
        <w:jc w:val="both"/>
      </w:pPr>
      <w:r>
        <w:t>Za bezvadné dílo lze považovat podle této smlouvy pouze takové dílo, které plně odpovídá obecným předpisům a požadavkům uvedeným v této smlouvě</w:t>
      </w:r>
    </w:p>
    <w:p w:rsidR="00DA4AD0" w:rsidRPr="00505807" w:rsidRDefault="00DA4AD0" w:rsidP="00157BA8">
      <w:pPr>
        <w:spacing w:before="240" w:after="240"/>
        <w:ind w:left="426" w:hanging="426"/>
        <w:jc w:val="center"/>
        <w:rPr>
          <w:b/>
          <w:bCs/>
        </w:rPr>
      </w:pPr>
      <w:r w:rsidRPr="00505807">
        <w:rPr>
          <w:b/>
        </w:rPr>
        <w:t>Článek VII.</w:t>
      </w:r>
      <w:r w:rsidR="00505807" w:rsidRPr="00505807">
        <w:rPr>
          <w:b/>
        </w:rPr>
        <w:t xml:space="preserve"> </w:t>
      </w:r>
      <w:r w:rsidRPr="00505807">
        <w:rPr>
          <w:b/>
          <w:bCs/>
        </w:rPr>
        <w:t>Odpovědnost za škodu</w:t>
      </w:r>
    </w:p>
    <w:p w:rsidR="00DA4AD0" w:rsidRPr="00DA4AD0" w:rsidRDefault="00DA4AD0" w:rsidP="00157BA8">
      <w:pPr>
        <w:numPr>
          <w:ilvl w:val="1"/>
          <w:numId w:val="1"/>
        </w:numPr>
        <w:ind w:left="567" w:hanging="567"/>
        <w:jc w:val="both"/>
      </w:pPr>
      <w:r w:rsidRPr="00DA4AD0">
        <w:t>Poskytovatel odpovídá za případnou škodu, která jeho činností vznikne. Poskytovatel plně odpovídá za plnění této smlouvy rovněž v případě, že příslušnou část plnění poskytuje prostřednictvím třetí osoby (subdodavatele).</w:t>
      </w:r>
    </w:p>
    <w:p w:rsidR="00DA4AD0" w:rsidRPr="00DA4AD0" w:rsidRDefault="00DA4AD0" w:rsidP="00157BA8">
      <w:pPr>
        <w:numPr>
          <w:ilvl w:val="1"/>
          <w:numId w:val="1"/>
        </w:numPr>
        <w:ind w:left="567" w:hanging="567"/>
        <w:jc w:val="both"/>
      </w:pPr>
      <w:r w:rsidRPr="00DA4AD0">
        <w:t>Žádná ze smluvních stran neodpovídá za škodu, která vznikla v důsledku věcně nesprávného nebo jinak chybného zadání, které obdržela od druhé smluvní strany.</w:t>
      </w:r>
    </w:p>
    <w:p w:rsidR="00DA4AD0" w:rsidRPr="00DA4AD0" w:rsidRDefault="00DA4AD0" w:rsidP="00157BA8">
      <w:pPr>
        <w:numPr>
          <w:ilvl w:val="1"/>
          <w:numId w:val="1"/>
        </w:numPr>
        <w:ind w:left="567" w:hanging="567"/>
        <w:jc w:val="both"/>
      </w:pPr>
      <w:r w:rsidRPr="00DA4AD0">
        <w:t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</w:t>
      </w:r>
    </w:p>
    <w:p w:rsidR="00DA4AD0" w:rsidRPr="00DA4AD0" w:rsidRDefault="00DA4AD0" w:rsidP="00157BA8">
      <w:pPr>
        <w:numPr>
          <w:ilvl w:val="1"/>
          <w:numId w:val="1"/>
        </w:numPr>
        <w:ind w:left="567" w:hanging="567"/>
        <w:jc w:val="both"/>
      </w:pPr>
      <w:r w:rsidRPr="00DA4AD0">
        <w:lastRenderedPageBreak/>
        <w:t xml:space="preserve">Poskytovatel je povinen mít po celou dobu trvání smlouvy uzavřené platné pojištění odpovědnosti </w:t>
      </w:r>
      <w:r w:rsidR="00F15568">
        <w:t xml:space="preserve">za škodu způsobenou třetí osobě. </w:t>
      </w:r>
      <w:r w:rsidRPr="00DA4AD0">
        <w:t xml:space="preserve">V případě, že pojistný vztah mezi poskytovatelem a pojistitelem skončí, je poskytovatel povinen sjednat nový pojistný vztah ve stejném rozsahu tak, aby byla zachována podmínka existence pojištění v předmětném rozsahu po celou dobu trvání tohoto smluvního vztahu. Existenci pojištění je poskytovatel povinen na žádost objednatele kdykoliv prokázat. </w:t>
      </w:r>
      <w:r w:rsidR="000B29B9">
        <w:t>Poskytova</w:t>
      </w:r>
      <w:r w:rsidR="00A531F2">
        <w:t>te</w:t>
      </w:r>
      <w:r w:rsidR="000B29B9">
        <w:t xml:space="preserve">l je povinen neprodleně informovat objednatele o změnách v </w:t>
      </w:r>
      <w:r w:rsidR="000B29B9" w:rsidRPr="00DA4AD0">
        <w:t xml:space="preserve">pojištění odpovědnosti </w:t>
      </w:r>
      <w:r w:rsidR="000B29B9">
        <w:t>za škodu způsobenou třetí osobě.</w:t>
      </w:r>
    </w:p>
    <w:p w:rsidR="00DA4AD0" w:rsidRPr="00505807" w:rsidRDefault="00DA4AD0" w:rsidP="00157BA8">
      <w:pPr>
        <w:spacing w:before="240" w:after="240"/>
        <w:ind w:left="426" w:hanging="426"/>
        <w:jc w:val="center"/>
        <w:rPr>
          <w:b/>
        </w:rPr>
      </w:pPr>
      <w:r w:rsidRPr="00505807">
        <w:rPr>
          <w:b/>
        </w:rPr>
        <w:t>Článek VIII.</w:t>
      </w:r>
      <w:bookmarkStart w:id="13" w:name="_Toc433768409"/>
      <w:bookmarkEnd w:id="12"/>
      <w:r w:rsidR="00505807" w:rsidRPr="00505807">
        <w:rPr>
          <w:b/>
        </w:rPr>
        <w:t xml:space="preserve"> </w:t>
      </w:r>
      <w:r w:rsidRPr="00505807">
        <w:rPr>
          <w:b/>
        </w:rPr>
        <w:t>Sankce</w:t>
      </w:r>
      <w:bookmarkEnd w:id="13"/>
    </w:p>
    <w:p w:rsidR="00DA4AD0" w:rsidRPr="00DA4AD0" w:rsidRDefault="00DA4AD0" w:rsidP="00157BA8">
      <w:pPr>
        <w:numPr>
          <w:ilvl w:val="0"/>
          <w:numId w:val="7"/>
        </w:numPr>
        <w:ind w:left="426" w:hanging="426"/>
        <w:jc w:val="both"/>
        <w:rPr>
          <w:vanish/>
        </w:rPr>
      </w:pPr>
    </w:p>
    <w:p w:rsidR="00DA4AD0" w:rsidRPr="00DA4AD0" w:rsidRDefault="00DA4AD0" w:rsidP="00157BA8">
      <w:pPr>
        <w:numPr>
          <w:ilvl w:val="0"/>
          <w:numId w:val="7"/>
        </w:numPr>
        <w:ind w:left="426" w:hanging="426"/>
        <w:jc w:val="both"/>
        <w:rPr>
          <w:vanish/>
        </w:rPr>
      </w:pPr>
    </w:p>
    <w:p w:rsidR="00DA4AD0" w:rsidRPr="00DA4AD0" w:rsidRDefault="00DA4AD0" w:rsidP="00157BA8">
      <w:pPr>
        <w:numPr>
          <w:ilvl w:val="1"/>
          <w:numId w:val="7"/>
        </w:numPr>
        <w:ind w:left="567" w:hanging="567"/>
        <w:jc w:val="both"/>
      </w:pPr>
      <w:r w:rsidRPr="00DA4AD0">
        <w:t xml:space="preserve">V případě, že poskytovatel bude v prodlení s jakýmkoli termínem plnění uvedeným v této smlouvě a jejích přílohách, je povinen zaplatit objednateli smluvní pokutu ve výši </w:t>
      </w:r>
      <w:r w:rsidR="000B29B9">
        <w:t>10</w:t>
      </w:r>
      <w:r w:rsidR="00584C8B">
        <w:t>.0</w:t>
      </w:r>
      <w:r w:rsidRPr="00DA4AD0">
        <w:t>00,- Kč za každý započatý den prodlení.</w:t>
      </w:r>
      <w:r w:rsidR="00505807">
        <w:t xml:space="preserve"> </w:t>
      </w:r>
    </w:p>
    <w:p w:rsidR="00DA4AD0" w:rsidRPr="00DA4AD0" w:rsidRDefault="00DA4AD0" w:rsidP="00157BA8">
      <w:pPr>
        <w:numPr>
          <w:ilvl w:val="1"/>
          <w:numId w:val="7"/>
        </w:numPr>
        <w:ind w:left="567" w:hanging="567"/>
        <w:jc w:val="both"/>
      </w:pPr>
      <w:r w:rsidRPr="00DA4AD0">
        <w:t xml:space="preserve">V případě, že poskytovatel poruší svojí povinnost podle odst. </w:t>
      </w:r>
      <w:r w:rsidR="003B4BA3">
        <w:t>7.4</w:t>
      </w:r>
      <w:r w:rsidRPr="00DA4AD0">
        <w:t>, čl.</w:t>
      </w:r>
      <w:r w:rsidR="00F06627">
        <w:t xml:space="preserve"> a/nebo čl. XI.</w:t>
      </w:r>
      <w:r w:rsidR="00505807">
        <w:t xml:space="preserve"> </w:t>
      </w:r>
      <w:r w:rsidR="004B695E">
        <w:t>VII</w:t>
      </w:r>
      <w:r w:rsidRPr="00DA4AD0">
        <w:t>. této smlouvy, zavazuje se, že uhradí objednateli smluvní pokutu ve výši</w:t>
      </w:r>
      <w:r w:rsidR="00505807">
        <w:t xml:space="preserve"> </w:t>
      </w:r>
      <w:r w:rsidRPr="00DA4AD0">
        <w:t>50.000,- Kč za každé jednotlivé porušení povinnosti.</w:t>
      </w:r>
    </w:p>
    <w:p w:rsidR="00DA4AD0" w:rsidRDefault="00DA4AD0" w:rsidP="00157BA8">
      <w:pPr>
        <w:numPr>
          <w:ilvl w:val="1"/>
          <w:numId w:val="7"/>
        </w:numPr>
        <w:ind w:left="567" w:hanging="567"/>
        <w:jc w:val="both"/>
      </w:pPr>
      <w:r w:rsidRPr="00DA4AD0">
        <w:t xml:space="preserve">Zaplacením smluvní pokuty není dotčeno právo oprávněné strany na náhradu škody vzniklé v příčinné souvislosti s porušením smluvní povinnosti, za jejíž nedodržení je smluvní pokuta vymáhána a účtována. </w:t>
      </w:r>
    </w:p>
    <w:p w:rsidR="003B4BA3" w:rsidRDefault="003B4BA3" w:rsidP="00157BA8">
      <w:pPr>
        <w:numPr>
          <w:ilvl w:val="1"/>
          <w:numId w:val="7"/>
        </w:numPr>
        <w:ind w:left="567" w:hanging="567"/>
        <w:jc w:val="both"/>
      </w:pPr>
      <w:r>
        <w:t xml:space="preserve">Všechny výše uvedené smluvní pokuty jsou splatné do deseti kalendářních dnů od porušení smluvní povinnosti. Smluvní pokuty lze uložit opakovaně za každý jednotlivý případ porušení </w:t>
      </w:r>
      <w:r w:rsidR="004B695E">
        <w:t>smlouvy</w:t>
      </w:r>
      <w:r>
        <w:t>. Ujednáním o smluvní pokutě není dotčeno právo stran na náhradu škody v plné výši a věřitel je oprávněn domáhat se náhrady škody v plné výši, i když přesahuje výši smluvní pokuty.</w:t>
      </w:r>
    </w:p>
    <w:p w:rsidR="003B4BA3" w:rsidRDefault="003B4BA3" w:rsidP="00157BA8">
      <w:pPr>
        <w:numPr>
          <w:ilvl w:val="1"/>
          <w:numId w:val="7"/>
        </w:numPr>
        <w:ind w:left="567" w:hanging="567"/>
        <w:jc w:val="both"/>
      </w:pPr>
      <w:r>
        <w:t xml:space="preserve">Žádná ze smluvních stran nemá povinnost nahradit škodu způsobenou porušením svých povinností vyplývajících z této smlouvy a není v prodlení, bránila-li jí v jejich splnění některá z překážek vylučujících povinnost k náhradě škody ve smyslu § 2913 odst. 2 občanského zákoníku. </w:t>
      </w:r>
    </w:p>
    <w:p w:rsidR="00DA4AD0" w:rsidRPr="00A531F2" w:rsidRDefault="00DA4AD0" w:rsidP="00157BA8">
      <w:pPr>
        <w:spacing w:before="240" w:after="240"/>
        <w:ind w:left="426" w:hanging="426"/>
        <w:jc w:val="center"/>
        <w:rPr>
          <w:vanish/>
        </w:rPr>
      </w:pPr>
      <w:bookmarkStart w:id="14" w:name="_Toc433768416"/>
      <w:r w:rsidRPr="00505807">
        <w:rPr>
          <w:b/>
          <w:lang w:val="x-none"/>
        </w:rPr>
        <w:t xml:space="preserve">Článek </w:t>
      </w:r>
      <w:r w:rsidRPr="00505807">
        <w:rPr>
          <w:b/>
        </w:rPr>
        <w:t>IX</w:t>
      </w:r>
      <w:r w:rsidRPr="00505807">
        <w:rPr>
          <w:b/>
          <w:lang w:val="x-none"/>
        </w:rPr>
        <w:t>.</w:t>
      </w:r>
      <w:bookmarkEnd w:id="14"/>
      <w:r w:rsidR="00A531F2">
        <w:rPr>
          <w:b/>
        </w:rPr>
        <w:t xml:space="preserve"> </w:t>
      </w:r>
    </w:p>
    <w:p w:rsidR="00F15568" w:rsidRPr="00505807" w:rsidRDefault="00F15568" w:rsidP="00157BA8">
      <w:pPr>
        <w:spacing w:before="240" w:after="240"/>
        <w:ind w:left="426" w:hanging="426"/>
        <w:jc w:val="center"/>
        <w:rPr>
          <w:b/>
        </w:rPr>
      </w:pPr>
      <w:r w:rsidRPr="00505807">
        <w:rPr>
          <w:b/>
        </w:rPr>
        <w:t>Povinnost mlčenlivosti a ochrana informací</w:t>
      </w:r>
    </w:p>
    <w:p w:rsidR="00157BA8" w:rsidRPr="00157BA8" w:rsidRDefault="00157BA8" w:rsidP="00157BA8">
      <w:pPr>
        <w:pStyle w:val="Odstavecseseznamem"/>
        <w:numPr>
          <w:ilvl w:val="0"/>
          <w:numId w:val="7"/>
        </w:numPr>
        <w:ind w:left="426" w:hanging="426"/>
        <w:contextualSpacing w:val="0"/>
        <w:jc w:val="both"/>
        <w:rPr>
          <w:vanish/>
        </w:rPr>
      </w:pPr>
    </w:p>
    <w:p w:rsidR="00F15568" w:rsidRDefault="00F15568" w:rsidP="00157BA8">
      <w:pPr>
        <w:numPr>
          <w:ilvl w:val="1"/>
          <w:numId w:val="7"/>
        </w:numPr>
        <w:ind w:left="567" w:hanging="567"/>
        <w:jc w:val="both"/>
      </w:pPr>
      <w:r>
        <w:t>Poskytovatel</w:t>
      </w:r>
      <w:r w:rsidR="00505807">
        <w:t xml:space="preserve"> </w:t>
      </w:r>
      <w:r>
        <w:t xml:space="preserve">se zavazuje během plnění této smlouvy i po ukončení její účinnosti zachovávat mlčenlivost o všech skutečnostech, které se dozví od objednatele v souvislosti s jejím plněním, a to zejména ohledně veškerých informací, dokumentů nebo materiálů dodaných objednatelem nebo od objednatele přijatých v jakékoli formě, především ohledně obchodního tajemství ve smyslu § 504 občanského zákoníku a důvěrných informací ve smyslu § 1730 občanského zákoníku (dále jen „Důvěrné informace“). Tím není dotčena možnost </w:t>
      </w:r>
      <w:r w:rsidR="00451506">
        <w:t>poskytovatel</w:t>
      </w:r>
      <w:r>
        <w:t>e uvádět činnost podle této smlouvy jako svou referenci ve svých nabídkách v zákonem stanoveném rozsahu, popřípadě rozsahu stanoveném zadavatelem či organizátorem konkrétního zadávacího řízení.</w:t>
      </w:r>
    </w:p>
    <w:p w:rsidR="00F15568" w:rsidRDefault="00F15568" w:rsidP="00157BA8">
      <w:pPr>
        <w:numPr>
          <w:ilvl w:val="1"/>
          <w:numId w:val="7"/>
        </w:numPr>
        <w:ind w:left="567" w:hanging="567"/>
        <w:jc w:val="both"/>
      </w:pPr>
      <w:r>
        <w:t xml:space="preserve">Poskytovatel se zavazuje věnovat Důvěrným informacím stejnou ochranu, péči a pozornost, jakou věnuje svým vlastním důvěrným informacím a zavazuje se, že bez výslovného písemného </w:t>
      </w:r>
      <w:r>
        <w:lastRenderedPageBreak/>
        <w:t>souhlasu objednatele zejména Důvěrné informace nesdělí, neposkytne nebo neumožní získat Důvěrné informace žádné třetí osobě ani subjektu.</w:t>
      </w:r>
    </w:p>
    <w:p w:rsidR="00F15568" w:rsidRDefault="00F15568" w:rsidP="00157BA8">
      <w:pPr>
        <w:numPr>
          <w:ilvl w:val="1"/>
          <w:numId w:val="7"/>
        </w:numPr>
        <w:ind w:left="567" w:hanging="567"/>
        <w:jc w:val="both"/>
      </w:pPr>
      <w:r>
        <w:t xml:space="preserve">Poskytovatel se zavazuje, že pokud v souvislosti s realizací této smlouvy při plnění svých povinností přijdou jeho pověření zaměstnanci do styku s osobními nebo citlivými údaji ve smyslu zákona č. 101/2000 Sb., o ochraně osobních údajů, ve znění pozdějších předpisů, učiní veškerá opatření, aby nedošlo k neoprávněnému nebo nahodilému přístupu k těmto údajům, k jejich změně, zničení či ztrátě, neoprávněným přenosům, k jejich jinému neoprávněnému zpracování, jakož aby i jinak neporušil tento zákon. </w:t>
      </w:r>
      <w:r w:rsidR="00451506">
        <w:t>Poskytovatel</w:t>
      </w:r>
      <w:r>
        <w:t xml:space="preserve"> nese plnou odpovědnost a právní důsledky za případné porušení zákona z jeho strany.</w:t>
      </w:r>
      <w:r w:rsidR="00505807">
        <w:t xml:space="preserve"> </w:t>
      </w:r>
    </w:p>
    <w:p w:rsidR="00F15568" w:rsidRDefault="00451506" w:rsidP="00157BA8">
      <w:pPr>
        <w:numPr>
          <w:ilvl w:val="1"/>
          <w:numId w:val="7"/>
        </w:numPr>
        <w:ind w:left="567" w:hanging="567"/>
        <w:jc w:val="both"/>
      </w:pPr>
      <w:r>
        <w:t>Poskytovatel</w:t>
      </w:r>
      <w:r w:rsidR="00F15568">
        <w:t xml:space="preserve"> se zavazuje uhradit objednateli či třetí straně, kterou porušením povinnosti mlčenlivosti nebo jiné své povinnosti v tomto článku uvedené poškodí, veškeré škody tímto porušením způsobené. Povinnosti </w:t>
      </w:r>
      <w:r>
        <w:t>poskytovatel</w:t>
      </w:r>
      <w:r w:rsidR="00F15568">
        <w:t>e vyplývající z ustanovení příslušných právních předpisů o ochraně utajovaných informací nejsou ustanoveními tohoto článku dotčeny.</w:t>
      </w:r>
      <w:r w:rsidR="00505807">
        <w:t xml:space="preserve"> </w:t>
      </w:r>
    </w:p>
    <w:p w:rsidR="00DA4AD0" w:rsidRPr="00A531F2" w:rsidRDefault="00DA4AD0" w:rsidP="00157BA8">
      <w:pPr>
        <w:spacing w:before="240" w:after="240"/>
        <w:ind w:left="426" w:hanging="426"/>
        <w:jc w:val="center"/>
        <w:rPr>
          <w:vanish/>
        </w:rPr>
      </w:pPr>
      <w:r w:rsidRPr="00505807">
        <w:rPr>
          <w:b/>
          <w:lang w:val="x-none"/>
        </w:rPr>
        <w:t>Článek X</w:t>
      </w:r>
      <w:r w:rsidRPr="00505807">
        <w:rPr>
          <w:b/>
        </w:rPr>
        <w:t>I</w:t>
      </w:r>
      <w:r w:rsidRPr="00505807">
        <w:rPr>
          <w:b/>
          <w:lang w:val="x-none"/>
        </w:rPr>
        <w:t>.</w:t>
      </w:r>
      <w:r w:rsidR="00A531F2">
        <w:rPr>
          <w:b/>
        </w:rPr>
        <w:t xml:space="preserve"> </w:t>
      </w:r>
    </w:p>
    <w:p w:rsidR="00DA4AD0" w:rsidRPr="00505807" w:rsidRDefault="00DA4AD0" w:rsidP="00157BA8">
      <w:pPr>
        <w:numPr>
          <w:ilvl w:val="0"/>
          <w:numId w:val="10"/>
        </w:numPr>
        <w:spacing w:before="240" w:after="240"/>
        <w:ind w:left="426" w:hanging="426"/>
        <w:jc w:val="center"/>
        <w:rPr>
          <w:vanish/>
        </w:rPr>
      </w:pPr>
    </w:p>
    <w:p w:rsidR="00F15568" w:rsidRPr="00505807" w:rsidRDefault="00F15568" w:rsidP="00157BA8">
      <w:pPr>
        <w:spacing w:before="240" w:after="240"/>
        <w:ind w:left="426" w:hanging="426"/>
        <w:jc w:val="center"/>
        <w:rPr>
          <w:b/>
        </w:rPr>
      </w:pPr>
      <w:r w:rsidRPr="00505807">
        <w:rPr>
          <w:b/>
        </w:rPr>
        <w:t>Ukončení smluvního vztahu</w:t>
      </w:r>
    </w:p>
    <w:p w:rsidR="00F15568" w:rsidRDefault="00F15568" w:rsidP="00157BA8">
      <w:pPr>
        <w:numPr>
          <w:ilvl w:val="1"/>
          <w:numId w:val="10"/>
        </w:numPr>
        <w:ind w:left="567" w:hanging="567"/>
        <w:jc w:val="both"/>
      </w:pPr>
      <w:r>
        <w:t>Smluvní strany mohou ukončit tuto smlouvu písemnou dohodou, jejíž součástí bude rovněž finanční vyrovnání dosud provedených prací</w:t>
      </w:r>
      <w:r w:rsidR="0077644F">
        <w:t>, výpovědí</w:t>
      </w:r>
      <w:r>
        <w:t xml:space="preserve"> anebo odstoupením od smlouvy.</w:t>
      </w:r>
    </w:p>
    <w:p w:rsidR="00F15568" w:rsidRDefault="00F15568" w:rsidP="00157BA8">
      <w:pPr>
        <w:numPr>
          <w:ilvl w:val="1"/>
          <w:numId w:val="10"/>
        </w:numPr>
        <w:ind w:left="567" w:hanging="567"/>
        <w:jc w:val="both"/>
      </w:pPr>
      <w:r>
        <w:t>Tuto smlouvu lze zcela nebo zčásti předčasně ukončit:</w:t>
      </w:r>
    </w:p>
    <w:p w:rsidR="00FC06F1" w:rsidRDefault="00F15568" w:rsidP="00157BA8">
      <w:pPr>
        <w:pStyle w:val="Odstavecseseznamem"/>
        <w:numPr>
          <w:ilvl w:val="0"/>
          <w:numId w:val="12"/>
        </w:numPr>
        <w:ind w:left="1276" w:hanging="567"/>
        <w:jc w:val="both"/>
      </w:pPr>
      <w:r>
        <w:t>dohodou smluvních stran,</w:t>
      </w:r>
    </w:p>
    <w:p w:rsidR="000B29B9" w:rsidRDefault="00F15568" w:rsidP="00157BA8">
      <w:pPr>
        <w:pStyle w:val="Odstavecseseznamem"/>
        <w:numPr>
          <w:ilvl w:val="0"/>
          <w:numId w:val="12"/>
        </w:numPr>
        <w:ind w:left="1276" w:hanging="567"/>
        <w:jc w:val="both"/>
      </w:pPr>
      <w:r>
        <w:t xml:space="preserve">odstoupením od smlouvy v případech stanovených zákonem nebo touto </w:t>
      </w:r>
      <w:r>
        <w:tab/>
        <w:t>smlouvou</w:t>
      </w:r>
    </w:p>
    <w:p w:rsidR="00F15568" w:rsidRDefault="000B29B9" w:rsidP="00157BA8">
      <w:pPr>
        <w:pStyle w:val="Odstavecseseznamem"/>
        <w:numPr>
          <w:ilvl w:val="0"/>
          <w:numId w:val="12"/>
        </w:numPr>
        <w:ind w:left="1276" w:hanging="567"/>
        <w:jc w:val="both"/>
      </w:pPr>
      <w:r>
        <w:t>výpovědí</w:t>
      </w:r>
      <w:r w:rsidR="00F15568">
        <w:t>.</w:t>
      </w:r>
    </w:p>
    <w:p w:rsidR="00F15568" w:rsidRDefault="00F15568" w:rsidP="00157BA8">
      <w:pPr>
        <w:numPr>
          <w:ilvl w:val="1"/>
          <w:numId w:val="10"/>
        </w:numPr>
        <w:ind w:left="567" w:hanging="567"/>
        <w:jc w:val="both"/>
      </w:pPr>
      <w:r>
        <w:t>Objednatel je oprávněn odstoupit od této smlouvy bez jakýchkoliv sankcí v</w:t>
      </w:r>
      <w:r w:rsidR="00FC06F1">
        <w:t xml:space="preserve"> </w:t>
      </w:r>
      <w:r>
        <w:t xml:space="preserve">případě podstatného porušení této smlouvy </w:t>
      </w:r>
      <w:r w:rsidR="00451506">
        <w:t>poskytovatel</w:t>
      </w:r>
      <w:r>
        <w:t>em v případě:</w:t>
      </w:r>
    </w:p>
    <w:p w:rsidR="00F15568" w:rsidRDefault="00F15568" w:rsidP="00157BA8">
      <w:pPr>
        <w:pStyle w:val="Odstavecseseznamem"/>
        <w:numPr>
          <w:ilvl w:val="0"/>
          <w:numId w:val="11"/>
        </w:numPr>
        <w:ind w:left="1418" w:hanging="567"/>
        <w:jc w:val="both"/>
      </w:pPr>
      <w:r>
        <w:t xml:space="preserve">prodlení s řádným plněním předmětu této smlouvy díla, po dobu delší než </w:t>
      </w:r>
      <w:r w:rsidR="008702A5">
        <w:t>5</w:t>
      </w:r>
      <w:r>
        <w:t xml:space="preserve"> dnů, od doby uvedené v dílčí objednávce</w:t>
      </w:r>
    </w:p>
    <w:p w:rsidR="00F15568" w:rsidRDefault="00F15568" w:rsidP="00157BA8">
      <w:pPr>
        <w:pStyle w:val="Odstavecseseznamem"/>
        <w:numPr>
          <w:ilvl w:val="0"/>
          <w:numId w:val="11"/>
        </w:numPr>
        <w:ind w:left="1418" w:hanging="567"/>
        <w:jc w:val="both"/>
      </w:pPr>
      <w:r>
        <w:t>porušení smluvní povinnosti dle této smlouvy, které nebude odstraněno ani v dodatečné</w:t>
      </w:r>
      <w:r w:rsidR="00505807">
        <w:t xml:space="preserve"> </w:t>
      </w:r>
      <w:r>
        <w:t xml:space="preserve">lhůtě </w:t>
      </w:r>
      <w:r w:rsidR="008702A5">
        <w:t>3</w:t>
      </w:r>
      <w:r>
        <w:t xml:space="preserve"> dnů</w:t>
      </w:r>
      <w:r w:rsidR="00505807">
        <w:t xml:space="preserve"> </w:t>
      </w:r>
      <w:r w:rsidR="00FC06F1">
        <w:t xml:space="preserve">na </w:t>
      </w:r>
      <w:r>
        <w:t xml:space="preserve">majetku </w:t>
      </w:r>
      <w:r w:rsidR="00451506">
        <w:t>poskytovatel</w:t>
      </w:r>
      <w:r>
        <w:t>e probíhá insolvenční řízení, v němž bylo vydáno rozhodnutí o úpadku.</w:t>
      </w:r>
    </w:p>
    <w:p w:rsidR="00F15568" w:rsidRDefault="00451506" w:rsidP="00157BA8">
      <w:pPr>
        <w:pStyle w:val="Odstavecseseznamem"/>
        <w:numPr>
          <w:ilvl w:val="0"/>
          <w:numId w:val="11"/>
        </w:numPr>
        <w:ind w:left="1418" w:hanging="567"/>
        <w:jc w:val="both"/>
      </w:pPr>
      <w:r>
        <w:t>poskytovatel</w:t>
      </w:r>
      <w:r w:rsidR="00F15568">
        <w:t xml:space="preserve"> uvedl v rámci zadávacího řízení nepravdivé či zkreslené informace, které by měly zřejmý vliv na výběr </w:t>
      </w:r>
      <w:r>
        <w:t>poskytovatel</w:t>
      </w:r>
      <w:r w:rsidR="00F15568">
        <w:t>e pro uzavření smlouvy.</w:t>
      </w:r>
    </w:p>
    <w:p w:rsidR="00F15568" w:rsidRDefault="00F15568" w:rsidP="00157BA8">
      <w:pPr>
        <w:numPr>
          <w:ilvl w:val="1"/>
          <w:numId w:val="10"/>
        </w:numPr>
        <w:ind w:left="567" w:hanging="567"/>
        <w:jc w:val="both"/>
      </w:pPr>
      <w:r>
        <w:t>Objednatel</w:t>
      </w:r>
      <w:r w:rsidR="00505807">
        <w:t xml:space="preserve"> </w:t>
      </w:r>
      <w:r>
        <w:t>je oprávněn odstoupit od smlouvy odstoupit bez jakýchkoli sankcí, pokud nebude schválena částka ze státního rozpočtu následujícího roku, která je potřebná k úhradě za plnění poskytované podle této smlouvy v následujícím roce. Objednatel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  <w:r w:rsidR="00505807">
        <w:t xml:space="preserve"> </w:t>
      </w:r>
    </w:p>
    <w:p w:rsidR="00F15568" w:rsidRDefault="00F15568" w:rsidP="00157BA8">
      <w:pPr>
        <w:numPr>
          <w:ilvl w:val="1"/>
          <w:numId w:val="10"/>
        </w:numPr>
        <w:ind w:left="567" w:hanging="567"/>
        <w:jc w:val="both"/>
      </w:pPr>
      <w:r>
        <w:t>Pokud odstoupí od této smlouvy některá ze smluvních stran z důvodů uvedených v tomto článku, smluvní strany sepíší p</w:t>
      </w:r>
      <w:r w:rsidR="00FC06F1">
        <w:t>rotokol o stavu prováděného předmětu této smlouvy</w:t>
      </w:r>
      <w:r>
        <w:t xml:space="preserve"> ke dni odstoupení od této smlouvy. Protokol musí obsahovat zejména soupis veškerých </w:t>
      </w:r>
      <w:r>
        <w:lastRenderedPageBreak/>
        <w:t>uskutečněných prací a dodávek ke dni odstoupení od této smlouvy. Závěrem protokolu smluvní strany uvedou finanční hodnotu dosud provedeného díla.</w:t>
      </w:r>
    </w:p>
    <w:p w:rsidR="00F15568" w:rsidRDefault="00F15568" w:rsidP="00157BA8">
      <w:pPr>
        <w:numPr>
          <w:ilvl w:val="1"/>
          <w:numId w:val="10"/>
        </w:numPr>
        <w:ind w:left="567" w:hanging="567"/>
        <w:jc w:val="both"/>
      </w:pPr>
      <w: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:rsidR="00F15568" w:rsidRDefault="00505807" w:rsidP="00157BA8">
      <w:pPr>
        <w:numPr>
          <w:ilvl w:val="1"/>
          <w:numId w:val="10"/>
        </w:numPr>
        <w:ind w:left="567" w:hanging="567"/>
        <w:jc w:val="both"/>
      </w:pPr>
      <w:r>
        <w:t xml:space="preserve"> </w:t>
      </w:r>
      <w:r w:rsidR="00F15568">
        <w:t>V případě odstoup</w:t>
      </w:r>
      <w:r w:rsidR="00FC06F1">
        <w:t>ení od této smlouvy se poskytovate</w:t>
      </w:r>
      <w:r w:rsidR="00F15568">
        <w:t>l zavazuje na žádost objednatele vrátit podklady, příp. i poskytnout nebo dát k dispozici všechny d</w:t>
      </w:r>
      <w:r w:rsidR="00FC06F1">
        <w:t>oklady spjaté s vyhotovením předmětu této smlouvy</w:t>
      </w:r>
      <w:r w:rsidR="00F15568">
        <w:t>.</w:t>
      </w:r>
    </w:p>
    <w:p w:rsidR="00F15568" w:rsidRDefault="00F15568" w:rsidP="00157BA8">
      <w:pPr>
        <w:numPr>
          <w:ilvl w:val="1"/>
          <w:numId w:val="10"/>
        </w:numPr>
        <w:ind w:left="567" w:hanging="567"/>
        <w:jc w:val="both"/>
      </w:pPr>
      <w:r>
        <w:t>Odstoupením od této smlouvy nejsou dotčena práva smluvních stran na úhradu splatné smluvní pokuty a případnou náhradu škody.</w:t>
      </w:r>
    </w:p>
    <w:p w:rsidR="00F15568" w:rsidRDefault="00F15568" w:rsidP="00157BA8">
      <w:pPr>
        <w:numPr>
          <w:ilvl w:val="1"/>
          <w:numId w:val="10"/>
        </w:numPr>
        <w:ind w:left="567" w:hanging="567"/>
        <w:jc w:val="both"/>
      </w:pPr>
      <w:r>
        <w:t xml:space="preserve">Do doby vyčíslení oprávněných nároků smluvních stran a do doby dohody o vzájemném vyrovnání těchto nároků, je objednatel oprávněn zadržet veškeré fakturované a splatné platby dodavateli. </w:t>
      </w:r>
    </w:p>
    <w:p w:rsidR="00F15568" w:rsidRDefault="00F15568" w:rsidP="00157BA8">
      <w:pPr>
        <w:numPr>
          <w:ilvl w:val="1"/>
          <w:numId w:val="10"/>
        </w:numPr>
        <w:ind w:left="567" w:hanging="567"/>
        <w:jc w:val="both"/>
      </w:pPr>
      <w:r>
        <w:t xml:space="preserve">Objednavatel je rovněž oprávněn tuto smlouvu ukončit písemnou výpovědí doručenou dodavateli i bez udání důvodu, přičemž výpovědní lhůta činí </w:t>
      </w:r>
      <w:r w:rsidR="0077644F">
        <w:t xml:space="preserve">2 </w:t>
      </w:r>
      <w:r>
        <w:t>měsíc</w:t>
      </w:r>
      <w:r w:rsidR="0077644F">
        <w:t>e</w:t>
      </w:r>
      <w:r>
        <w:t xml:space="preserve"> a začíná běžet prvním dnem ode dne kalendářního měsíce následujícího po měsíci, v němž byla výpověď doručena druhé straně.</w:t>
      </w:r>
    </w:p>
    <w:p w:rsidR="00F15568" w:rsidRPr="00505807" w:rsidRDefault="00FC06F1" w:rsidP="00157BA8">
      <w:pPr>
        <w:spacing w:before="240" w:after="240"/>
        <w:ind w:left="426" w:hanging="426"/>
        <w:jc w:val="center"/>
      </w:pPr>
      <w:r w:rsidRPr="00505807">
        <w:rPr>
          <w:b/>
        </w:rPr>
        <w:t>Článek XII.</w:t>
      </w:r>
      <w:r w:rsidR="00505807" w:rsidRPr="00505807">
        <w:rPr>
          <w:b/>
        </w:rPr>
        <w:t xml:space="preserve"> </w:t>
      </w:r>
      <w:r w:rsidRPr="00505807">
        <w:rPr>
          <w:b/>
          <w:bCs/>
        </w:rPr>
        <w:t>Závěrečná ustanovení</w:t>
      </w:r>
    </w:p>
    <w:p w:rsidR="00157BA8" w:rsidRPr="00157BA8" w:rsidRDefault="00157BA8" w:rsidP="00157BA8">
      <w:pPr>
        <w:pStyle w:val="Odstavecseseznamem"/>
        <w:numPr>
          <w:ilvl w:val="0"/>
          <w:numId w:val="10"/>
        </w:numPr>
        <w:contextualSpacing w:val="0"/>
        <w:jc w:val="both"/>
        <w:rPr>
          <w:vanish/>
        </w:rPr>
      </w:pPr>
    </w:p>
    <w:p w:rsidR="000B29B9" w:rsidRDefault="000B29B9" w:rsidP="00157BA8">
      <w:pPr>
        <w:numPr>
          <w:ilvl w:val="1"/>
          <w:numId w:val="10"/>
        </w:numPr>
        <w:ind w:left="567" w:hanging="567"/>
        <w:jc w:val="both"/>
      </w:pPr>
      <w:r>
        <w:t>Poskytovatel prohlašuje, že v době podepsání smlouvy je mu znám technický stav servisovaných věcí.</w:t>
      </w:r>
    </w:p>
    <w:p w:rsidR="00157BA8" w:rsidRDefault="00FC06F1" w:rsidP="00157BA8">
      <w:pPr>
        <w:numPr>
          <w:ilvl w:val="1"/>
          <w:numId w:val="10"/>
        </w:numPr>
        <w:ind w:left="567" w:hanging="567"/>
        <w:jc w:val="both"/>
      </w:pPr>
      <w:r>
        <w:t>Smlouva je vyhotovena ve třech (3) exemplářích s platností originálu, objednatel obdrží dva (2) výtisky a dodavatel obdrží jeden (1) výtisk.</w:t>
      </w:r>
    </w:p>
    <w:p w:rsidR="00157BA8" w:rsidRDefault="00FC06F1" w:rsidP="00157BA8">
      <w:pPr>
        <w:numPr>
          <w:ilvl w:val="1"/>
          <w:numId w:val="10"/>
        </w:numPr>
        <w:ind w:left="567" w:hanging="567"/>
        <w:jc w:val="both"/>
      </w:pPr>
      <w:r>
        <w:t>Tato smlouva může být měněna pouze písemnými dodatky podepsanými oběma smluvními stranami.</w:t>
      </w:r>
    </w:p>
    <w:p w:rsidR="00157BA8" w:rsidRDefault="00451506" w:rsidP="00157BA8">
      <w:pPr>
        <w:numPr>
          <w:ilvl w:val="1"/>
          <w:numId w:val="10"/>
        </w:numPr>
        <w:ind w:left="567" w:hanging="567"/>
        <w:jc w:val="both"/>
      </w:pPr>
      <w:r>
        <w:t>Poskytovatel</w:t>
      </w:r>
      <w:r w:rsidR="00FC06F1">
        <w:t xml:space="preserve"> tímto prohlašuje, že je držitelem veškerých povolení a oprávnění umožňujícímu uskutečnit dílo dle této smlouvy.</w:t>
      </w:r>
    </w:p>
    <w:p w:rsidR="00157BA8" w:rsidRDefault="006F1ECD" w:rsidP="00157BA8">
      <w:pPr>
        <w:numPr>
          <w:ilvl w:val="1"/>
          <w:numId w:val="10"/>
        </w:numPr>
        <w:ind w:left="567" w:hanging="567"/>
        <w:jc w:val="both"/>
      </w:pPr>
      <w:r>
        <w:t>Poskytovate</w:t>
      </w:r>
      <w:r w:rsidR="00FC06F1">
        <w:t>l tímto prohlašuje, že v době uzavření této smlouvy není v likvidaci a není vůči němu vedeno řízení dle zákona č. 182/2006 Sb., o úpadku a způsobech jeho řešení, ve znění pozdějších předpisů a zavazuje se objednatele bezodkladně informovat o všech skutečnostech o hrozícím úpadku, příp. o prohlášení úpadku jeho společnosti.</w:t>
      </w:r>
    </w:p>
    <w:p w:rsidR="00157BA8" w:rsidRDefault="00FC06F1" w:rsidP="00157BA8">
      <w:pPr>
        <w:numPr>
          <w:ilvl w:val="1"/>
          <w:numId w:val="10"/>
        </w:numPr>
        <w:ind w:left="567" w:hanging="567"/>
        <w:jc w:val="both"/>
      </w:pPr>
      <w: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:rsidR="00157BA8" w:rsidRDefault="00FC06F1" w:rsidP="00157BA8">
      <w:pPr>
        <w:numPr>
          <w:ilvl w:val="1"/>
          <w:numId w:val="10"/>
        </w:numPr>
        <w:ind w:left="567" w:hanging="567"/>
        <w:jc w:val="both"/>
      </w:pPr>
      <w:r>
        <w:lastRenderedPageBreak/>
        <w:t xml:space="preserve">Vlastnické právo k realizovanému dílu přechází z </w:t>
      </w:r>
      <w:r w:rsidR="00451506">
        <w:t>poskytovatel</w:t>
      </w:r>
      <w:r>
        <w:t xml:space="preserve">e na objednatele okamžikem protokolárního předání díla objednateli. </w:t>
      </w:r>
    </w:p>
    <w:p w:rsidR="00157BA8" w:rsidRDefault="00FC06F1" w:rsidP="00157BA8">
      <w:pPr>
        <w:numPr>
          <w:ilvl w:val="1"/>
          <w:numId w:val="10"/>
        </w:numPr>
        <w:ind w:left="567" w:hanging="567"/>
        <w:jc w:val="both"/>
      </w:pPr>
      <w: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:rsidR="00157BA8" w:rsidRDefault="00FC06F1" w:rsidP="00157BA8">
      <w:pPr>
        <w:numPr>
          <w:ilvl w:val="1"/>
          <w:numId w:val="10"/>
        </w:numPr>
        <w:ind w:left="567" w:hanging="567"/>
        <w:jc w:val="both"/>
      </w:pPr>
      <w:r>
        <w:t>Tato smlouva nabývá platnosti a účinnosti dnem jejího podpisu oběma smluvními stranami.</w:t>
      </w:r>
    </w:p>
    <w:p w:rsidR="00157BA8" w:rsidRDefault="00FC06F1" w:rsidP="00157BA8">
      <w:pPr>
        <w:numPr>
          <w:ilvl w:val="1"/>
          <w:numId w:val="10"/>
        </w:numPr>
        <w:ind w:left="567" w:hanging="567"/>
        <w:jc w:val="both"/>
      </w:pPr>
      <w:r>
        <w:t>Není-li ve smlouvě stanoveno jinak, řídí se všechny vztahy mezi smluvními stranami příslušnými ustanoveními občanského zákoníku a předpisy s ním souvisejícími.</w:t>
      </w:r>
    </w:p>
    <w:p w:rsidR="00157BA8" w:rsidRDefault="00FC06F1" w:rsidP="00157BA8">
      <w:pPr>
        <w:numPr>
          <w:ilvl w:val="1"/>
          <w:numId w:val="10"/>
        </w:numPr>
        <w:ind w:left="567" w:hanging="567"/>
        <w:jc w:val="both"/>
      </w:pPr>
      <w:r>
        <w:t>Smluvní strany se zavazují vyvinout maximální úsilí k řešení případných sporů vyplývajících z této smlouvy nejdříve smírčí cestou. Nedosáhnou-li strany smíru, má každá ze smluvních stran právo předložit všechny s</w:t>
      </w:r>
      <w:r w:rsidR="006F1ECD">
        <w:t xml:space="preserve">pory vznikající z této smlouvy </w:t>
      </w:r>
      <w:r>
        <w:t>a v souvislosti s ní věcně a místně příslušnému soudu.</w:t>
      </w:r>
    </w:p>
    <w:p w:rsidR="00FC06F1" w:rsidRDefault="00FC06F1" w:rsidP="00157BA8">
      <w:pPr>
        <w:numPr>
          <w:ilvl w:val="1"/>
          <w:numId w:val="10"/>
        </w:numPr>
        <w:ind w:left="567" w:hanging="567"/>
        <w:jc w:val="both"/>
      </w:pPr>
      <w:r>
        <w:t>Smluvní strany prohlašují, že ujednání obsažená v této smlouvě jsou výrazem jejich pravé a svobodné vůle a na důkaz toho připojují níže své podpisy.</w:t>
      </w:r>
    </w:p>
    <w:p w:rsidR="00DA4AD0" w:rsidRPr="00DA4AD0" w:rsidRDefault="00DA4AD0" w:rsidP="00157BA8">
      <w:pPr>
        <w:ind w:left="426" w:hanging="426"/>
        <w:jc w:val="both"/>
      </w:pPr>
    </w:p>
    <w:p w:rsidR="00DA4AD0" w:rsidRPr="00DA4AD0" w:rsidRDefault="00DA4AD0" w:rsidP="00157BA8">
      <w:pPr>
        <w:ind w:left="426" w:hanging="426"/>
        <w:jc w:val="both"/>
      </w:pPr>
      <w:r w:rsidRPr="00DA4AD0">
        <w:t xml:space="preserve">V Praze dne </w:t>
      </w:r>
      <w:r w:rsidR="00E45F1E">
        <w:rPr>
          <w:rFonts w:ascii="Times New Roman" w:hAnsi="Times New Roman" w:cs="Times New Roman"/>
        </w:rPr>
        <w:t>…………….</w:t>
      </w:r>
      <w:r w:rsidRPr="00DA4AD0">
        <w:tab/>
      </w:r>
      <w:r w:rsidR="00E45F1E">
        <w:tab/>
      </w:r>
      <w:r w:rsidR="00E45F1E">
        <w:tab/>
      </w:r>
      <w:r w:rsidR="00E45F1E">
        <w:tab/>
      </w:r>
      <w:r w:rsidRPr="00DA4AD0">
        <w:t>V</w:t>
      </w:r>
      <w:r w:rsidR="00E45F1E">
        <w:rPr>
          <w:rFonts w:ascii="Times New Roman" w:hAnsi="Times New Roman" w:cs="Times New Roman"/>
        </w:rPr>
        <w:t>………</w:t>
      </w:r>
      <w:proofErr w:type="gramStart"/>
      <w:r w:rsidR="00E45F1E">
        <w:rPr>
          <w:rFonts w:ascii="Times New Roman" w:hAnsi="Times New Roman" w:cs="Times New Roman"/>
        </w:rPr>
        <w:t>…</w:t>
      </w:r>
      <w:r w:rsidR="00A6169E">
        <w:rPr>
          <w:rFonts w:ascii="Times New Roman" w:hAnsi="Times New Roman" w:cs="Times New Roman"/>
        </w:rPr>
        <w:t>..</w:t>
      </w:r>
      <w:r w:rsidR="00E45F1E">
        <w:rPr>
          <w:rFonts w:ascii="Times New Roman" w:hAnsi="Times New Roman" w:cs="Times New Roman"/>
        </w:rPr>
        <w:t xml:space="preserve"> </w:t>
      </w:r>
      <w:r w:rsidRPr="00DA4AD0">
        <w:t>dne</w:t>
      </w:r>
      <w:proofErr w:type="gramEnd"/>
      <w:r w:rsidRPr="00DA4AD0">
        <w:t xml:space="preserve"> </w:t>
      </w:r>
      <w:r w:rsidR="00E45F1E">
        <w:rPr>
          <w:rFonts w:ascii="Times New Roman" w:hAnsi="Times New Roman" w:cs="Times New Roman"/>
        </w:rPr>
        <w:t>…………….</w:t>
      </w:r>
      <w:r w:rsidR="00E45F1E" w:rsidRPr="00DA4AD0">
        <w:tab/>
      </w:r>
    </w:p>
    <w:p w:rsidR="00DA4AD0" w:rsidRDefault="00DA4AD0" w:rsidP="00A6169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A6169E" w:rsidRDefault="00A6169E" w:rsidP="00A6169E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DA4AD0" w:rsidRPr="00DA4AD0" w:rsidRDefault="00E45F1E" w:rsidP="00157BA8">
      <w:pPr>
        <w:ind w:left="426" w:hanging="426"/>
        <w:jc w:val="both"/>
      </w:pPr>
      <w:r>
        <w:rPr>
          <w:rFonts w:ascii="Times New Roman" w:hAnsi="Times New Roman" w:cs="Times New Roman"/>
        </w:rPr>
        <w:t>………………………….</w:t>
      </w:r>
      <w:r w:rsidR="00A54CEE">
        <w:rPr>
          <w:rFonts w:ascii="Times New Roman" w:hAnsi="Times New Roman" w:cs="Times New Roman"/>
        </w:rPr>
        <w:t>.</w:t>
      </w:r>
      <w:r w:rsidR="00DA4AD0" w:rsidRPr="00DA4AD0">
        <w:tab/>
      </w:r>
      <w:r w:rsidR="00DA4AD0" w:rsidRPr="00DA4AD0">
        <w:tab/>
      </w:r>
      <w:r w:rsidR="006A7B80">
        <w:tab/>
      </w:r>
      <w:r w:rsidR="00DA4AD0" w:rsidRPr="00DA4AD0">
        <w:tab/>
      </w:r>
      <w:r>
        <w:rPr>
          <w:rFonts w:ascii="Times New Roman" w:hAnsi="Times New Roman" w:cs="Times New Roman"/>
        </w:rPr>
        <w:t>……………………………….</w:t>
      </w:r>
      <w:r w:rsidRPr="00DA4AD0">
        <w:tab/>
      </w:r>
    </w:p>
    <w:p w:rsidR="00DA4AD0" w:rsidRDefault="006E5682" w:rsidP="00E954A6">
      <w:pPr>
        <w:spacing w:after="0" w:line="240" w:lineRule="auto"/>
        <w:ind w:left="425" w:hanging="425"/>
        <w:jc w:val="both"/>
      </w:pPr>
      <w:r>
        <w:t>Státní pozemkový úřad</w:t>
      </w:r>
      <w:r w:rsidR="00E954A6">
        <w:tab/>
      </w:r>
      <w:r w:rsidR="00E954A6">
        <w:tab/>
      </w:r>
      <w:r w:rsidR="006A7B80">
        <w:tab/>
        <w:t xml:space="preserve">        </w:t>
      </w:r>
      <w:r w:rsidR="00E954A6">
        <w:tab/>
      </w:r>
      <w:r w:rsidR="00E954A6">
        <w:tab/>
      </w:r>
      <w:proofErr w:type="spellStart"/>
      <w:r w:rsidR="00857037">
        <w:t>CompuNet</w:t>
      </w:r>
      <w:proofErr w:type="spellEnd"/>
      <w:r w:rsidR="00857037">
        <w:t>, s.r.o.</w:t>
      </w:r>
    </w:p>
    <w:p w:rsidR="006E5682" w:rsidRDefault="006E5682" w:rsidP="00E954A6">
      <w:pPr>
        <w:spacing w:after="0" w:line="240" w:lineRule="auto"/>
        <w:ind w:left="425" w:hanging="425"/>
        <w:jc w:val="both"/>
      </w:pPr>
      <w:r>
        <w:t>David Mrkvička</w:t>
      </w:r>
      <w:r w:rsidR="00857037">
        <w:tab/>
      </w:r>
      <w:r w:rsidR="00857037">
        <w:tab/>
      </w:r>
      <w:r w:rsidR="00857037">
        <w:tab/>
      </w:r>
      <w:r w:rsidR="00857037">
        <w:tab/>
      </w:r>
      <w:r w:rsidR="00857037">
        <w:tab/>
      </w:r>
      <w:r w:rsidR="00857037">
        <w:tab/>
        <w:t>Ing. Pavel Pikhart</w:t>
      </w:r>
    </w:p>
    <w:p w:rsidR="006E5682" w:rsidRDefault="006E5682" w:rsidP="00E954A6">
      <w:pPr>
        <w:spacing w:after="0" w:line="240" w:lineRule="auto"/>
        <w:ind w:left="425" w:hanging="425"/>
        <w:jc w:val="both"/>
      </w:pPr>
      <w:r>
        <w:t>zástupce ředitele Odboru ICT</w:t>
      </w:r>
      <w:r w:rsidR="00857037">
        <w:tab/>
      </w:r>
      <w:r w:rsidR="00857037">
        <w:tab/>
      </w:r>
      <w:r w:rsidR="00857037">
        <w:tab/>
      </w:r>
      <w:r w:rsidR="00857037">
        <w:tab/>
        <w:t>jednatel</w:t>
      </w:r>
    </w:p>
    <w:p w:rsidR="002A00B4" w:rsidRDefault="002A00B4" w:rsidP="00157BA8">
      <w:pPr>
        <w:ind w:left="426" w:hanging="426"/>
        <w:jc w:val="both"/>
      </w:pPr>
    </w:p>
    <w:p w:rsidR="006E5682" w:rsidRDefault="006E5682">
      <w:r>
        <w:br w:type="page"/>
      </w:r>
    </w:p>
    <w:p w:rsidR="002A00B4" w:rsidRPr="00FF343C" w:rsidRDefault="002A00B4" w:rsidP="00157BA8">
      <w:pPr>
        <w:ind w:left="426" w:hanging="426"/>
        <w:jc w:val="both"/>
        <w:rPr>
          <w:b/>
          <w:sz w:val="24"/>
        </w:rPr>
      </w:pPr>
      <w:r w:rsidRPr="00FF343C">
        <w:rPr>
          <w:b/>
          <w:sz w:val="24"/>
        </w:rPr>
        <w:lastRenderedPageBreak/>
        <w:t>Příloha č.</w:t>
      </w:r>
      <w:r w:rsidR="00C50577" w:rsidRPr="00FF343C">
        <w:rPr>
          <w:b/>
          <w:sz w:val="24"/>
        </w:rPr>
        <w:t xml:space="preserve"> 1</w:t>
      </w:r>
      <w:r w:rsidR="00FF343C">
        <w:rPr>
          <w:b/>
          <w:sz w:val="24"/>
        </w:rPr>
        <w:t xml:space="preserve"> – Specifikace předmětu koupě</w:t>
      </w:r>
    </w:p>
    <w:p w:rsidR="002A00B4" w:rsidRDefault="00161911" w:rsidP="00157BA8">
      <w:pPr>
        <w:ind w:left="426" w:hanging="426"/>
        <w:jc w:val="both"/>
        <w:rPr>
          <w:b/>
          <w:bCs/>
          <w:color w:val="000000"/>
        </w:rPr>
      </w:pPr>
      <w:r w:rsidRPr="00BC77E9">
        <w:rPr>
          <w:b/>
          <w:bCs/>
          <w:color w:val="000000"/>
        </w:rPr>
        <w:t xml:space="preserve">Podpora pro zařízení </w:t>
      </w:r>
      <w:proofErr w:type="spellStart"/>
      <w:r w:rsidRPr="00BC77E9">
        <w:rPr>
          <w:b/>
          <w:bCs/>
          <w:color w:val="000000"/>
        </w:rPr>
        <w:t>TippingPoint</w:t>
      </w:r>
      <w:proofErr w:type="spellEnd"/>
      <w:r w:rsidRPr="00BC77E9">
        <w:rPr>
          <w:b/>
          <w:bCs/>
          <w:color w:val="000000"/>
        </w:rPr>
        <w:t xml:space="preserve"> S 330  (</w:t>
      </w:r>
      <w:proofErr w:type="spellStart"/>
      <w:r w:rsidRPr="00BC77E9">
        <w:rPr>
          <w:b/>
          <w:bCs/>
          <w:color w:val="000000"/>
        </w:rPr>
        <w:t>sn</w:t>
      </w:r>
      <w:proofErr w:type="spellEnd"/>
      <w:r w:rsidRPr="00BC77E9">
        <w:rPr>
          <w:b/>
          <w:bCs/>
          <w:color w:val="000000"/>
        </w:rPr>
        <w:t>.</w:t>
      </w:r>
      <w:r w:rsidRPr="00BC77E9">
        <w:t xml:space="preserve"> </w:t>
      </w:r>
      <w:r w:rsidRPr="00BC77E9">
        <w:rPr>
          <w:b/>
          <w:bCs/>
        </w:rPr>
        <w:t>TW25BK603G, TW24BK6004</w:t>
      </w:r>
      <w:r w:rsidRPr="00BC77E9">
        <w:rPr>
          <w:b/>
          <w:bCs/>
          <w:color w:val="000000"/>
        </w:rPr>
        <w:t xml:space="preserve"> )</w:t>
      </w:r>
    </w:p>
    <w:p w:rsidR="00BC77E9" w:rsidRPr="00BC77E9" w:rsidRDefault="003904E4" w:rsidP="00BC77E9">
      <w:pPr>
        <w:ind w:left="426" w:hanging="426"/>
        <w:jc w:val="both"/>
      </w:pPr>
      <w:r w:rsidDel="003904E4">
        <w:rPr>
          <w:b/>
          <w:bCs/>
          <w:color w:val="000000"/>
        </w:rPr>
        <w:t xml:space="preserve"> </w:t>
      </w:r>
      <w:r w:rsidR="00BC77E9" w:rsidRPr="00BC77E9">
        <w:t xml:space="preserve">(2xHP 1yr </w:t>
      </w:r>
      <w:proofErr w:type="spellStart"/>
      <w:r w:rsidR="00BC77E9" w:rsidRPr="00BC77E9">
        <w:t>TippingPoint</w:t>
      </w:r>
      <w:proofErr w:type="spellEnd"/>
      <w:r w:rsidR="00BC77E9" w:rsidRPr="00BC77E9">
        <w:t xml:space="preserve"> S330 IPS Premium SVC w/ DV + </w:t>
      </w:r>
      <w:proofErr w:type="spellStart"/>
      <w:r w:rsidR="00BC77E9" w:rsidRPr="00BC77E9">
        <w:t>RepDV</w:t>
      </w:r>
      <w:proofErr w:type="spellEnd"/>
      <w:r w:rsidR="00BC77E9" w:rsidRPr="00BC77E9">
        <w:t xml:space="preserve"> + </w:t>
      </w:r>
      <w:proofErr w:type="spellStart"/>
      <w:r w:rsidR="00BC77E9" w:rsidRPr="00BC77E9">
        <w:t>ThreatDV</w:t>
      </w:r>
      <w:proofErr w:type="spellEnd"/>
      <w:r w:rsidR="00BC77E9" w:rsidRPr="00BC77E9">
        <w:t>)</w:t>
      </w:r>
    </w:p>
    <w:p w:rsidR="00BC77E9" w:rsidRPr="00BC77E9" w:rsidRDefault="00161911" w:rsidP="00BC77E9">
      <w:pPr>
        <w:pStyle w:val="Odstavecseseznamem"/>
        <w:numPr>
          <w:ilvl w:val="0"/>
          <w:numId w:val="16"/>
        </w:numPr>
      </w:pPr>
      <w:r w:rsidRPr="00BC77E9">
        <w:t>podpora Hardware</w:t>
      </w:r>
    </w:p>
    <w:p w:rsidR="00161911" w:rsidRPr="00BC77E9" w:rsidRDefault="00161911" w:rsidP="00BC77E9">
      <w:pPr>
        <w:pStyle w:val="Odstavecseseznamem"/>
        <w:numPr>
          <w:ilvl w:val="0"/>
          <w:numId w:val="16"/>
        </w:numPr>
      </w:pPr>
      <w:r w:rsidRPr="00BC77E9">
        <w:t xml:space="preserve">podpora pro zařízení </w:t>
      </w:r>
      <w:proofErr w:type="spellStart"/>
      <w:r w:rsidRPr="00BC77E9">
        <w:t>TippingPoint</w:t>
      </w:r>
      <w:proofErr w:type="spellEnd"/>
      <w:r w:rsidRPr="00BC77E9">
        <w:t xml:space="preserve"> S 330 IPS </w:t>
      </w:r>
      <w:proofErr w:type="spellStart"/>
      <w:r w:rsidRPr="00BC77E9">
        <w:t>Appliance</w:t>
      </w:r>
      <w:proofErr w:type="spellEnd"/>
    </w:p>
    <w:p w:rsidR="00BC77E9" w:rsidRPr="00BC77E9" w:rsidRDefault="00BC77E9" w:rsidP="00BC77E9">
      <w:pPr>
        <w:pStyle w:val="Odstavecseseznamem"/>
        <w:numPr>
          <w:ilvl w:val="0"/>
          <w:numId w:val="16"/>
        </w:numPr>
      </w:pPr>
      <w:r w:rsidRPr="00BC77E9">
        <w:t>digitální vakcín</w:t>
      </w:r>
      <w:r w:rsidR="00C65300">
        <w:t>a</w:t>
      </w:r>
    </w:p>
    <w:p w:rsidR="00BC77E9" w:rsidRPr="00BC77E9" w:rsidRDefault="00BC77E9" w:rsidP="00BC77E9">
      <w:pPr>
        <w:pStyle w:val="Odstavecseseznamem"/>
        <w:numPr>
          <w:ilvl w:val="0"/>
          <w:numId w:val="16"/>
        </w:numPr>
      </w:pPr>
      <w:r w:rsidRPr="00BC77E9">
        <w:t>Reputačně -digitální vakcína</w:t>
      </w:r>
    </w:p>
    <w:p w:rsidR="00BC77E9" w:rsidRDefault="00BC77E9" w:rsidP="00BC77E9">
      <w:pPr>
        <w:pStyle w:val="Odstavecseseznamem"/>
        <w:numPr>
          <w:ilvl w:val="0"/>
          <w:numId w:val="16"/>
        </w:numPr>
      </w:pPr>
      <w:proofErr w:type="spellStart"/>
      <w:r w:rsidRPr="00BC77E9">
        <w:t>Threat</w:t>
      </w:r>
      <w:proofErr w:type="spellEnd"/>
      <w:r w:rsidRPr="00BC77E9">
        <w:t xml:space="preserve"> DV </w:t>
      </w:r>
    </w:p>
    <w:p w:rsidR="00161911" w:rsidRDefault="00161911" w:rsidP="00157BA8">
      <w:pPr>
        <w:ind w:left="426" w:hanging="426"/>
        <w:jc w:val="both"/>
        <w:rPr>
          <w:b/>
          <w:bCs/>
          <w:color w:val="000000"/>
        </w:rPr>
      </w:pPr>
      <w:r w:rsidRPr="00BC77E9">
        <w:rPr>
          <w:b/>
          <w:bCs/>
          <w:color w:val="000000"/>
        </w:rPr>
        <w:t xml:space="preserve">Podpora pro zařízení </w:t>
      </w:r>
      <w:proofErr w:type="spellStart"/>
      <w:r w:rsidRPr="00BC77E9">
        <w:rPr>
          <w:b/>
          <w:bCs/>
          <w:color w:val="000000"/>
        </w:rPr>
        <w:t>TippingPoint</w:t>
      </w:r>
      <w:proofErr w:type="spellEnd"/>
      <w:r w:rsidRPr="00BC77E9">
        <w:rPr>
          <w:b/>
          <w:bCs/>
          <w:color w:val="000000"/>
        </w:rPr>
        <w:t xml:space="preserve"> SMS </w:t>
      </w:r>
      <w:proofErr w:type="spellStart"/>
      <w:r w:rsidRPr="00BC77E9">
        <w:rPr>
          <w:b/>
          <w:bCs/>
          <w:color w:val="000000"/>
        </w:rPr>
        <w:t>Appliance</w:t>
      </w:r>
      <w:proofErr w:type="spellEnd"/>
      <w:r w:rsidRPr="00BC77E9">
        <w:rPr>
          <w:b/>
          <w:bCs/>
          <w:color w:val="000000"/>
        </w:rPr>
        <w:t xml:space="preserve"> (</w:t>
      </w:r>
      <w:proofErr w:type="spellStart"/>
      <w:r w:rsidRPr="00BC77E9">
        <w:rPr>
          <w:b/>
          <w:bCs/>
          <w:color w:val="000000"/>
        </w:rPr>
        <w:t>sn</w:t>
      </w:r>
      <w:proofErr w:type="spellEnd"/>
      <w:r w:rsidRPr="00BC77E9">
        <w:rPr>
          <w:b/>
          <w:bCs/>
          <w:color w:val="000000"/>
        </w:rPr>
        <w:t>.</w:t>
      </w:r>
      <w:r w:rsidRPr="00BC77E9">
        <w:t xml:space="preserve"> </w:t>
      </w:r>
      <w:r w:rsidRPr="00BC77E9">
        <w:rPr>
          <w:b/>
          <w:bCs/>
        </w:rPr>
        <w:t>PR2ADW99TJ</w:t>
      </w:r>
      <w:r w:rsidRPr="00BC77E9">
        <w:rPr>
          <w:b/>
          <w:bCs/>
          <w:color w:val="000000"/>
        </w:rPr>
        <w:t xml:space="preserve"> )</w:t>
      </w:r>
    </w:p>
    <w:p w:rsidR="006A7B80" w:rsidRPr="00BC77E9" w:rsidRDefault="003904E4" w:rsidP="006A7B80">
      <w:r w:rsidDel="003904E4">
        <w:rPr>
          <w:b/>
          <w:bCs/>
          <w:color w:val="000000"/>
        </w:rPr>
        <w:t xml:space="preserve"> </w:t>
      </w:r>
      <w:r w:rsidR="006A7B80" w:rsidRPr="00BC77E9">
        <w:t xml:space="preserve">(1x HP 1yr </w:t>
      </w:r>
      <w:proofErr w:type="spellStart"/>
      <w:r w:rsidR="006A7B80" w:rsidRPr="00BC77E9">
        <w:t>TippingPoint</w:t>
      </w:r>
      <w:proofErr w:type="spellEnd"/>
      <w:r w:rsidR="006A7B80" w:rsidRPr="00BC77E9">
        <w:t xml:space="preserve"> SMS </w:t>
      </w:r>
      <w:proofErr w:type="spellStart"/>
      <w:r w:rsidR="006A7B80" w:rsidRPr="00BC77E9">
        <w:t>Appliance</w:t>
      </w:r>
      <w:proofErr w:type="spellEnd"/>
      <w:r w:rsidR="006A7B80" w:rsidRPr="00BC77E9">
        <w:t xml:space="preserve"> SVC)</w:t>
      </w:r>
    </w:p>
    <w:p w:rsidR="00BC77E9" w:rsidRDefault="00BC77E9" w:rsidP="00BC77E9">
      <w:pPr>
        <w:pStyle w:val="Odstavecseseznamem"/>
        <w:numPr>
          <w:ilvl w:val="0"/>
          <w:numId w:val="17"/>
        </w:numPr>
      </w:pPr>
      <w:r>
        <w:t xml:space="preserve">Hardware podpora pro zařízení </w:t>
      </w:r>
      <w:proofErr w:type="spellStart"/>
      <w:r>
        <w:t>TippingPoint</w:t>
      </w:r>
      <w:proofErr w:type="spellEnd"/>
      <w:r>
        <w:t xml:space="preserve"> SMS </w:t>
      </w:r>
      <w:proofErr w:type="spellStart"/>
      <w:r>
        <w:t>Appliance</w:t>
      </w:r>
      <w:proofErr w:type="spellEnd"/>
    </w:p>
    <w:p w:rsidR="00567098" w:rsidRDefault="00567098" w:rsidP="006E5682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3530"/>
        <w:gridCol w:w="939"/>
        <w:gridCol w:w="1445"/>
        <w:gridCol w:w="1258"/>
        <w:gridCol w:w="1276"/>
      </w:tblGrid>
      <w:tr w:rsidR="003904E4" w:rsidRPr="003904E4" w:rsidTr="00A22BEF">
        <w:trPr>
          <w:trHeight w:val="540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904E4">
              <w:rPr>
                <w:rFonts w:ascii="Calibri" w:eastAsia="Arial Unicode MS" w:hAnsi="Calibri" w:cs="Arial Unicode MS"/>
                <w:b/>
                <w:bCs/>
                <w:color w:val="000000"/>
                <w:lang w:eastAsia="cs-CZ"/>
              </w:rPr>
              <w:t>Kód</w:t>
            </w:r>
          </w:p>
        </w:tc>
        <w:tc>
          <w:tcPr>
            <w:tcW w:w="3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904E4">
              <w:rPr>
                <w:rFonts w:ascii="Calibri" w:eastAsia="Arial Unicode MS" w:hAnsi="Calibri" w:cs="Arial Unicode MS"/>
                <w:b/>
                <w:bCs/>
                <w:color w:val="000000"/>
                <w:lang w:eastAsia="cs-CZ"/>
              </w:rPr>
              <w:t>Popis položky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Ks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Cena za 1 ks </w:t>
            </w:r>
            <w:r w:rsidR="00E954A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</w:r>
            <w:r w:rsidRPr="00390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 Kč bez DPH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Celková cena za požadované množství </w:t>
            </w:r>
            <w:r w:rsidR="008140A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</w:r>
            <w:r w:rsidRPr="00390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 Kč</w:t>
            </w:r>
          </w:p>
        </w:tc>
      </w:tr>
      <w:tr w:rsidR="003904E4" w:rsidRPr="003904E4" w:rsidTr="00A22BEF">
        <w:trPr>
          <w:trHeight w:val="390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 DPH </w:t>
            </w:r>
            <w:r w:rsidR="00E954A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</w:r>
            <w:r w:rsidRPr="00390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(21 %)</w:t>
            </w:r>
          </w:p>
        </w:tc>
      </w:tr>
      <w:tr w:rsidR="003904E4" w:rsidRPr="003904E4" w:rsidTr="00A22BEF">
        <w:trPr>
          <w:trHeight w:val="30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Arial Unicode MS" w:hAnsi="Calibri" w:cs="Arial Unicode MS"/>
                <w:color w:val="000000"/>
                <w:lang w:eastAsia="cs-CZ"/>
              </w:rPr>
              <w:t>JC187A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Arial Unicode MS" w:hAnsi="Calibri" w:cs="Arial Unicode MS"/>
                <w:color w:val="000000"/>
                <w:lang w:eastAsia="cs-CZ"/>
              </w:rPr>
              <w:t>HP S330 300Mbps IPS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E4" w:rsidRPr="003904E4" w:rsidRDefault="003904E4" w:rsidP="00390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BEF">
              <w:rPr>
                <w:rFonts w:ascii="Calibri" w:eastAsia="Times New Roman" w:hAnsi="Calibri" w:cs="Times New Roman"/>
                <w:color w:val="000000"/>
                <w:lang w:eastAsia="cs-CZ"/>
              </w:rPr>
              <w:t>148 918,00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E4" w:rsidRPr="003904E4" w:rsidRDefault="00A22BEF" w:rsidP="00A22B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297 836,00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E4" w:rsidRPr="003904E4" w:rsidRDefault="003904E4" w:rsidP="00390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BEF">
              <w:rPr>
                <w:rFonts w:ascii="Calibri" w:eastAsia="Times New Roman" w:hAnsi="Calibri" w:cs="Times New Roman"/>
                <w:color w:val="000000"/>
                <w:lang w:eastAsia="cs-CZ"/>
              </w:rPr>
              <w:t>360 381,50</w:t>
            </w:r>
          </w:p>
        </w:tc>
      </w:tr>
      <w:tr w:rsidR="003904E4" w:rsidRPr="003904E4" w:rsidTr="00A22BEF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Arial Unicode MS" w:hAnsi="Calibri" w:cs="Arial Unicode MS"/>
                <w:color w:val="000000"/>
                <w:lang w:eastAsia="cs-CZ"/>
              </w:rPr>
              <w:t>H2W18AC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Arial Unicode MS" w:hAnsi="Calibri" w:cs="Arial Unicode MS"/>
                <w:color w:val="000000"/>
                <w:lang w:eastAsia="cs-CZ"/>
              </w:rPr>
              <w:t xml:space="preserve">HP </w:t>
            </w:r>
            <w:proofErr w:type="spellStart"/>
            <w:r w:rsidRPr="003904E4">
              <w:rPr>
                <w:rFonts w:ascii="Calibri" w:eastAsia="Arial Unicode MS" w:hAnsi="Calibri" w:cs="Arial Unicode MS"/>
                <w:color w:val="000000"/>
                <w:lang w:eastAsia="cs-CZ"/>
              </w:rPr>
              <w:t>TippingPoint</w:t>
            </w:r>
            <w:proofErr w:type="spellEnd"/>
            <w:r w:rsidRPr="003904E4">
              <w:rPr>
                <w:rFonts w:ascii="Calibri" w:eastAsia="Arial Unicode MS" w:hAnsi="Calibri" w:cs="Arial Unicode MS"/>
                <w:color w:val="000000"/>
                <w:lang w:eastAsia="cs-CZ"/>
              </w:rPr>
              <w:t xml:space="preserve"> Premium + </w:t>
            </w:r>
            <w:proofErr w:type="spellStart"/>
            <w:r w:rsidRPr="003904E4">
              <w:rPr>
                <w:rFonts w:ascii="Calibri" w:eastAsia="Arial Unicode MS" w:hAnsi="Calibri" w:cs="Arial Unicode MS"/>
                <w:color w:val="000000"/>
                <w:lang w:eastAsia="cs-CZ"/>
              </w:rPr>
              <w:t>ThDV</w:t>
            </w:r>
            <w:proofErr w:type="spellEnd"/>
            <w:r w:rsidRPr="003904E4">
              <w:rPr>
                <w:rFonts w:ascii="Calibri" w:eastAsia="Arial Unicode MS" w:hAnsi="Calibri" w:cs="Arial Unicode MS"/>
                <w:color w:val="000000"/>
                <w:lang w:eastAsia="cs-CZ"/>
              </w:rPr>
              <w:t xml:space="preserve"> </w:t>
            </w:r>
            <w:proofErr w:type="spellStart"/>
            <w:r w:rsidRPr="003904E4">
              <w:rPr>
                <w:rFonts w:ascii="Calibri" w:eastAsia="Arial Unicode MS" w:hAnsi="Calibri" w:cs="Arial Unicode MS"/>
                <w:color w:val="000000"/>
                <w:lang w:eastAsia="cs-CZ"/>
              </w:rPr>
              <w:t>Svc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E4" w:rsidRPr="003904E4" w:rsidRDefault="003904E4" w:rsidP="00390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B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27 532,00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E4" w:rsidRPr="003904E4" w:rsidRDefault="003904E4" w:rsidP="00390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140A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A22BEF">
              <w:rPr>
                <w:rFonts w:ascii="Calibri" w:eastAsia="Times New Roman" w:hAnsi="Calibri" w:cs="Times New Roman"/>
                <w:color w:val="000000"/>
                <w:lang w:eastAsia="cs-CZ"/>
              </w:rPr>
              <w:t>27 532,00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E4" w:rsidRPr="003904E4" w:rsidRDefault="003904E4" w:rsidP="00390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BE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33 313,70</w:t>
            </w:r>
          </w:p>
        </w:tc>
      </w:tr>
      <w:tr w:rsidR="003904E4" w:rsidRPr="003904E4" w:rsidTr="00A22BEF">
        <w:trPr>
          <w:trHeight w:val="300"/>
        </w:trPr>
        <w:tc>
          <w:tcPr>
            <w:tcW w:w="7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E4" w:rsidRPr="003904E4" w:rsidRDefault="003904E4" w:rsidP="003904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Celková cena za požadované množství v Kč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E4" w:rsidRPr="003904E4" w:rsidRDefault="00A22BEF" w:rsidP="00390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325 368,00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4E4" w:rsidRPr="003904E4" w:rsidRDefault="003904E4" w:rsidP="00390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904E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A22BEF">
              <w:rPr>
                <w:rFonts w:ascii="Calibri" w:eastAsia="Times New Roman" w:hAnsi="Calibri" w:cs="Times New Roman"/>
                <w:color w:val="000000"/>
                <w:lang w:eastAsia="cs-CZ"/>
              </w:rPr>
              <w:t>393 695,20</w:t>
            </w:r>
          </w:p>
        </w:tc>
      </w:tr>
    </w:tbl>
    <w:p w:rsidR="00161911" w:rsidRPr="00BC77E9" w:rsidRDefault="00161911" w:rsidP="00157BA8">
      <w:pPr>
        <w:ind w:left="426" w:hanging="426"/>
        <w:jc w:val="both"/>
      </w:pPr>
    </w:p>
    <w:sectPr w:rsidR="00161911" w:rsidRPr="00BC77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8B" w:rsidRDefault="00DB0D8B" w:rsidP="00DB0D8B">
      <w:pPr>
        <w:spacing w:after="0" w:line="240" w:lineRule="auto"/>
      </w:pPr>
      <w:r>
        <w:separator/>
      </w:r>
    </w:p>
  </w:endnote>
  <w:endnote w:type="continuationSeparator" w:id="0">
    <w:p w:rsidR="00DB0D8B" w:rsidRDefault="00DB0D8B" w:rsidP="00DB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025936"/>
      <w:docPartObj>
        <w:docPartGallery w:val="Page Numbers (Bottom of Page)"/>
        <w:docPartUnique/>
      </w:docPartObj>
    </w:sdtPr>
    <w:sdtEndPr/>
    <w:sdtContent>
      <w:p w:rsidR="00A22BEF" w:rsidRDefault="00A22B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88C">
          <w:rPr>
            <w:noProof/>
          </w:rPr>
          <w:t>1</w:t>
        </w:r>
        <w:r>
          <w:fldChar w:fldCharType="end"/>
        </w:r>
      </w:p>
    </w:sdtContent>
  </w:sdt>
  <w:p w:rsidR="00A22BEF" w:rsidRDefault="00A22B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978151"/>
      <w:docPartObj>
        <w:docPartGallery w:val="Page Numbers (Bottom of Page)"/>
        <w:docPartUnique/>
      </w:docPartObj>
    </w:sdtPr>
    <w:sdtEndPr/>
    <w:sdtContent>
      <w:p w:rsidR="00A22BEF" w:rsidRDefault="00A22B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88C">
          <w:rPr>
            <w:noProof/>
          </w:rPr>
          <w:t>2</w:t>
        </w:r>
        <w:r>
          <w:fldChar w:fldCharType="end"/>
        </w:r>
      </w:p>
    </w:sdtContent>
  </w:sdt>
  <w:p w:rsidR="00A22BEF" w:rsidRDefault="00A22B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8B" w:rsidRDefault="00DB0D8B" w:rsidP="00DB0D8B">
      <w:pPr>
        <w:spacing w:after="0" w:line="240" w:lineRule="auto"/>
      </w:pPr>
      <w:r>
        <w:separator/>
      </w:r>
    </w:p>
  </w:footnote>
  <w:footnote w:type="continuationSeparator" w:id="0">
    <w:p w:rsidR="00DB0D8B" w:rsidRDefault="00DB0D8B" w:rsidP="00DB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92" w:rsidRDefault="00DA1792">
    <w:pPr>
      <w:pStyle w:val="Zhlav"/>
    </w:pPr>
    <w:r>
      <w:tab/>
    </w:r>
    <w:r>
      <w:tab/>
      <w:t xml:space="preserve">Spis. </w:t>
    </w:r>
    <w:proofErr w:type="gramStart"/>
    <w:r>
      <w:t>zn.</w:t>
    </w:r>
    <w:proofErr w:type="gramEnd"/>
    <w:r>
      <w:t xml:space="preserve"> SZ SPU 305031/2016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C50"/>
    <w:multiLevelType w:val="multilevel"/>
    <w:tmpl w:val="BE8A6F0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1E4C6B"/>
    <w:multiLevelType w:val="multilevel"/>
    <w:tmpl w:val="2AC66F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2">
    <w:nsid w:val="1A613ACE"/>
    <w:multiLevelType w:val="hybridMultilevel"/>
    <w:tmpl w:val="2C3ECDE8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1C841B62"/>
    <w:multiLevelType w:val="multilevel"/>
    <w:tmpl w:val="A3E86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1B006D7"/>
    <w:multiLevelType w:val="hybridMultilevel"/>
    <w:tmpl w:val="880A8D2C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500249D"/>
    <w:multiLevelType w:val="multilevel"/>
    <w:tmpl w:val="A3E867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66940D6"/>
    <w:multiLevelType w:val="multilevel"/>
    <w:tmpl w:val="A3E867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8411AA"/>
    <w:multiLevelType w:val="multilevel"/>
    <w:tmpl w:val="62142BF0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B94645D"/>
    <w:multiLevelType w:val="multilevel"/>
    <w:tmpl w:val="2D72B59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C725EC"/>
    <w:multiLevelType w:val="hybridMultilevel"/>
    <w:tmpl w:val="FF5E4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F22F5"/>
    <w:multiLevelType w:val="multilevel"/>
    <w:tmpl w:val="A3E867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05620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51E0869"/>
    <w:multiLevelType w:val="multilevel"/>
    <w:tmpl w:val="50100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2B96361"/>
    <w:multiLevelType w:val="hybridMultilevel"/>
    <w:tmpl w:val="A1023FE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521477C"/>
    <w:multiLevelType w:val="multilevel"/>
    <w:tmpl w:val="A3E867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8220CC0"/>
    <w:multiLevelType w:val="multilevel"/>
    <w:tmpl w:val="A3E86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9367169"/>
    <w:multiLevelType w:val="multilevel"/>
    <w:tmpl w:val="DCC29D0E"/>
    <w:lvl w:ilvl="0">
      <w:start w:val="1"/>
      <w:numFmt w:val="decimal"/>
      <w:lvlText w:val="%1."/>
      <w:lvlJc w:val="left"/>
      <w:pPr>
        <w:ind w:left="1423" w:hanging="360"/>
      </w:pPr>
      <w:rPr>
        <w:i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3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2"/>
  </w:num>
  <w:num w:numId="5">
    <w:abstractNumId w:val="3"/>
  </w:num>
  <w:num w:numId="6">
    <w:abstractNumId w:val="15"/>
  </w:num>
  <w:num w:numId="7">
    <w:abstractNumId w:val="6"/>
  </w:num>
  <w:num w:numId="8">
    <w:abstractNumId w:val="10"/>
  </w:num>
  <w:num w:numId="9">
    <w:abstractNumId w:val="14"/>
  </w:num>
  <w:num w:numId="10">
    <w:abstractNumId w:val="0"/>
  </w:num>
  <w:num w:numId="11">
    <w:abstractNumId w:val="4"/>
  </w:num>
  <w:num w:numId="12">
    <w:abstractNumId w:val="2"/>
  </w:num>
  <w:num w:numId="13">
    <w:abstractNumId w:val="8"/>
  </w:num>
  <w:num w:numId="14">
    <w:abstractNumId w:val="5"/>
  </w:num>
  <w:num w:numId="15">
    <w:abstractNumId w:val="11"/>
  </w:num>
  <w:num w:numId="16">
    <w:abstractNumId w:val="9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utenkranc Petr Ing.">
    <w15:presenceInfo w15:providerId="AD" w15:userId="S-1-5-21-3654044162-3347481870-3539283771-108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62"/>
    <w:rsid w:val="00037417"/>
    <w:rsid w:val="000B29B9"/>
    <w:rsid w:val="000E3725"/>
    <w:rsid w:val="000E58EC"/>
    <w:rsid w:val="001358B3"/>
    <w:rsid w:val="00157BA8"/>
    <w:rsid w:val="00161911"/>
    <w:rsid w:val="00170664"/>
    <w:rsid w:val="00172E4E"/>
    <w:rsid w:val="001A15B5"/>
    <w:rsid w:val="001B1C62"/>
    <w:rsid w:val="001D1564"/>
    <w:rsid w:val="002001FB"/>
    <w:rsid w:val="00211E8A"/>
    <w:rsid w:val="00267443"/>
    <w:rsid w:val="00274B3D"/>
    <w:rsid w:val="002A00B4"/>
    <w:rsid w:val="002A6CB3"/>
    <w:rsid w:val="003904E4"/>
    <w:rsid w:val="003B4BA3"/>
    <w:rsid w:val="003D5136"/>
    <w:rsid w:val="003E06BE"/>
    <w:rsid w:val="004422A7"/>
    <w:rsid w:val="00445B36"/>
    <w:rsid w:val="00450898"/>
    <w:rsid w:val="00451506"/>
    <w:rsid w:val="004556D5"/>
    <w:rsid w:val="0046411A"/>
    <w:rsid w:val="00471196"/>
    <w:rsid w:val="004A1DDA"/>
    <w:rsid w:val="004B695E"/>
    <w:rsid w:val="004D476A"/>
    <w:rsid w:val="00505807"/>
    <w:rsid w:val="00530C25"/>
    <w:rsid w:val="00556B9A"/>
    <w:rsid w:val="00567098"/>
    <w:rsid w:val="00584C8B"/>
    <w:rsid w:val="005A4531"/>
    <w:rsid w:val="005C0979"/>
    <w:rsid w:val="0067187E"/>
    <w:rsid w:val="006A6DAF"/>
    <w:rsid w:val="006A7B80"/>
    <w:rsid w:val="006E26CB"/>
    <w:rsid w:val="006E5682"/>
    <w:rsid w:val="006F1ECD"/>
    <w:rsid w:val="007614B0"/>
    <w:rsid w:val="0077644F"/>
    <w:rsid w:val="008140AD"/>
    <w:rsid w:val="008555AE"/>
    <w:rsid w:val="00857037"/>
    <w:rsid w:val="008702A5"/>
    <w:rsid w:val="009123CF"/>
    <w:rsid w:val="009373BB"/>
    <w:rsid w:val="00940965"/>
    <w:rsid w:val="009A23FB"/>
    <w:rsid w:val="00A07E4A"/>
    <w:rsid w:val="00A22BEF"/>
    <w:rsid w:val="00A531F2"/>
    <w:rsid w:val="00A54CEE"/>
    <w:rsid w:val="00A6169E"/>
    <w:rsid w:val="00A66C1E"/>
    <w:rsid w:val="00A74316"/>
    <w:rsid w:val="00AB045A"/>
    <w:rsid w:val="00AB074D"/>
    <w:rsid w:val="00B1156B"/>
    <w:rsid w:val="00BC77E9"/>
    <w:rsid w:val="00C10E2C"/>
    <w:rsid w:val="00C21FEB"/>
    <w:rsid w:val="00C3559E"/>
    <w:rsid w:val="00C50577"/>
    <w:rsid w:val="00C65300"/>
    <w:rsid w:val="00C703E4"/>
    <w:rsid w:val="00D43FE3"/>
    <w:rsid w:val="00D825E0"/>
    <w:rsid w:val="00DA1792"/>
    <w:rsid w:val="00DA4AD0"/>
    <w:rsid w:val="00DB0D8B"/>
    <w:rsid w:val="00E21B01"/>
    <w:rsid w:val="00E4483F"/>
    <w:rsid w:val="00E45F1E"/>
    <w:rsid w:val="00E57C6C"/>
    <w:rsid w:val="00E954A6"/>
    <w:rsid w:val="00EA5AB5"/>
    <w:rsid w:val="00EB225B"/>
    <w:rsid w:val="00EF7530"/>
    <w:rsid w:val="00F06627"/>
    <w:rsid w:val="00F15568"/>
    <w:rsid w:val="00F16CF1"/>
    <w:rsid w:val="00F62C25"/>
    <w:rsid w:val="00F9630F"/>
    <w:rsid w:val="00FA4B18"/>
    <w:rsid w:val="00FC06F1"/>
    <w:rsid w:val="00FD588C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1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5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A4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A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A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A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A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A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6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D5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D1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DB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D8B"/>
  </w:style>
  <w:style w:type="paragraph" w:styleId="Zpat">
    <w:name w:val="footer"/>
    <w:basedOn w:val="Normln"/>
    <w:link w:val="ZpatChar"/>
    <w:uiPriority w:val="99"/>
    <w:unhideWhenUsed/>
    <w:rsid w:val="00DB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1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5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A4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A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A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A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A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A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6F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D51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1D1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DB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0D8B"/>
  </w:style>
  <w:style w:type="paragraph" w:styleId="Zpat">
    <w:name w:val="footer"/>
    <w:basedOn w:val="Normln"/>
    <w:link w:val="ZpatChar"/>
    <w:uiPriority w:val="99"/>
    <w:unhideWhenUsed/>
    <w:rsid w:val="00DB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37C7-3963-494F-9912-AD430F2C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2766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koprivova1</cp:lastModifiedBy>
  <cp:revision>3</cp:revision>
  <cp:lastPrinted>2016-07-18T12:36:00Z</cp:lastPrinted>
  <dcterms:created xsi:type="dcterms:W3CDTF">2016-08-15T12:00:00Z</dcterms:created>
  <dcterms:modified xsi:type="dcterms:W3CDTF">2016-08-15T12:05:00Z</dcterms:modified>
</cp:coreProperties>
</file>