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S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mlouva o pořádání divadelního představení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uzavřená dle zákona č.89/2012 Sb., občanského zákoníku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820.0" w:type="dxa"/>
        <w:jc w:val="left"/>
        <w:tblInd w:w="108.0" w:type="pct"/>
        <w:tblLayout w:type="fixed"/>
        <w:tblLook w:val="0000"/>
      </w:tblPr>
      <w:tblGrid>
        <w:gridCol w:w="1474"/>
        <w:gridCol w:w="2198"/>
        <w:gridCol w:w="6148"/>
        <w:tblGridChange w:id="0">
          <w:tblGrid>
            <w:gridCol w:w="1474"/>
            <w:gridCol w:w="2198"/>
            <w:gridCol w:w="6148"/>
          </w:tblGrid>
        </w:tblGridChange>
      </w:tblGrid>
      <w:tr>
        <w:trPr>
          <w:trHeight w:val="460" w:hRule="atLeast"/>
        </w:trPr>
        <w:tc>
          <w:tcPr>
            <w:vAlign w:val="top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Smlouva č.:25/9/2019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0" w:hRule="atLeast"/>
        </w:trPr>
        <w:tc>
          <w:tcPr>
            <w:gridSpan w:val="2"/>
            <w:vAlign w:val="top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Divadlo Bez zábradlí s.r.o.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Bankovní spojení: UniCredit Bank Czech Republic, a.s.</w:t>
                </w:r>
              </w:p>
            </w:sdtContent>
          </w:sdt>
        </w:tc>
      </w:tr>
      <w:tr>
        <w:trPr>
          <w:trHeight w:val="140" w:hRule="atLeast"/>
        </w:trPr>
        <w:tc>
          <w:tcPr>
            <w:gridSpan w:val="2"/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Spojovací 293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č. účtu: 1261281060/2700</w:t>
                </w:r>
              </w:p>
            </w:sdtContent>
          </w:sdt>
        </w:tc>
      </w:tr>
      <w:tr>
        <w:trPr>
          <w:trHeight w:val="160" w:hRule="atLeast"/>
        </w:trPr>
        <w:tc>
          <w:tcPr>
            <w:gridSpan w:val="2"/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281 66 Jevany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IČ: 25102699</w:t>
                </w:r>
              </w:p>
            </w:sdtContent>
          </w:sdt>
        </w:tc>
      </w:tr>
      <w:tr>
        <w:trPr>
          <w:trHeight w:val="380" w:hRule="atLeast"/>
        </w:trPr>
        <w:tc>
          <w:tcPr>
            <w:gridSpan w:val="2"/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DIČ: CZ25102699</w:t>
                </w:r>
              </w:p>
            </w:sdtContent>
          </w:sdt>
        </w:tc>
      </w:tr>
    </w:tbl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Obchodní rejstřík vedený Městským soudem v Praze oddíl C, vložka 49838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Korespondenční adresa: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Veškerá korespondence bude zasílána na adresu: Divadlo Bez zábradlí s.r.o., Jungmannova 31, 110 00 Praha 1, tel.: 224 494 601, fax: 224 947 035, e-mail: </w:t>
          </w:r>
          <w:hyperlink r:id="rId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produkce@bezzabradli.cz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internet: </w:t>
          </w:r>
          <w:hyperlink r:id="rId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www.divadlobezzabradli.cz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Kontaktní osoba: Tereza Nyklová, </w:t>
          </w:r>
          <w:hyperlink r:id="rId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nyklova@bezzabradli.cz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, tel: 728 345 835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(dále jen „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DBZ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“)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Pořadatel: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Mělnické kulturní centrum, o.p.s.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zastoupen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á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Ing. Radkou Kareisovou, ředitelkou společnosti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 Sadů 323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, 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276 01 Mělník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IČO 24210137, DIČ: CZ24210137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Email pro zaslání faktury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: pokorna</w:t>
          </w:r>
          <w:hyperlink r:id="rId10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vertAlign w:val="baseline"/>
                <w:rtl w:val="0"/>
              </w:rPr>
              <w:t xml:space="preserve">@mekuc.cz</w:t>
            </w:r>
          </w:hyperlink>
          <w:r w:rsidDel="00000000" w:rsidR="00000000" w:rsidRPr="00000000">
            <w:rPr>
              <w:rFonts w:ascii="Arial" w:cs="Arial" w:eastAsia="Arial" w:hAnsi="Arial"/>
              <w:color w:val="1d1d1b"/>
              <w:sz w:val="22"/>
              <w:szCs w:val="22"/>
              <w:rtl w:val="0"/>
            </w:rPr>
            <w:t xml:space="preserve">, produkce: Marie Krutišová, </w:t>
          </w:r>
          <w:hyperlink r:id="rId11">
            <w:r w:rsidDel="00000000" w:rsidR="00000000" w:rsidRPr="00000000">
              <w:rPr>
                <w:rFonts w:ascii="Arial" w:cs="Arial" w:eastAsia="Arial" w:hAnsi="Arial"/>
                <w:color w:val="1155cc"/>
                <w:sz w:val="22"/>
                <w:szCs w:val="22"/>
                <w:u w:val="single"/>
                <w:rtl w:val="0"/>
              </w:rPr>
              <w:t xml:space="preserve">krutisova@mekuc.cz</w:t>
            </w:r>
          </w:hyperlink>
          <w:r w:rsidDel="00000000" w:rsidR="00000000" w:rsidRPr="00000000">
            <w:rPr>
              <w:rFonts w:ascii="Arial" w:cs="Arial" w:eastAsia="Arial" w:hAnsi="Arial"/>
              <w:color w:val="1d1d1b"/>
              <w:sz w:val="22"/>
              <w:szCs w:val="22"/>
              <w:rtl w:val="0"/>
            </w:rPr>
            <w:t xml:space="preserve">, tel: 702 234 098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(dále jen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„pořadatel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“)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Předmět smlouvy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Předmětem smlouvy je vymezení vzájemných práv a povinností při pořádání představení.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212.0" w:type="dxa"/>
        <w:jc w:val="left"/>
        <w:tblInd w:w="0.0" w:type="dxa"/>
        <w:tblLayout w:type="fixed"/>
        <w:tblLook w:val="0000"/>
      </w:tblPr>
      <w:tblGrid>
        <w:gridCol w:w="1548"/>
        <w:gridCol w:w="7664"/>
        <w:tblGridChange w:id="0">
          <w:tblGrid>
            <w:gridCol w:w="1548"/>
            <w:gridCol w:w="7664"/>
          </w:tblGrid>
        </w:tblGridChange>
      </w:tblGrid>
      <w:tr>
        <w:tc>
          <w:tcPr>
            <w:vAlign w:val="top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Datum</w:t>
                </w: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: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0"/>
                    <w:smallCaps w:val="0"/>
                    <w:strike w:val="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25. 9. 2019 od 19 hodin</w:t>
                </w:r>
              </w:p>
            </w:sdtContent>
          </w:sdt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Black" w:cs="Arial Black" w:eastAsia="Arial Black" w:hAnsi="Arial Black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Místo: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Mělnické kulturní centrum, U Sadů 323, Mělník 276 01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Pořad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Yasmina Reza : „ART“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ff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II.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Ujednání o ceně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9212.0" w:type="dxa"/>
        <w:jc w:val="left"/>
        <w:tblInd w:w="0.0" w:type="dxa"/>
        <w:tblLayout w:type="fixed"/>
        <w:tblLook w:val="0000"/>
      </w:tblPr>
      <w:tblGrid>
        <w:gridCol w:w="2448"/>
        <w:gridCol w:w="540"/>
        <w:gridCol w:w="6224"/>
        <w:tblGridChange w:id="0">
          <w:tblGrid>
            <w:gridCol w:w="2448"/>
            <w:gridCol w:w="540"/>
            <w:gridCol w:w="6224"/>
          </w:tblGrid>
        </w:tblGridChange>
      </w:tblGrid>
      <w:tr>
        <w:tc>
          <w:tcPr>
            <w:gridSpan w:val="3"/>
            <w:vAlign w:val="top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Honorář za jedno představení bez dopravy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70 000 Kč + 21% DPH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</w:p>
            </w:sdtContent>
          </w:sdt>
        </w:tc>
      </w:tr>
    </w:tbl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Dopravu hradí pořadatel přímo dopravci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bezhotovostním převodem na základě vystavené faktury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</w:t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Dopravu zajišťuje firma Jiří Vrťátko; tel.: 728 283 728; e-mail: </w:t>
          </w:r>
          <w:hyperlink r:id="rId1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j.vrtatko@seznam.cz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 auto kulisy a technici, 1 auto herci</w:t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Ubytování 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NENÍ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Arial" w:cs="Arial" w:eastAsia="Arial" w:hAnsi="Arial"/>
              <w:sz w:val="22"/>
              <w:szCs w:val="22"/>
              <w:shd w:fill="auto" w:val="clear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Pořadatel uhradí DBZ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7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0 000 Kč + 21% DPH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do 14 dnů od data vystavení faktury převodem na běžný účet u společnosti UniCredit Bank Czech Republic, a.s., č. účtu: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1261281060/2700.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Autorské honoráře za proveden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é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představení hradí pořadatel. Pořadatel se zavazuje do 10.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dne následujícího měsíce po odehraném představení k povinnosti nahlásit Dilii a uhradit na účet DILIE odměnu za poskytnutí licence ve výši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14,9%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z celkových hrubých tržeb (včetně eventuálních bankovních poplatků).</w:t>
          </w:r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III.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Ostatní ujednání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Tržby za představení náleží pořadateli.</w:t>
          </w:r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2"/>
      </w:sdtPr>
      <w:sdtContent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DBZ:</w:t>
          </w:r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9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 zavazuje provést představení v dohodnutém termínu a v plné umělecké a technické úrovni</w:t>
          </w:r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29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účinkující jsou povinni dbát na řádné uzamykání šaten, což je předpokladem pro předcházení riziku případných krádeží. Šatny, které budou mít účinkující k dispozici, jsou uzamykatelné.</w:t>
          </w:r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Smluvní strany přijímají a potvrzují obecné podmínky t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echnické požadavky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smlouvy, které tvoří jako příloha č. 1 nedílnou součást této smlouvy.</w:t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IV.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20"/>
            </w:tabs>
            <w:spacing w:after="0" w:before="0" w:line="240" w:lineRule="auto"/>
            <w:ind w:left="36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Nekonání a odřeknutí představení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080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080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1.Zrušení představení z vyšší moci (nepředvídatelná, přírodní katastrofa, úřední zákaz, atd.) dávají oběma stranám právo, po včasném, průkazném vyrozumění, od smlouvy odstoupit, nebo změnit její podmínky, a to bez jakýchkoli nároků na finanční náhradu škody.</w:t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080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2.Odřekne-li vystoupení DBZ (kromě důvodů uvedených v odstavci 1.), je povinno uhradit pořadateli prokazatelné výlohy a škody spojené s přípravou vystoupení.</w:t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3.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Zruší-li pořadatel představení v průběhu 15 pracovních dnů před plánovaným datem konání představení, uhradí pořadatel DBZ 75 % honoráře + DPH.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V.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Závěrečná ustanovení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6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Tato smlouva je vyhotovena ve dvou exemplářích, z nichž každá ze smluvních stran obdrží jeden exemplář. </w:t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6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Tato smlouva nabývá platnosti a účinnosti podpisem zástupců obou stran.</w:t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0"/>
              <w:tab w:val="left" w:pos="1080"/>
            </w:tabs>
            <w:spacing w:after="0" w:before="0" w:line="240" w:lineRule="auto"/>
            <w:ind w:left="360" w:right="0" w:hanging="36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Smlouva je oboustranně závazná a její podmínky lze změnit pouze písemnou formou po dohodě obou stran.</w:t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60" w:right="0" w:hanging="36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Divadlo Bez zábradlí s.r.o. bere na vědomí, že Smlouva o provedení divadelního představení může být pořadatelem po jejím podpisu zveřejněna v registru smluv dle Zákona o registru smluv č.340/2015 Sb.</w:t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Příloha č.1: technické a organizační požadavky</w:t>
          </w:r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4"/>
        <w:tblW w:w="9212.0" w:type="dxa"/>
        <w:jc w:val="left"/>
        <w:tblInd w:w="0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V Mělníku </w:t>
                </w: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dne ...................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V Praze dne ………</w:t>
                </w:r>
              </w:p>
            </w:sdtContent>
          </w:sdt>
        </w:tc>
      </w:tr>
    </w:tbl>
    <w:sdt>
      <w:sdtPr>
        <w:tag w:val="goog_rdk_95"/>
      </w:sdtPr>
      <w:sdtContent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5"/>
        <w:tblW w:w="8792.0" w:type="dxa"/>
        <w:jc w:val="left"/>
        <w:tblInd w:w="0.0" w:type="dxa"/>
        <w:tblLayout w:type="fixed"/>
        <w:tblLook w:val="0000"/>
      </w:tblPr>
      <w:tblGrid>
        <w:gridCol w:w="4396"/>
        <w:gridCol w:w="4396"/>
        <w:tblGridChange w:id="0">
          <w:tblGrid>
            <w:gridCol w:w="4396"/>
            <w:gridCol w:w="4396"/>
          </w:tblGrid>
        </w:tblGridChange>
      </w:tblGrid>
      <w:tr>
        <w:tc>
          <w:tcPr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Pořadatel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Divadlo Bez zábradlí s.r.o.</w:t>
                </w:r>
              </w:p>
            </w:sdtContent>
          </w:sdt>
        </w:tc>
      </w:tr>
      <w:tr>
        <w:trPr>
          <w:trHeight w:val="320" w:hRule="atLeast"/>
        </w:trPr>
        <w:tc>
          <w:tcPr>
            <w:vAlign w:val="top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Tereza Nyklová</w:t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tajemnice divadla</w:t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09"/>
      </w:sdtPr>
      <w:sdtContent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sz w:val="24"/>
              <w:szCs w:val="24"/>
              <w:shd w:fill="auto" w:val="clear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Příloha č.1 ke smlouvě č.:25/9/2019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2"/>
      </w:sdtPr>
      <w:sdtContent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Při podpisu smlouvy vyznačte, které z uvedených variant technických podmínek se zavazujete splnit (pokud příloha ke smlouvě v jednotlivých bodech varianty nabízí), aby naši technici byli na uvedenou variantu připraveni.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Pokud potřebujete konzultovat některé technické problémy s našimi techniky, volejte je prosím přímo na jejich telefonní čísla.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TECHNICKÉ POŽADAVKY „ART“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1.jeviště: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šířka jeviště minimálně 7m mezi portály</w:t>
          </w:r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hloubka jeviště minimálně 6m a maximálně 9m od začátku jeviště</w:t>
          </w:r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půlený zadní horizont !!!</w:t>
          </w:r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nástupy z obou stran a zezadu</w:t>
          </w:r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průchod za horizontem</w:t>
          </w:r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boční vykrytí</w:t>
          </w:r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možnost vrtat do podlahy</w:t>
          </w:r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příjezd 3,5hod. před začátkem představením</w:t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- 2  jev. technici- k dispozici 3,5 hodiny před představením  a 1 hod. po  představení + pomoc při vykládání a nakládání techniky </w:t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možnost komunikace se zvukařem a osvětlovačem během představení !!!</w:t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rekvizitní stůl plus lampička</w:t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Jevištní mistr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Michal Maštalíř - 606 703 912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2.světlo: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přední světla (před oponou)</w:t>
            <w:tab/>
            <w:tab/>
            <w:t xml:space="preserve">16 x 1kW (FHR ap.)</w:t>
          </w:r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portálová světla</w:t>
            <w:tab/>
            <w:tab/>
            <w:t xml:space="preserve">  </w:t>
            <w:tab/>
            <w:t xml:space="preserve">8 x 1kW (FHR ap.)</w:t>
          </w:r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kontra světla na jevišti</w:t>
            <w:tab/>
            <w:tab/>
            <w:t xml:space="preserve">2 x 1kW (PAR64 ap.)</w:t>
          </w:r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kvalitní osvětlovací pult  </w:t>
          </w:r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Mistr světel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Jiří Hátle - 777 000 173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3. zvuk: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  1x minidisk přehrávač s funkcí Auto Pause. Minidisk přehrávač připojený do zvukového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mixážního pultu a zvuk rovnoměrně navolený do zadních a předních reproduktorů. Dva hlavní reproduktory pro hlediště divadla levá a pravá strana a dva reproduktory vzadu za jevištěm vlevo a vpravo nasměrované přes jeviště směrem do hlediště. </w:t>
          </w:r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Vedoucí zvukař divadla: Obst Jiří - 606 703 911</w:t>
          </w:r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55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Zvukař na zájezdech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Vrťátko Jiří - 728 283 728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55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55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4.dopravce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 firma Jiří Vrťátko; tel.: 728 283 728; e-mail: </w:t>
          </w:r>
          <w:hyperlink r:id="rId1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j.vrtatko@seznam.cz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6"/>
        <w:tblW w:w="9212.0" w:type="dxa"/>
        <w:jc w:val="left"/>
        <w:tblInd w:w="0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Align w:val="top"/>
          </w:tcPr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V 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Mělníku</w:t>
                </w: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dne……………..  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       V Praze dne ……………..</w:t>
                </w:r>
              </w:p>
            </w:sdtContent>
          </w:sdt>
        </w:tc>
      </w:tr>
    </w:tbl>
    <w:sdt>
      <w:sdtPr>
        <w:tag w:val="goog_rdk_147"/>
      </w:sdtPr>
      <w:sdtContent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7"/>
        <w:tblW w:w="9212.0" w:type="dxa"/>
        <w:jc w:val="left"/>
        <w:tblInd w:w="0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Pořadatel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Divadlo Bez zábradlí s.r.o.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Tereza Nyklová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 tajemnice divadla</w:t>
                </w:r>
              </w:p>
            </w:sdtContent>
          </w:sdt>
        </w:tc>
      </w:tr>
    </w:tbl>
    <w:sdt>
      <w:sdtPr>
        <w:tag w:val="goog_rdk_154"/>
      </w:sdtPr>
      <w:sdtContent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5"/>
      </w:sdtPr>
      <w:sdtContent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14" w:type="default"/>
      <w:pgSz w:h="16838" w:w="11906"/>
      <w:pgMar w:bottom="1417" w:top="1417" w:left="1417" w:right="1417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56"/>
    </w:sdtPr>
    <w:sdtContent>
      <w:p w:rsidR="00000000" w:rsidDel="00000000" w:rsidP="00000000" w:rsidRDefault="00000000" w:rsidRPr="00000000" w14:paraId="0000009D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  <w:sdt>
    <w:sdtPr>
      <w:tag w:val="goog_rdk_157"/>
    </w:sdtPr>
    <w:sdtContent>
      <w:p w:rsidR="00000000" w:rsidDel="00000000" w:rsidP="00000000" w:rsidRDefault="00000000" w:rsidRPr="00000000" w14:paraId="0000009E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40" w:lineRule="auto"/>
          <w:ind w:left="0" w:right="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andardnítext">
    <w:name w:val="Standardní text"/>
    <w:basedOn w:val="Normální"/>
    <w:next w:val="Standardní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snapToGrid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300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spacing">
    <w:name w:val="nospacing"/>
    <w:basedOn w:val="Normální"/>
    <w:next w:val="nospacing"/>
    <w:autoRedefine w:val="0"/>
    <w:hidden w:val="0"/>
    <w:qFormat w:val="0"/>
    <w:pPr>
      <w:suppressAutoHyphens w:val="1"/>
      <w:spacing w:after="45" w:before="45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Základnítext1">
    <w:name w:val="Základní text1"/>
    <w:basedOn w:val="Normální"/>
    <w:next w:val="Základnítext1"/>
    <w:autoRedefine w:val="0"/>
    <w:hidden w:val="0"/>
    <w:qFormat w:val="0"/>
    <w:pPr>
      <w:widowControl w:val="0"/>
      <w:suppressAutoHyphens w:val="0"/>
      <w:spacing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FormátovanývHTML">
    <w:name w:val="Formátovaný v HTML"/>
    <w:basedOn w:val="Normální"/>
    <w:next w:val="Formátovanýv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alibri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FormátovanývHTMLChar">
    <w:name w:val="Formátovaný v HTML Char"/>
    <w:next w:val="FormátovanývHTMLChar"/>
    <w:autoRedefine w:val="0"/>
    <w:hidden w:val="0"/>
    <w:qFormat w:val="0"/>
    <w:rPr>
      <w:rFonts w:ascii="Courier New" w:cs="Courier New" w:eastAsia="Calibri" w:hAnsi="Courier New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rutisova@mekuc.cz" TargetMode="External"/><Relationship Id="rId10" Type="http://schemas.openxmlformats.org/officeDocument/2006/relationships/hyperlink" Target="mailto:krutisova@mekuc.cz" TargetMode="External"/><Relationship Id="rId13" Type="http://schemas.openxmlformats.org/officeDocument/2006/relationships/hyperlink" Target="mailto:j.vrtatko@seznam.cz" TargetMode="External"/><Relationship Id="rId12" Type="http://schemas.openxmlformats.org/officeDocument/2006/relationships/hyperlink" Target="mailto:j.vrtatko@seznam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yklova@bezzabradli.cz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dukce@bezzabradli.cz" TargetMode="External"/><Relationship Id="rId8" Type="http://schemas.openxmlformats.org/officeDocument/2006/relationships/hyperlink" Target="http://www.divadlobezzabradl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nICtFKfSks1t5U5+q9ENEZw2Q==">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2019-06-11T07:58:00Z</dcterms:created>
  <dc:creator>Tonda Prynke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