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DC35F" w14:textId="76C3EA12" w:rsidR="00E15354" w:rsidRPr="00852220" w:rsidRDefault="00245BE1" w:rsidP="006E3C8D">
      <w:pPr>
        <w:pStyle w:val="Bezmezer1"/>
        <w:jc w:val="center"/>
        <w:rPr>
          <w:rFonts w:ascii="Arial" w:hAnsi="Arial" w:cs="Arial"/>
          <w:b/>
          <w:bCs/>
        </w:rPr>
      </w:pPr>
      <w:r w:rsidRPr="00852220">
        <w:rPr>
          <w:rFonts w:ascii="Arial" w:hAnsi="Arial" w:cs="Arial"/>
          <w:b/>
          <w:bCs/>
        </w:rPr>
        <w:t>KUPNÍ SMLOUVA</w:t>
      </w:r>
    </w:p>
    <w:p w14:paraId="6CDCC3FD" w14:textId="2A949BCE" w:rsidR="00D3165B" w:rsidRPr="00852220" w:rsidRDefault="00D3165B" w:rsidP="006E3C8D">
      <w:pPr>
        <w:pStyle w:val="Bezmezer1"/>
        <w:jc w:val="center"/>
        <w:rPr>
          <w:rFonts w:ascii="Arial" w:hAnsi="Arial" w:cs="Arial"/>
          <w:bCs/>
          <w:sz w:val="20"/>
          <w:szCs w:val="20"/>
        </w:rPr>
      </w:pPr>
      <w:r w:rsidRPr="00852220">
        <w:rPr>
          <w:rFonts w:ascii="Arial" w:hAnsi="Arial" w:cs="Arial"/>
          <w:bCs/>
          <w:sz w:val="20"/>
          <w:szCs w:val="20"/>
        </w:rPr>
        <w:t>________________________________________</w:t>
      </w:r>
      <w:r w:rsidR="00852220">
        <w:rPr>
          <w:rFonts w:ascii="Arial" w:hAnsi="Arial" w:cs="Arial"/>
          <w:bCs/>
          <w:sz w:val="20"/>
          <w:szCs w:val="20"/>
        </w:rPr>
        <w:t>______</w:t>
      </w:r>
      <w:r w:rsidRPr="00852220">
        <w:rPr>
          <w:rFonts w:ascii="Arial" w:hAnsi="Arial" w:cs="Arial"/>
          <w:bCs/>
          <w:sz w:val="20"/>
          <w:szCs w:val="20"/>
        </w:rPr>
        <w:t>_______________________________________</w:t>
      </w:r>
    </w:p>
    <w:p w14:paraId="6C57AEC1" w14:textId="77777777" w:rsidR="00E15354" w:rsidRPr="00852220" w:rsidRDefault="00E15354" w:rsidP="006E3C8D">
      <w:pPr>
        <w:pStyle w:val="Bezmezer1"/>
        <w:jc w:val="center"/>
        <w:rPr>
          <w:rFonts w:ascii="Arial" w:hAnsi="Arial" w:cs="Arial"/>
          <w:sz w:val="20"/>
          <w:szCs w:val="20"/>
        </w:rPr>
      </w:pPr>
    </w:p>
    <w:p w14:paraId="1A49B67B" w14:textId="54D21136" w:rsidR="00245BE1" w:rsidRDefault="00245BE1" w:rsidP="00D46F87">
      <w:pPr>
        <w:pStyle w:val="Bezmezer1"/>
        <w:rPr>
          <w:rFonts w:ascii="Arial" w:hAnsi="Arial" w:cs="Arial"/>
          <w:sz w:val="20"/>
          <w:szCs w:val="20"/>
        </w:rPr>
      </w:pPr>
      <w:r w:rsidRPr="00852220">
        <w:rPr>
          <w:rFonts w:ascii="Arial" w:hAnsi="Arial" w:cs="Arial"/>
          <w:b/>
          <w:sz w:val="20"/>
          <w:szCs w:val="20"/>
        </w:rPr>
        <w:t>Prodávající</w:t>
      </w:r>
      <w:r w:rsidRPr="00852220">
        <w:rPr>
          <w:rFonts w:ascii="Arial" w:hAnsi="Arial" w:cs="Arial"/>
          <w:sz w:val="20"/>
          <w:szCs w:val="20"/>
        </w:rPr>
        <w:t>:</w:t>
      </w:r>
      <w:r w:rsidRPr="00852220">
        <w:rPr>
          <w:rFonts w:ascii="Arial" w:hAnsi="Arial" w:cs="Arial"/>
          <w:sz w:val="20"/>
          <w:szCs w:val="20"/>
        </w:rPr>
        <w:tab/>
      </w:r>
      <w:r w:rsidRPr="00852220">
        <w:rPr>
          <w:rFonts w:ascii="Arial" w:hAnsi="Arial" w:cs="Arial"/>
          <w:sz w:val="20"/>
          <w:szCs w:val="20"/>
        </w:rPr>
        <w:tab/>
      </w:r>
      <w:r w:rsidRPr="00852220">
        <w:rPr>
          <w:rFonts w:ascii="Arial" w:hAnsi="Arial" w:cs="Arial"/>
          <w:sz w:val="20"/>
          <w:szCs w:val="20"/>
        </w:rPr>
        <w:tab/>
      </w:r>
      <w:proofErr w:type="spellStart"/>
      <w:r w:rsidR="00F410FF">
        <w:rPr>
          <w:rFonts w:ascii="Arial" w:hAnsi="Arial" w:cs="Arial"/>
          <w:b/>
          <w:sz w:val="20"/>
          <w:szCs w:val="20"/>
        </w:rPr>
        <w:t>CeWe</w:t>
      </w:r>
      <w:proofErr w:type="spellEnd"/>
      <w:r w:rsidR="00F410FF">
        <w:rPr>
          <w:rFonts w:ascii="Arial" w:hAnsi="Arial" w:cs="Arial"/>
          <w:b/>
          <w:sz w:val="20"/>
          <w:szCs w:val="20"/>
        </w:rPr>
        <w:t xml:space="preserve"> </w:t>
      </w:r>
      <w:proofErr w:type="spellStart"/>
      <w:r w:rsidR="00F410FF">
        <w:rPr>
          <w:rFonts w:ascii="Arial" w:hAnsi="Arial" w:cs="Arial"/>
          <w:b/>
          <w:sz w:val="20"/>
          <w:szCs w:val="20"/>
        </w:rPr>
        <w:t>Color</w:t>
      </w:r>
      <w:proofErr w:type="spellEnd"/>
      <w:r w:rsidR="00F410FF">
        <w:rPr>
          <w:rFonts w:ascii="Arial" w:hAnsi="Arial" w:cs="Arial"/>
          <w:b/>
          <w:sz w:val="20"/>
          <w:szCs w:val="20"/>
        </w:rPr>
        <w:t>, a.s</w:t>
      </w:r>
      <w:r w:rsidRPr="00852220">
        <w:rPr>
          <w:rFonts w:ascii="Arial" w:hAnsi="Arial" w:cs="Arial"/>
          <w:b/>
          <w:sz w:val="20"/>
          <w:szCs w:val="20"/>
        </w:rPr>
        <w:t>.</w:t>
      </w:r>
      <w:r w:rsidRPr="00852220">
        <w:rPr>
          <w:rFonts w:ascii="Arial" w:hAnsi="Arial" w:cs="Arial"/>
          <w:sz w:val="20"/>
          <w:szCs w:val="20"/>
        </w:rPr>
        <w:t xml:space="preserve">, IČ: </w:t>
      </w:r>
      <w:r w:rsidR="00F410FF">
        <w:rPr>
          <w:rFonts w:ascii="Arial" w:hAnsi="Arial" w:cs="Arial"/>
          <w:sz w:val="20"/>
          <w:szCs w:val="20"/>
        </w:rPr>
        <w:t>49241338</w:t>
      </w:r>
    </w:p>
    <w:p w14:paraId="3EF7263B" w14:textId="47664158" w:rsidR="00852220" w:rsidRDefault="00852220" w:rsidP="00D46F87">
      <w:pPr>
        <w:pStyle w:val="Bezmezer1"/>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se sídlem </w:t>
      </w:r>
      <w:r w:rsidR="00F410FF">
        <w:rPr>
          <w:rFonts w:ascii="Arial" w:hAnsi="Arial" w:cs="Arial"/>
          <w:sz w:val="20"/>
          <w:szCs w:val="20"/>
        </w:rPr>
        <w:t xml:space="preserve">Kloknerova 2278/24, PSČ, Chodov, Praha 4, 148 00 </w:t>
      </w:r>
    </w:p>
    <w:p w14:paraId="03844547" w14:textId="1BEF880F" w:rsidR="00852220" w:rsidRDefault="00852220" w:rsidP="00D46F87">
      <w:pPr>
        <w:pStyle w:val="Bezmezer1"/>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41CD1">
        <w:rPr>
          <w:rFonts w:ascii="Arial" w:hAnsi="Arial" w:cs="Arial"/>
          <w:sz w:val="20"/>
          <w:szCs w:val="20"/>
        </w:rPr>
        <w:t xml:space="preserve">spol. </w:t>
      </w:r>
      <w:r>
        <w:rPr>
          <w:rFonts w:ascii="Arial" w:hAnsi="Arial" w:cs="Arial"/>
          <w:sz w:val="20"/>
          <w:szCs w:val="20"/>
        </w:rPr>
        <w:t xml:space="preserve">zapsaná v obch. </w:t>
      </w:r>
      <w:proofErr w:type="gramStart"/>
      <w:r>
        <w:rPr>
          <w:rFonts w:ascii="Arial" w:hAnsi="Arial" w:cs="Arial"/>
          <w:sz w:val="20"/>
          <w:szCs w:val="20"/>
        </w:rPr>
        <w:t>rejstříku</w:t>
      </w:r>
      <w:proofErr w:type="gramEnd"/>
      <w:r w:rsidR="00F410FF">
        <w:rPr>
          <w:rFonts w:ascii="Arial" w:hAnsi="Arial" w:cs="Arial"/>
          <w:sz w:val="20"/>
          <w:szCs w:val="20"/>
        </w:rPr>
        <w:t xml:space="preserve"> u Městského soudu v Praze</w:t>
      </w:r>
      <w:r>
        <w:rPr>
          <w:rFonts w:ascii="Arial" w:hAnsi="Arial" w:cs="Arial"/>
          <w:sz w:val="20"/>
          <w:szCs w:val="20"/>
        </w:rPr>
        <w:t>,</w:t>
      </w:r>
    </w:p>
    <w:p w14:paraId="62094EE7" w14:textId="39CB5A73" w:rsidR="00852220" w:rsidRDefault="00852220" w:rsidP="00D46F87">
      <w:pPr>
        <w:pStyle w:val="Bezmezer1"/>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410FF">
        <w:rPr>
          <w:rFonts w:ascii="Arial" w:hAnsi="Arial" w:cs="Arial"/>
          <w:sz w:val="20"/>
          <w:szCs w:val="20"/>
        </w:rPr>
        <w:t>oddíl B</w:t>
      </w:r>
      <w:r>
        <w:rPr>
          <w:rFonts w:ascii="Arial" w:hAnsi="Arial" w:cs="Arial"/>
          <w:sz w:val="20"/>
          <w:szCs w:val="20"/>
        </w:rPr>
        <w:t xml:space="preserve">, vložka </w:t>
      </w:r>
      <w:r w:rsidR="00F410FF">
        <w:rPr>
          <w:rFonts w:ascii="Arial" w:hAnsi="Arial" w:cs="Arial"/>
          <w:sz w:val="20"/>
          <w:szCs w:val="20"/>
        </w:rPr>
        <w:t>2111</w:t>
      </w:r>
    </w:p>
    <w:p w14:paraId="7306FD16" w14:textId="0DC2F25A" w:rsidR="00852220" w:rsidRDefault="00852220" w:rsidP="00D46F87">
      <w:pPr>
        <w:pStyle w:val="Bezmezer1"/>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21E1C">
        <w:rPr>
          <w:rFonts w:ascii="Arial" w:hAnsi="Arial" w:cs="Arial"/>
          <w:i/>
          <w:sz w:val="20"/>
          <w:szCs w:val="20"/>
        </w:rPr>
        <w:t>zastoupená</w:t>
      </w:r>
      <w:r w:rsidR="00A2310A">
        <w:rPr>
          <w:rFonts w:ascii="Arial" w:hAnsi="Arial" w:cs="Arial"/>
          <w:i/>
          <w:sz w:val="20"/>
          <w:szCs w:val="20"/>
        </w:rPr>
        <w:t xml:space="preserve"> </w:t>
      </w:r>
      <w:proofErr w:type="spellStart"/>
      <w:proofErr w:type="gramStart"/>
      <w:r w:rsidR="00921E1C">
        <w:rPr>
          <w:rFonts w:ascii="Arial" w:hAnsi="Arial" w:cs="Arial"/>
          <w:i/>
          <w:sz w:val="20"/>
          <w:szCs w:val="20"/>
        </w:rPr>
        <w:t>Ing.Pavlem</w:t>
      </w:r>
      <w:proofErr w:type="spellEnd"/>
      <w:proofErr w:type="gramEnd"/>
      <w:r w:rsidR="00921E1C">
        <w:rPr>
          <w:rFonts w:ascii="Arial" w:hAnsi="Arial" w:cs="Arial"/>
          <w:i/>
          <w:sz w:val="20"/>
          <w:szCs w:val="20"/>
        </w:rPr>
        <w:t xml:space="preserve"> Schreiberem, </w:t>
      </w:r>
      <w:proofErr w:type="spellStart"/>
      <w:r w:rsidR="00921E1C">
        <w:rPr>
          <w:rFonts w:ascii="Arial" w:hAnsi="Arial" w:cs="Arial"/>
          <w:i/>
          <w:sz w:val="20"/>
          <w:szCs w:val="20"/>
        </w:rPr>
        <w:t>Ing.Martinem</w:t>
      </w:r>
      <w:proofErr w:type="spellEnd"/>
      <w:r w:rsidR="00921E1C">
        <w:rPr>
          <w:rFonts w:ascii="Arial" w:hAnsi="Arial" w:cs="Arial"/>
          <w:i/>
          <w:sz w:val="20"/>
          <w:szCs w:val="20"/>
        </w:rPr>
        <w:t xml:space="preserve"> Dvořákem</w:t>
      </w:r>
    </w:p>
    <w:p w14:paraId="6D65B1CC" w14:textId="122A64C3" w:rsidR="004F60DE" w:rsidRDefault="004F60DE" w:rsidP="00D46F87">
      <w:pPr>
        <w:pStyle w:val="Bezmezer1"/>
        <w:rPr>
          <w:rFonts w:ascii="Arial" w:hAnsi="Arial" w:cs="Arial"/>
          <w:i/>
          <w:sz w:val="20"/>
          <w:szCs w:val="20"/>
        </w:rPr>
      </w:pPr>
    </w:p>
    <w:p w14:paraId="54054F64" w14:textId="77777777" w:rsidR="004F60DE" w:rsidRDefault="004F60DE" w:rsidP="00D46F87">
      <w:pPr>
        <w:pStyle w:val="Bezmezer1"/>
        <w:rPr>
          <w:rFonts w:ascii="Arial" w:hAnsi="Arial" w:cs="Arial"/>
          <w:i/>
          <w:sz w:val="20"/>
          <w:szCs w:val="20"/>
        </w:rPr>
      </w:pPr>
    </w:p>
    <w:p w14:paraId="075C5965" w14:textId="511A1BAE" w:rsidR="00852220" w:rsidRDefault="00852220" w:rsidP="00D46F87">
      <w:pPr>
        <w:pStyle w:val="Bezmezer1"/>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na straně jedné (dále jen „</w:t>
      </w:r>
      <w:r w:rsidRPr="00852220">
        <w:rPr>
          <w:rFonts w:ascii="Arial" w:hAnsi="Arial" w:cs="Arial"/>
          <w:b/>
          <w:i/>
          <w:sz w:val="20"/>
          <w:szCs w:val="20"/>
        </w:rPr>
        <w:t>prodávající</w:t>
      </w:r>
      <w:r>
        <w:rPr>
          <w:rFonts w:ascii="Arial" w:hAnsi="Arial" w:cs="Arial"/>
          <w:i/>
          <w:sz w:val="20"/>
          <w:szCs w:val="20"/>
        </w:rPr>
        <w:t>“)</w:t>
      </w:r>
    </w:p>
    <w:p w14:paraId="71A4D021" w14:textId="5AD16DBC" w:rsidR="00852220" w:rsidRDefault="00852220" w:rsidP="00D46F87">
      <w:pPr>
        <w:pStyle w:val="Bezmezer1"/>
        <w:rPr>
          <w:rFonts w:ascii="Arial" w:hAnsi="Arial" w:cs="Arial"/>
          <w:i/>
          <w:sz w:val="20"/>
          <w:szCs w:val="20"/>
        </w:rPr>
      </w:pPr>
    </w:p>
    <w:p w14:paraId="2F6BA6EE" w14:textId="5041F299" w:rsidR="00852220" w:rsidRDefault="00852220" w:rsidP="00D46F87">
      <w:pPr>
        <w:pStyle w:val="Bezmezer1"/>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sz w:val="20"/>
          <w:szCs w:val="20"/>
        </w:rPr>
        <w:t>a</w:t>
      </w:r>
    </w:p>
    <w:p w14:paraId="0D04B22C" w14:textId="08340C9E" w:rsidR="00852220" w:rsidRPr="00DA55D6" w:rsidRDefault="00852220" w:rsidP="00DA55D6">
      <w:pPr>
        <w:pStyle w:val="Bezmezer1"/>
        <w:rPr>
          <w:rFonts w:ascii="Arial" w:hAnsi="Arial" w:cs="Arial"/>
          <w:sz w:val="20"/>
          <w:szCs w:val="20"/>
        </w:rPr>
      </w:pPr>
    </w:p>
    <w:p w14:paraId="1D4A96CF" w14:textId="77777777" w:rsidR="00DA55D6" w:rsidRPr="00DA55D6" w:rsidRDefault="00852220" w:rsidP="00DA55D6">
      <w:pPr>
        <w:spacing w:after="0"/>
        <w:jc w:val="both"/>
        <w:rPr>
          <w:rFonts w:ascii="Arial" w:hAnsi="Arial" w:cs="Arial"/>
          <w:sz w:val="20"/>
          <w:szCs w:val="20"/>
        </w:rPr>
      </w:pPr>
      <w:r w:rsidRPr="00DA55D6">
        <w:rPr>
          <w:rFonts w:ascii="Arial" w:hAnsi="Arial" w:cs="Arial"/>
          <w:b/>
          <w:sz w:val="20"/>
          <w:szCs w:val="20"/>
        </w:rPr>
        <w:t>Kupující</w:t>
      </w:r>
      <w:r w:rsidRPr="00DA55D6">
        <w:rPr>
          <w:rFonts w:ascii="Arial" w:hAnsi="Arial" w:cs="Arial"/>
          <w:sz w:val="20"/>
          <w:szCs w:val="20"/>
        </w:rPr>
        <w:t>:</w:t>
      </w:r>
      <w:r w:rsidRPr="00DA55D6">
        <w:rPr>
          <w:rFonts w:ascii="Arial" w:hAnsi="Arial" w:cs="Arial"/>
          <w:sz w:val="20"/>
          <w:szCs w:val="20"/>
        </w:rPr>
        <w:tab/>
      </w:r>
      <w:r w:rsidRPr="00DA55D6">
        <w:rPr>
          <w:rFonts w:ascii="Arial" w:hAnsi="Arial" w:cs="Arial"/>
          <w:sz w:val="20"/>
          <w:szCs w:val="20"/>
        </w:rPr>
        <w:tab/>
      </w:r>
      <w:r w:rsidRPr="00DA55D6">
        <w:rPr>
          <w:rFonts w:ascii="Arial" w:hAnsi="Arial" w:cs="Arial"/>
          <w:sz w:val="20"/>
          <w:szCs w:val="20"/>
        </w:rPr>
        <w:tab/>
      </w:r>
      <w:r w:rsidR="00DA55D6" w:rsidRPr="00DA55D6">
        <w:rPr>
          <w:rFonts w:ascii="Arial" w:hAnsi="Arial" w:cs="Arial"/>
          <w:b/>
          <w:sz w:val="20"/>
          <w:szCs w:val="20"/>
        </w:rPr>
        <w:t>Oblastní muzeum v Litoměřicích, příspěvková organizace</w:t>
      </w:r>
    </w:p>
    <w:p w14:paraId="518851F3" w14:textId="77777777" w:rsidR="00DA55D6" w:rsidRPr="00DA55D6" w:rsidRDefault="00DA55D6" w:rsidP="00DA55D6">
      <w:pPr>
        <w:spacing w:after="0"/>
        <w:ind w:left="2124" w:firstLine="708"/>
        <w:jc w:val="both"/>
        <w:rPr>
          <w:rFonts w:ascii="Arial" w:hAnsi="Arial" w:cs="Arial"/>
          <w:b/>
          <w:sz w:val="20"/>
          <w:szCs w:val="20"/>
        </w:rPr>
      </w:pPr>
      <w:r w:rsidRPr="00DA55D6">
        <w:rPr>
          <w:rFonts w:ascii="Arial" w:hAnsi="Arial" w:cs="Arial"/>
          <w:sz w:val="20"/>
          <w:szCs w:val="20"/>
        </w:rPr>
        <w:t>IČ: 00360635</w:t>
      </w:r>
    </w:p>
    <w:p w14:paraId="75BCAD71" w14:textId="77777777" w:rsidR="00DA55D6" w:rsidRPr="00DA55D6" w:rsidRDefault="00DA55D6" w:rsidP="00DA55D6">
      <w:pPr>
        <w:spacing w:after="0"/>
        <w:ind w:left="2832"/>
        <w:jc w:val="both"/>
        <w:rPr>
          <w:rFonts w:ascii="Arial" w:hAnsi="Arial" w:cs="Arial"/>
          <w:sz w:val="20"/>
          <w:szCs w:val="20"/>
        </w:rPr>
      </w:pPr>
      <w:r w:rsidRPr="00DA55D6">
        <w:rPr>
          <w:rFonts w:ascii="Arial" w:hAnsi="Arial" w:cs="Arial"/>
          <w:sz w:val="20"/>
          <w:szCs w:val="20"/>
        </w:rPr>
        <w:t>se sídlem Litoměřice, Dlouhá 173/15, PSČ 412 01</w:t>
      </w:r>
    </w:p>
    <w:p w14:paraId="6256C3E8" w14:textId="77777777" w:rsidR="00DA55D6" w:rsidRPr="00DA55D6" w:rsidRDefault="00DA55D6" w:rsidP="00DA55D6">
      <w:pPr>
        <w:spacing w:after="0"/>
        <w:ind w:left="2832"/>
        <w:jc w:val="both"/>
        <w:rPr>
          <w:rFonts w:ascii="Arial" w:hAnsi="Arial" w:cs="Arial"/>
          <w:sz w:val="20"/>
          <w:szCs w:val="20"/>
        </w:rPr>
      </w:pPr>
      <w:r w:rsidRPr="00DA55D6">
        <w:rPr>
          <w:rFonts w:ascii="Arial" w:hAnsi="Arial" w:cs="Arial"/>
          <w:sz w:val="20"/>
          <w:szCs w:val="20"/>
        </w:rPr>
        <w:t xml:space="preserve">organizace zapsaná v obch. </w:t>
      </w:r>
      <w:proofErr w:type="gramStart"/>
      <w:r w:rsidRPr="00DA55D6">
        <w:rPr>
          <w:rFonts w:ascii="Arial" w:hAnsi="Arial" w:cs="Arial"/>
          <w:sz w:val="20"/>
          <w:szCs w:val="20"/>
        </w:rPr>
        <w:t>rejstříku</w:t>
      </w:r>
      <w:proofErr w:type="gramEnd"/>
      <w:r w:rsidRPr="00DA55D6">
        <w:rPr>
          <w:rFonts w:ascii="Arial" w:hAnsi="Arial" w:cs="Arial"/>
          <w:sz w:val="20"/>
          <w:szCs w:val="20"/>
        </w:rPr>
        <w:t xml:space="preserve"> u Krajského soudu v Ústí nad Labem, oddíl </w:t>
      </w:r>
      <w:proofErr w:type="spellStart"/>
      <w:r w:rsidRPr="00DA55D6">
        <w:rPr>
          <w:rFonts w:ascii="Arial" w:hAnsi="Arial" w:cs="Arial"/>
          <w:sz w:val="20"/>
          <w:szCs w:val="20"/>
        </w:rPr>
        <w:t>Pr</w:t>
      </w:r>
      <w:proofErr w:type="spellEnd"/>
      <w:r w:rsidRPr="00DA55D6">
        <w:rPr>
          <w:rFonts w:ascii="Arial" w:hAnsi="Arial" w:cs="Arial"/>
          <w:sz w:val="20"/>
          <w:szCs w:val="20"/>
        </w:rPr>
        <w:t>, vložka 474</w:t>
      </w:r>
    </w:p>
    <w:p w14:paraId="35A67EDD" w14:textId="6B6134C0" w:rsidR="00DA55D6" w:rsidRPr="00DA55D6" w:rsidRDefault="00DA55D6" w:rsidP="00DA55D6">
      <w:pPr>
        <w:spacing w:after="0"/>
        <w:ind w:left="2832"/>
        <w:jc w:val="both"/>
        <w:rPr>
          <w:rFonts w:ascii="Arial" w:hAnsi="Arial" w:cs="Arial"/>
          <w:i/>
          <w:sz w:val="20"/>
          <w:szCs w:val="20"/>
        </w:rPr>
      </w:pPr>
      <w:r w:rsidRPr="00DA55D6">
        <w:rPr>
          <w:rFonts w:ascii="Arial" w:hAnsi="Arial" w:cs="Arial"/>
          <w:i/>
          <w:sz w:val="20"/>
          <w:szCs w:val="20"/>
        </w:rPr>
        <w:t>zastoupená Mgr. Tomášem Wiesnerem, ředitelem</w:t>
      </w:r>
    </w:p>
    <w:p w14:paraId="69EAEE5E" w14:textId="733536E5" w:rsidR="004F60DE" w:rsidRPr="009E6FCE" w:rsidRDefault="00852220" w:rsidP="00852220">
      <w:pPr>
        <w:pStyle w:val="Bezmezer1"/>
        <w:rPr>
          <w:rFonts w:ascii="Arial" w:hAnsi="Arial" w:cs="Arial"/>
          <w:i/>
          <w:sz w:val="20"/>
          <w:szCs w:val="20"/>
        </w:rPr>
      </w:pPr>
      <w:r>
        <w:rPr>
          <w:rFonts w:ascii="Arial" w:hAnsi="Arial" w:cs="Arial"/>
          <w:i/>
          <w:sz w:val="20"/>
          <w:szCs w:val="20"/>
        </w:rPr>
        <w:tab/>
      </w:r>
      <w:r>
        <w:rPr>
          <w:rFonts w:ascii="Arial" w:hAnsi="Arial" w:cs="Arial"/>
          <w:i/>
          <w:sz w:val="20"/>
          <w:szCs w:val="20"/>
        </w:rPr>
        <w:tab/>
      </w:r>
    </w:p>
    <w:p w14:paraId="2696C7E9" w14:textId="77777777" w:rsidR="004F60DE" w:rsidRDefault="004F60DE" w:rsidP="00852220">
      <w:pPr>
        <w:pStyle w:val="Bezmezer1"/>
        <w:rPr>
          <w:rFonts w:ascii="Arial" w:hAnsi="Arial" w:cs="Arial"/>
          <w:i/>
          <w:sz w:val="20"/>
          <w:szCs w:val="20"/>
        </w:rPr>
      </w:pPr>
    </w:p>
    <w:p w14:paraId="7CC0B40A" w14:textId="1E04CF5C" w:rsidR="00852220" w:rsidRDefault="00852220" w:rsidP="00852220">
      <w:pPr>
        <w:pStyle w:val="Bezmezer1"/>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na straně druhé (dále jen „</w:t>
      </w:r>
      <w:r>
        <w:rPr>
          <w:rFonts w:ascii="Arial" w:hAnsi="Arial" w:cs="Arial"/>
          <w:b/>
          <w:i/>
          <w:sz w:val="20"/>
          <w:szCs w:val="20"/>
        </w:rPr>
        <w:t>kupující</w:t>
      </w:r>
      <w:r>
        <w:rPr>
          <w:rFonts w:ascii="Arial" w:hAnsi="Arial" w:cs="Arial"/>
          <w:i/>
          <w:sz w:val="20"/>
          <w:szCs w:val="20"/>
        </w:rPr>
        <w:t>“)</w:t>
      </w:r>
    </w:p>
    <w:p w14:paraId="4FAF87A0" w14:textId="1BF2F31F" w:rsidR="00953F70" w:rsidRDefault="00953F70" w:rsidP="00852220">
      <w:pPr>
        <w:pStyle w:val="Bezmezer1"/>
        <w:jc w:val="both"/>
        <w:rPr>
          <w:rFonts w:ascii="Arial" w:hAnsi="Arial" w:cs="Arial"/>
          <w:sz w:val="20"/>
          <w:szCs w:val="20"/>
        </w:rPr>
      </w:pPr>
    </w:p>
    <w:p w14:paraId="5265B89D" w14:textId="77777777" w:rsidR="00953F70" w:rsidRDefault="00953F70" w:rsidP="00852220">
      <w:pPr>
        <w:pStyle w:val="Bezmezer1"/>
        <w:jc w:val="both"/>
        <w:rPr>
          <w:rFonts w:ascii="Arial" w:hAnsi="Arial" w:cs="Arial"/>
          <w:sz w:val="20"/>
          <w:szCs w:val="20"/>
        </w:rPr>
      </w:pPr>
    </w:p>
    <w:p w14:paraId="4FD4B994" w14:textId="258948AE" w:rsidR="00852220" w:rsidRPr="00852220" w:rsidRDefault="00852220" w:rsidP="00852220">
      <w:pPr>
        <w:pStyle w:val="Bezmezer1"/>
        <w:jc w:val="center"/>
        <w:rPr>
          <w:rFonts w:ascii="Arial" w:hAnsi="Arial" w:cs="Arial"/>
          <w:sz w:val="20"/>
          <w:szCs w:val="20"/>
        </w:rPr>
      </w:pPr>
      <w:r>
        <w:rPr>
          <w:rFonts w:ascii="Arial" w:hAnsi="Arial" w:cs="Arial"/>
          <w:sz w:val="20"/>
          <w:szCs w:val="20"/>
        </w:rPr>
        <w:t>uzavírají níže uvedeného data tuto</w:t>
      </w:r>
    </w:p>
    <w:p w14:paraId="11340647" w14:textId="1821C2F7" w:rsidR="00330DEE" w:rsidRPr="00852220" w:rsidRDefault="00852220" w:rsidP="00852220">
      <w:pPr>
        <w:pStyle w:val="Bezmezer1"/>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2B04A1C1" w14:textId="74969903" w:rsidR="00330DEE" w:rsidRPr="00852220" w:rsidRDefault="00330DEE" w:rsidP="00330DEE">
      <w:pPr>
        <w:pStyle w:val="Bezmezer1"/>
        <w:jc w:val="center"/>
        <w:rPr>
          <w:rFonts w:ascii="Arial" w:hAnsi="Arial" w:cs="Arial"/>
          <w:sz w:val="20"/>
          <w:szCs w:val="20"/>
        </w:rPr>
      </w:pPr>
      <w:r w:rsidRPr="00852220">
        <w:rPr>
          <w:rFonts w:ascii="Arial" w:hAnsi="Arial" w:cs="Arial"/>
          <w:b/>
          <w:sz w:val="20"/>
          <w:szCs w:val="20"/>
        </w:rPr>
        <w:t xml:space="preserve">kupní </w:t>
      </w:r>
      <w:r w:rsidR="00D32F76" w:rsidRPr="00852220">
        <w:rPr>
          <w:rFonts w:ascii="Arial" w:hAnsi="Arial" w:cs="Arial"/>
          <w:b/>
          <w:sz w:val="20"/>
          <w:szCs w:val="20"/>
        </w:rPr>
        <w:t>smlouvu</w:t>
      </w:r>
      <w:r w:rsidRPr="00852220">
        <w:rPr>
          <w:rFonts w:ascii="Arial" w:hAnsi="Arial" w:cs="Arial"/>
          <w:sz w:val="20"/>
          <w:szCs w:val="20"/>
        </w:rPr>
        <w:t>:</w:t>
      </w:r>
    </w:p>
    <w:p w14:paraId="767C7E8B" w14:textId="0B16CA6B" w:rsidR="00E15354" w:rsidRPr="00852220" w:rsidRDefault="0084754C" w:rsidP="0084754C">
      <w:pPr>
        <w:pStyle w:val="Bezmezer1"/>
        <w:jc w:val="center"/>
        <w:rPr>
          <w:rFonts w:ascii="Arial" w:hAnsi="Arial" w:cs="Arial"/>
          <w:sz w:val="20"/>
          <w:szCs w:val="20"/>
        </w:rPr>
      </w:pPr>
      <w:r w:rsidRPr="00852220">
        <w:rPr>
          <w:rFonts w:ascii="Arial" w:hAnsi="Arial" w:cs="Arial"/>
          <w:sz w:val="20"/>
          <w:szCs w:val="20"/>
        </w:rPr>
        <w:t>(dále jen „</w:t>
      </w:r>
      <w:r w:rsidRPr="00852220">
        <w:rPr>
          <w:rFonts w:ascii="Arial" w:hAnsi="Arial" w:cs="Arial"/>
          <w:b/>
          <w:sz w:val="20"/>
          <w:szCs w:val="20"/>
        </w:rPr>
        <w:t>smlouva</w:t>
      </w:r>
      <w:r w:rsidRPr="00852220">
        <w:rPr>
          <w:rFonts w:ascii="Arial" w:hAnsi="Arial" w:cs="Arial"/>
          <w:sz w:val="20"/>
          <w:szCs w:val="20"/>
        </w:rPr>
        <w:t>“)</w:t>
      </w:r>
    </w:p>
    <w:p w14:paraId="09BC969D" w14:textId="5434F4C3" w:rsidR="00CB4881" w:rsidRDefault="00CB4881" w:rsidP="00D46F87">
      <w:pPr>
        <w:pStyle w:val="Bezmezer1"/>
        <w:rPr>
          <w:rFonts w:ascii="Arial" w:hAnsi="Arial" w:cs="Arial"/>
          <w:sz w:val="20"/>
          <w:szCs w:val="20"/>
        </w:rPr>
      </w:pPr>
    </w:p>
    <w:p w14:paraId="0E9ECAC3" w14:textId="77777777" w:rsidR="00D853C8" w:rsidRDefault="00D853C8" w:rsidP="00D46F87">
      <w:pPr>
        <w:pStyle w:val="Bezmezer1"/>
        <w:rPr>
          <w:rFonts w:ascii="Arial" w:hAnsi="Arial" w:cs="Arial"/>
          <w:sz w:val="20"/>
          <w:szCs w:val="20"/>
        </w:rPr>
      </w:pPr>
    </w:p>
    <w:p w14:paraId="4797E4D2" w14:textId="293229A7" w:rsidR="00852220" w:rsidRDefault="00852220" w:rsidP="00D46F87">
      <w:pPr>
        <w:pStyle w:val="Bezmezer1"/>
        <w:rPr>
          <w:rFonts w:ascii="Arial" w:hAnsi="Arial" w:cs="Arial"/>
          <w:sz w:val="20"/>
          <w:szCs w:val="20"/>
        </w:rPr>
      </w:pPr>
    </w:p>
    <w:p w14:paraId="0474AB96" w14:textId="3CC41522" w:rsidR="00852220" w:rsidRPr="00852220" w:rsidRDefault="00852220" w:rsidP="00852220">
      <w:pPr>
        <w:pStyle w:val="Bezmezer1"/>
        <w:jc w:val="center"/>
        <w:rPr>
          <w:rFonts w:ascii="Arial" w:hAnsi="Arial" w:cs="Arial"/>
          <w:b/>
          <w:sz w:val="20"/>
          <w:szCs w:val="20"/>
        </w:rPr>
      </w:pPr>
      <w:r w:rsidRPr="00852220">
        <w:rPr>
          <w:rFonts w:ascii="Arial" w:hAnsi="Arial" w:cs="Arial"/>
          <w:b/>
          <w:sz w:val="20"/>
          <w:szCs w:val="20"/>
        </w:rPr>
        <w:t>Čl. I</w:t>
      </w:r>
    </w:p>
    <w:p w14:paraId="2E764187" w14:textId="10781CB2" w:rsidR="00CB4881" w:rsidRPr="00852220" w:rsidRDefault="00852220" w:rsidP="00E804A0">
      <w:pPr>
        <w:pStyle w:val="Bezmezer1"/>
        <w:jc w:val="center"/>
        <w:rPr>
          <w:rFonts w:ascii="Arial" w:hAnsi="Arial" w:cs="Arial"/>
          <w:b/>
          <w:sz w:val="20"/>
          <w:szCs w:val="20"/>
        </w:rPr>
      </w:pPr>
      <w:r w:rsidRPr="00852220">
        <w:rPr>
          <w:rFonts w:ascii="Arial" w:hAnsi="Arial" w:cs="Arial"/>
          <w:b/>
          <w:sz w:val="20"/>
          <w:szCs w:val="20"/>
        </w:rPr>
        <w:t xml:space="preserve">Úvodní ustanovení, </w:t>
      </w:r>
      <w:r w:rsidR="00157668">
        <w:rPr>
          <w:rFonts w:ascii="Arial" w:hAnsi="Arial" w:cs="Arial"/>
          <w:b/>
          <w:sz w:val="20"/>
          <w:szCs w:val="20"/>
        </w:rPr>
        <w:t>vymezení předmětu převodu</w:t>
      </w:r>
    </w:p>
    <w:p w14:paraId="4EFACE83" w14:textId="2A25E596" w:rsidR="009E6FCE" w:rsidRDefault="009E6FCE" w:rsidP="00B67FAF">
      <w:pPr>
        <w:pStyle w:val="Bezmezer1"/>
        <w:numPr>
          <w:ilvl w:val="0"/>
          <w:numId w:val="11"/>
        </w:numPr>
        <w:jc w:val="both"/>
        <w:rPr>
          <w:rFonts w:ascii="Arial" w:hAnsi="Arial" w:cs="Arial"/>
          <w:sz w:val="20"/>
          <w:szCs w:val="20"/>
        </w:rPr>
      </w:pPr>
      <w:r>
        <w:rPr>
          <w:rFonts w:ascii="Arial" w:hAnsi="Arial" w:cs="Arial"/>
          <w:sz w:val="20"/>
          <w:szCs w:val="20"/>
        </w:rPr>
        <w:t>Kupující má zájem zakoup</w:t>
      </w:r>
      <w:r w:rsidR="00F410FF">
        <w:rPr>
          <w:rFonts w:ascii="Arial" w:hAnsi="Arial" w:cs="Arial"/>
          <w:sz w:val="20"/>
          <w:szCs w:val="20"/>
        </w:rPr>
        <w:t xml:space="preserve">it digitální zrcadlovku </w:t>
      </w:r>
      <w:proofErr w:type="spellStart"/>
      <w:r w:rsidR="00F410FF">
        <w:rPr>
          <w:rFonts w:ascii="Arial" w:hAnsi="Arial" w:cs="Arial"/>
          <w:sz w:val="20"/>
          <w:szCs w:val="20"/>
        </w:rPr>
        <w:t>Nikon</w:t>
      </w:r>
      <w:proofErr w:type="spellEnd"/>
      <w:r w:rsidR="00F27CD7">
        <w:rPr>
          <w:rFonts w:ascii="Arial" w:hAnsi="Arial" w:cs="Arial"/>
          <w:sz w:val="20"/>
          <w:szCs w:val="20"/>
        </w:rPr>
        <w:t xml:space="preserve">  D 850 s příslušenstvím (originální základní objektiv 24-70mm f/2,8; objektiv 70-200mm f/2,8; paměť</w:t>
      </w:r>
      <w:r w:rsidR="00421F28">
        <w:rPr>
          <w:rFonts w:ascii="Arial" w:hAnsi="Arial" w:cs="Arial"/>
          <w:sz w:val="20"/>
          <w:szCs w:val="20"/>
        </w:rPr>
        <w:t>ová karta</w:t>
      </w:r>
      <w:r w:rsidR="00F27CD7">
        <w:rPr>
          <w:rFonts w:ascii="Arial" w:hAnsi="Arial" w:cs="Arial"/>
          <w:sz w:val="20"/>
          <w:szCs w:val="20"/>
        </w:rPr>
        <w:t xml:space="preserve">; dobíjecí baterie a </w:t>
      </w:r>
      <w:proofErr w:type="gramStart"/>
      <w:r w:rsidR="00F27CD7">
        <w:rPr>
          <w:rFonts w:ascii="Arial" w:hAnsi="Arial" w:cs="Arial"/>
          <w:sz w:val="20"/>
          <w:szCs w:val="20"/>
        </w:rPr>
        <w:t>fotobrašna)</w:t>
      </w:r>
      <w:r w:rsidR="00F410FF">
        <w:rPr>
          <w:rFonts w:ascii="Arial" w:hAnsi="Arial" w:cs="Arial"/>
          <w:sz w:val="20"/>
          <w:szCs w:val="20"/>
        </w:rPr>
        <w:t xml:space="preserve"> </w:t>
      </w:r>
      <w:r w:rsidR="00F27CD7">
        <w:rPr>
          <w:rFonts w:ascii="Arial" w:hAnsi="Arial" w:cs="Arial"/>
          <w:sz w:val="20"/>
          <w:szCs w:val="20"/>
        </w:rPr>
        <w:t>, prodávající</w:t>
      </w:r>
      <w:proofErr w:type="gramEnd"/>
      <w:r w:rsidR="00F27CD7">
        <w:rPr>
          <w:rFonts w:ascii="Arial" w:hAnsi="Arial" w:cs="Arial"/>
          <w:sz w:val="20"/>
          <w:szCs w:val="20"/>
        </w:rPr>
        <w:t xml:space="preserve"> je schopen tuto digitální zrcadlovku </w:t>
      </w:r>
      <w:proofErr w:type="spellStart"/>
      <w:r w:rsidR="00F27CD7">
        <w:rPr>
          <w:rFonts w:ascii="Arial" w:hAnsi="Arial" w:cs="Arial"/>
          <w:sz w:val="20"/>
          <w:szCs w:val="20"/>
        </w:rPr>
        <w:t>Nikon</w:t>
      </w:r>
      <w:proofErr w:type="spellEnd"/>
      <w:r w:rsidR="00F27CD7">
        <w:rPr>
          <w:rFonts w:ascii="Arial" w:hAnsi="Arial" w:cs="Arial"/>
          <w:sz w:val="20"/>
          <w:szCs w:val="20"/>
        </w:rPr>
        <w:t xml:space="preserve">  D 850 s příslušenstvím</w:t>
      </w:r>
      <w:r>
        <w:rPr>
          <w:rFonts w:ascii="Arial" w:hAnsi="Arial" w:cs="Arial"/>
          <w:sz w:val="20"/>
          <w:szCs w:val="20"/>
        </w:rPr>
        <w:t xml:space="preserve"> kupujícímu dodat. Smluvní strany se proto dohodly, že prodávající kupujícímu prodává níže specifikova</w:t>
      </w:r>
      <w:r w:rsidR="00F27CD7">
        <w:rPr>
          <w:rFonts w:ascii="Arial" w:hAnsi="Arial" w:cs="Arial"/>
          <w:sz w:val="20"/>
          <w:szCs w:val="20"/>
        </w:rPr>
        <w:t xml:space="preserve">nou digitální zrcadlovku </w:t>
      </w:r>
      <w:proofErr w:type="spellStart"/>
      <w:r w:rsidR="00F27CD7">
        <w:rPr>
          <w:rFonts w:ascii="Arial" w:hAnsi="Arial" w:cs="Arial"/>
          <w:sz w:val="20"/>
          <w:szCs w:val="20"/>
        </w:rPr>
        <w:t>Nikon</w:t>
      </w:r>
      <w:proofErr w:type="spellEnd"/>
      <w:r w:rsidR="00F27CD7">
        <w:rPr>
          <w:rFonts w:ascii="Arial" w:hAnsi="Arial" w:cs="Arial"/>
          <w:sz w:val="20"/>
          <w:szCs w:val="20"/>
        </w:rPr>
        <w:t xml:space="preserve"> s příslušenstvím</w:t>
      </w:r>
      <w:r>
        <w:rPr>
          <w:rFonts w:ascii="Arial" w:hAnsi="Arial" w:cs="Arial"/>
          <w:sz w:val="20"/>
          <w:szCs w:val="20"/>
        </w:rPr>
        <w:t xml:space="preserve"> (dále jen „</w:t>
      </w:r>
      <w:r w:rsidRPr="009E6FCE">
        <w:rPr>
          <w:rFonts w:ascii="Arial" w:hAnsi="Arial" w:cs="Arial"/>
          <w:b/>
          <w:sz w:val="20"/>
          <w:szCs w:val="20"/>
        </w:rPr>
        <w:t>předmět převodu</w:t>
      </w:r>
      <w:r w:rsidR="00F27CD7">
        <w:rPr>
          <w:rFonts w:ascii="Arial" w:hAnsi="Arial" w:cs="Arial"/>
          <w:sz w:val="20"/>
          <w:szCs w:val="20"/>
        </w:rPr>
        <w:t xml:space="preserve">“). Kupující se zavazuje digitální zrcadlovku </w:t>
      </w:r>
      <w:proofErr w:type="spellStart"/>
      <w:r w:rsidR="00F27CD7">
        <w:rPr>
          <w:rFonts w:ascii="Arial" w:hAnsi="Arial" w:cs="Arial"/>
          <w:sz w:val="20"/>
          <w:szCs w:val="20"/>
        </w:rPr>
        <w:t>Nikon</w:t>
      </w:r>
      <w:proofErr w:type="spellEnd"/>
      <w:r w:rsidR="00F27CD7">
        <w:rPr>
          <w:rFonts w:ascii="Arial" w:hAnsi="Arial" w:cs="Arial"/>
          <w:sz w:val="20"/>
          <w:szCs w:val="20"/>
        </w:rPr>
        <w:t xml:space="preserve">  D 850 s příslušenstvím</w:t>
      </w:r>
      <w:r>
        <w:rPr>
          <w:rFonts w:ascii="Arial" w:hAnsi="Arial" w:cs="Arial"/>
          <w:sz w:val="20"/>
          <w:szCs w:val="20"/>
        </w:rPr>
        <w:t xml:space="preserve"> převzít a zaplatit za něj níže uvedenou kupní cenu.</w:t>
      </w:r>
    </w:p>
    <w:p w14:paraId="6585AC89" w14:textId="2BE8E1DC" w:rsidR="008F0960" w:rsidRDefault="008F0960" w:rsidP="008F0960">
      <w:pPr>
        <w:pStyle w:val="Bezmezer1"/>
        <w:ind w:left="720"/>
        <w:jc w:val="both"/>
        <w:rPr>
          <w:rFonts w:ascii="Arial" w:hAnsi="Arial" w:cs="Arial"/>
          <w:sz w:val="20"/>
          <w:szCs w:val="20"/>
        </w:rPr>
      </w:pPr>
    </w:p>
    <w:p w14:paraId="202D8B2B" w14:textId="77777777" w:rsidR="00D853C8" w:rsidRDefault="00D853C8" w:rsidP="008F0960">
      <w:pPr>
        <w:pStyle w:val="Bezmezer1"/>
        <w:ind w:left="720"/>
        <w:jc w:val="both"/>
        <w:rPr>
          <w:rFonts w:ascii="Arial" w:hAnsi="Arial" w:cs="Arial"/>
          <w:sz w:val="20"/>
          <w:szCs w:val="20"/>
        </w:rPr>
      </w:pPr>
    </w:p>
    <w:p w14:paraId="087CC1F8" w14:textId="758E112B" w:rsidR="009E6FCE" w:rsidRDefault="008F0960" w:rsidP="008F0960">
      <w:pPr>
        <w:pStyle w:val="Bezmezer1"/>
        <w:numPr>
          <w:ilvl w:val="0"/>
          <w:numId w:val="11"/>
        </w:numPr>
        <w:jc w:val="both"/>
        <w:rPr>
          <w:rFonts w:ascii="Arial" w:hAnsi="Arial" w:cs="Arial"/>
          <w:sz w:val="20"/>
          <w:szCs w:val="20"/>
        </w:rPr>
      </w:pPr>
      <w:r>
        <w:rPr>
          <w:rFonts w:ascii="Arial" w:hAnsi="Arial" w:cs="Arial"/>
          <w:sz w:val="20"/>
          <w:szCs w:val="20"/>
        </w:rPr>
        <w:t xml:space="preserve">Specifikace digitální zrcadlovky </w:t>
      </w:r>
      <w:proofErr w:type="spellStart"/>
      <w:r>
        <w:rPr>
          <w:rFonts w:ascii="Arial" w:hAnsi="Arial" w:cs="Arial"/>
          <w:sz w:val="20"/>
          <w:szCs w:val="20"/>
        </w:rPr>
        <w:t>Nikon</w:t>
      </w:r>
      <w:proofErr w:type="spellEnd"/>
      <w:r>
        <w:rPr>
          <w:rFonts w:ascii="Arial" w:hAnsi="Arial" w:cs="Arial"/>
          <w:sz w:val="20"/>
          <w:szCs w:val="20"/>
        </w:rPr>
        <w:t xml:space="preserve">  D 850 s příslušenstvím:</w:t>
      </w:r>
    </w:p>
    <w:p w14:paraId="5B02A4DD" w14:textId="14C29BE3" w:rsidR="008F0960" w:rsidRDefault="008F0960" w:rsidP="008F0960">
      <w:pPr>
        <w:pStyle w:val="Odstavecseseznamem"/>
        <w:ind w:left="720"/>
      </w:pPr>
      <w:r>
        <w:t xml:space="preserve">80052760 _ </w:t>
      </w:r>
      <w:proofErr w:type="spellStart"/>
      <w:r>
        <w:t>Nikon</w:t>
      </w:r>
      <w:proofErr w:type="spellEnd"/>
      <w:r>
        <w:t xml:space="preserve"> D850 (tělo) –  68990,- (57.016,52 Kč bez DPH)</w:t>
      </w:r>
    </w:p>
    <w:p w14:paraId="14D54DA1" w14:textId="38DB957D" w:rsidR="008F0960" w:rsidRDefault="008F0960" w:rsidP="008F0960">
      <w:pPr>
        <w:pStyle w:val="Odstavecseseznamem"/>
        <w:ind w:left="720"/>
      </w:pPr>
      <w:r>
        <w:t xml:space="preserve">80045092 _ </w:t>
      </w:r>
      <w:proofErr w:type="spellStart"/>
      <w:r>
        <w:t>Nikon</w:t>
      </w:r>
      <w:proofErr w:type="spellEnd"/>
      <w:r>
        <w:t xml:space="preserve"> 24-70mm f/2.8E AF-S ED VR – 48600,- (40.165,28 Kč bez DPH)</w:t>
      </w:r>
    </w:p>
    <w:p w14:paraId="6635A69D" w14:textId="560FD43B" w:rsidR="008F0960" w:rsidRDefault="008F0960" w:rsidP="008F0960">
      <w:pPr>
        <w:pStyle w:val="Bezmezer1"/>
        <w:ind w:left="720"/>
        <w:rPr>
          <w:rFonts w:ascii="Arial" w:hAnsi="Arial" w:cs="Arial"/>
          <w:sz w:val="20"/>
          <w:szCs w:val="20"/>
        </w:rPr>
      </w:pPr>
      <w:r>
        <w:t xml:space="preserve">80048541 _ </w:t>
      </w:r>
      <w:proofErr w:type="spellStart"/>
      <w:r>
        <w:t>Nikon</w:t>
      </w:r>
      <w:proofErr w:type="spellEnd"/>
      <w:r>
        <w:t xml:space="preserve"> 70-200mm f/2.8E FL ED VR AF-S – 56900,- (47.024,79 Kč bez DPH</w:t>
      </w:r>
      <w:r>
        <w:br/>
        <w:t xml:space="preserve">80055818 _ </w:t>
      </w:r>
      <w:proofErr w:type="spellStart"/>
      <w:r>
        <w:t>Nikon</w:t>
      </w:r>
      <w:proofErr w:type="spellEnd"/>
      <w:r>
        <w:t xml:space="preserve"> EN-EL15b baterie - originál – 1750,- (1.446,28 Kč bez DPH)</w:t>
      </w:r>
      <w:r>
        <w:br/>
        <w:t xml:space="preserve">80057147 _ </w:t>
      </w:r>
      <w:proofErr w:type="spellStart"/>
      <w:r>
        <w:t>SanDisk</w:t>
      </w:r>
      <w:proofErr w:type="spellEnd"/>
      <w:r>
        <w:t xml:space="preserve"> </w:t>
      </w:r>
      <w:proofErr w:type="spellStart"/>
      <w:r>
        <w:t>Extreme</w:t>
      </w:r>
      <w:proofErr w:type="spellEnd"/>
      <w:r>
        <w:t xml:space="preserve"> SDXC 64GB 150MB/s C10 V30 UHS-I U3 – 630,- (520,66 Kč bez DPH)</w:t>
      </w:r>
      <w:r>
        <w:br/>
        <w:t xml:space="preserve">80045920 _ </w:t>
      </w:r>
      <w:proofErr w:type="spellStart"/>
      <w:r>
        <w:t>Lowepro</w:t>
      </w:r>
      <w:proofErr w:type="spellEnd"/>
      <w:r>
        <w:t xml:space="preserve"> </w:t>
      </w:r>
      <w:proofErr w:type="spellStart"/>
      <w:r>
        <w:t>ProTactic</w:t>
      </w:r>
      <w:proofErr w:type="spellEnd"/>
      <w:r>
        <w:t xml:space="preserve"> 200 AW – 2600,- (2.148,76 Kč bez DPH)</w:t>
      </w:r>
      <w:r>
        <w:br/>
      </w:r>
    </w:p>
    <w:p w14:paraId="173AEC0B" w14:textId="77777777" w:rsidR="008F0960" w:rsidRPr="008F0960" w:rsidRDefault="008F0960" w:rsidP="008F0960">
      <w:pPr>
        <w:pStyle w:val="Bezmezer1"/>
        <w:ind w:left="720"/>
        <w:jc w:val="both"/>
        <w:rPr>
          <w:rFonts w:ascii="Arial" w:hAnsi="Arial" w:cs="Arial"/>
          <w:sz w:val="20"/>
          <w:szCs w:val="20"/>
        </w:rPr>
      </w:pPr>
    </w:p>
    <w:p w14:paraId="36D4DE07" w14:textId="0F13EBBF" w:rsidR="006D4E87" w:rsidRDefault="006D4E87" w:rsidP="00B67FAF">
      <w:pPr>
        <w:pStyle w:val="Bezmezer1"/>
        <w:numPr>
          <w:ilvl w:val="0"/>
          <w:numId w:val="11"/>
        </w:numPr>
        <w:jc w:val="both"/>
        <w:rPr>
          <w:rFonts w:ascii="Arial" w:hAnsi="Arial" w:cs="Arial"/>
          <w:sz w:val="20"/>
          <w:szCs w:val="20"/>
        </w:rPr>
      </w:pPr>
      <w:r>
        <w:rPr>
          <w:rFonts w:ascii="Arial" w:hAnsi="Arial" w:cs="Arial"/>
          <w:sz w:val="20"/>
          <w:szCs w:val="20"/>
        </w:rPr>
        <w:t>Předmět převodu musí splňovat tyto ujednané požadavky</w:t>
      </w:r>
      <w:r w:rsidR="00F410FF">
        <w:rPr>
          <w:rFonts w:ascii="Arial" w:hAnsi="Arial" w:cs="Arial"/>
          <w:sz w:val="20"/>
          <w:szCs w:val="20"/>
        </w:rPr>
        <w:t xml:space="preserve">: </w:t>
      </w:r>
    </w:p>
    <w:p w14:paraId="0A47BD41" w14:textId="77777777" w:rsidR="00F27CD7" w:rsidRDefault="00F27CD7" w:rsidP="00F27CD7">
      <w:pPr>
        <w:pStyle w:val="Bezmezer1"/>
        <w:ind w:left="720"/>
        <w:jc w:val="both"/>
        <w:rPr>
          <w:rFonts w:ascii="Arial" w:hAnsi="Arial" w:cs="Arial"/>
          <w:sz w:val="20"/>
          <w:szCs w:val="20"/>
        </w:rPr>
      </w:pPr>
    </w:p>
    <w:p w14:paraId="2D28C051" w14:textId="7CB87CF4" w:rsidR="00F27CD7" w:rsidRDefault="00F27CD7" w:rsidP="00F27CD7">
      <w:pPr>
        <w:pStyle w:val="Prosttext"/>
        <w:numPr>
          <w:ilvl w:val="0"/>
          <w:numId w:val="28"/>
        </w:numPr>
        <w:ind w:left="1068"/>
        <w:rPr>
          <w:b/>
          <w:bCs/>
        </w:rPr>
      </w:pPr>
      <w:r>
        <w:rPr>
          <w:b/>
          <w:bCs/>
        </w:rPr>
        <w:t>digitální zrcadlovka – profesionální s optickým hledáčkem</w:t>
      </w:r>
    </w:p>
    <w:p w14:paraId="0F669FE5" w14:textId="4DE1E5D2" w:rsidR="00F27CD7" w:rsidRDefault="00F27CD7" w:rsidP="00F27CD7">
      <w:pPr>
        <w:pStyle w:val="Prosttext"/>
        <w:numPr>
          <w:ilvl w:val="0"/>
          <w:numId w:val="28"/>
        </w:numPr>
        <w:ind w:left="1068"/>
      </w:pPr>
      <w:r>
        <w:t> </w:t>
      </w:r>
      <w:r>
        <w:rPr>
          <w:b/>
          <w:bCs/>
        </w:rPr>
        <w:t xml:space="preserve">originálního základního objektivu 24-70mm f/2,8 </w:t>
      </w:r>
      <w:r>
        <w:t xml:space="preserve">(řada profesionálních objektivů vhodných pro fotoaparáty s Full </w:t>
      </w:r>
      <w:proofErr w:type="spellStart"/>
      <w:r>
        <w:t>Frame</w:t>
      </w:r>
      <w:proofErr w:type="spellEnd"/>
      <w:r>
        <w:t>)</w:t>
      </w:r>
    </w:p>
    <w:p w14:paraId="6F10DE11" w14:textId="3E8FFB87" w:rsidR="00F27CD7" w:rsidRDefault="00F27CD7" w:rsidP="00F27CD7">
      <w:pPr>
        <w:pStyle w:val="Prosttext"/>
        <w:numPr>
          <w:ilvl w:val="0"/>
          <w:numId w:val="28"/>
        </w:numPr>
        <w:ind w:left="1068"/>
      </w:pPr>
      <w:r>
        <w:rPr>
          <w:b/>
          <w:bCs/>
        </w:rPr>
        <w:lastRenderedPageBreak/>
        <w:t xml:space="preserve"> objektivu 70-200mm f/2,8 </w:t>
      </w:r>
      <w:r>
        <w:t xml:space="preserve">(řada profesionálních objektivů vhodných pro fotoaparáty s Full </w:t>
      </w:r>
      <w:proofErr w:type="spellStart"/>
      <w:r>
        <w:t>Frame</w:t>
      </w:r>
      <w:proofErr w:type="spellEnd"/>
    </w:p>
    <w:p w14:paraId="0C61F366" w14:textId="6F86DF5B" w:rsidR="00F27CD7" w:rsidRPr="00F27CD7" w:rsidRDefault="00F27CD7" w:rsidP="00F27CD7">
      <w:pPr>
        <w:pStyle w:val="Odstavecseseznamem"/>
        <w:numPr>
          <w:ilvl w:val="0"/>
          <w:numId w:val="29"/>
        </w:numPr>
        <w:spacing w:after="160" w:line="252" w:lineRule="auto"/>
        <w:ind w:left="1018"/>
        <w:contextualSpacing/>
        <w:rPr>
          <w:color w:val="1F497D"/>
        </w:rPr>
      </w:pPr>
      <w:r>
        <w:rPr>
          <w:b/>
          <w:bCs/>
        </w:rPr>
        <w:t>paměťové karty</w:t>
      </w:r>
      <w:r>
        <w:t xml:space="preserve"> kompatibilní s daným fotoaparátem min. cca 64 GB (minimální garantovaný zápis </w:t>
      </w:r>
      <w:proofErr w:type="spellStart"/>
      <w:r>
        <w:t>Class</w:t>
      </w:r>
      <w:proofErr w:type="spellEnd"/>
      <w:r>
        <w:t xml:space="preserve"> 10), kompatibilní </w:t>
      </w:r>
      <w:r>
        <w:rPr>
          <w:b/>
          <w:bCs/>
        </w:rPr>
        <w:t>dobíjecí baterie</w:t>
      </w:r>
      <w:r>
        <w:t xml:space="preserve"> (1 ks navíc), </w:t>
      </w:r>
      <w:r>
        <w:rPr>
          <w:b/>
          <w:bCs/>
        </w:rPr>
        <w:t>fotobrašna</w:t>
      </w:r>
      <w:r>
        <w:t xml:space="preserve"> vhodné na fotoaparát a oba objektivy</w:t>
      </w:r>
    </w:p>
    <w:p w14:paraId="24C3416F" w14:textId="35E0C63C" w:rsidR="00F27CD7" w:rsidRDefault="00F27CD7" w:rsidP="00F27CD7">
      <w:pPr>
        <w:pStyle w:val="Prosttext"/>
        <w:rPr>
          <w:b/>
          <w:bCs/>
        </w:rPr>
      </w:pPr>
      <w:r>
        <w:rPr>
          <w:b/>
          <w:bCs/>
        </w:rPr>
        <w:t xml:space="preserve">                    Specifikace:</w:t>
      </w:r>
    </w:p>
    <w:p w14:paraId="71B20DB2" w14:textId="77777777" w:rsidR="00F27CD7" w:rsidRDefault="00F27CD7" w:rsidP="00F27CD7">
      <w:pPr>
        <w:pStyle w:val="Prosttext"/>
        <w:numPr>
          <w:ilvl w:val="1"/>
          <w:numId w:val="30"/>
        </w:numPr>
      </w:pPr>
      <w:r>
        <w:t xml:space="preserve">Rozlišení minimálně 40 </w:t>
      </w:r>
      <w:proofErr w:type="spellStart"/>
      <w:r>
        <w:t>Mpx</w:t>
      </w:r>
      <w:proofErr w:type="spellEnd"/>
    </w:p>
    <w:p w14:paraId="56C465B7" w14:textId="77777777" w:rsidR="00F27CD7" w:rsidRDefault="00F27CD7" w:rsidP="00F27CD7">
      <w:pPr>
        <w:pStyle w:val="Prosttext"/>
        <w:numPr>
          <w:ilvl w:val="1"/>
          <w:numId w:val="30"/>
        </w:numPr>
      </w:pPr>
      <w:r>
        <w:t>Počet ostřících bodů u autofokusu -  minimálně 100</w:t>
      </w:r>
    </w:p>
    <w:p w14:paraId="477F07A7" w14:textId="77777777" w:rsidR="00F27CD7" w:rsidRDefault="00F27CD7" w:rsidP="00F27CD7">
      <w:pPr>
        <w:pStyle w:val="Prosttext"/>
        <w:numPr>
          <w:ilvl w:val="1"/>
          <w:numId w:val="30"/>
        </w:numPr>
      </w:pPr>
      <w:r>
        <w:t xml:space="preserve">Digitální zrcadlovka s Full </w:t>
      </w:r>
      <w:proofErr w:type="spellStart"/>
      <w:r>
        <w:t>Frame</w:t>
      </w:r>
      <w:proofErr w:type="spellEnd"/>
    </w:p>
    <w:p w14:paraId="6F557A44" w14:textId="77777777" w:rsidR="00F27CD7" w:rsidRDefault="00F27CD7" w:rsidP="00F27CD7">
      <w:pPr>
        <w:pStyle w:val="Prosttext"/>
        <w:numPr>
          <w:ilvl w:val="1"/>
          <w:numId w:val="30"/>
        </w:numPr>
      </w:pPr>
      <w:r>
        <w:t>Vyvážení bílé barvy: automatické/přednastavené hodnoty/ruční kalibrace/v Kelvinech</w:t>
      </w:r>
    </w:p>
    <w:p w14:paraId="5DC45A1B" w14:textId="50C1A163" w:rsidR="00D5041C" w:rsidRPr="00D5041C" w:rsidRDefault="00D5041C" w:rsidP="00D5041C">
      <w:pPr>
        <w:pStyle w:val="Bezmezer1"/>
        <w:ind w:left="720"/>
        <w:jc w:val="both"/>
        <w:rPr>
          <w:rFonts w:ascii="Arial" w:hAnsi="Arial" w:cs="Arial"/>
          <w:sz w:val="20"/>
          <w:szCs w:val="20"/>
        </w:rPr>
      </w:pPr>
    </w:p>
    <w:p w14:paraId="2F593C2A" w14:textId="674255D3" w:rsidR="00D5041C" w:rsidRDefault="00D5041C" w:rsidP="00D5041C">
      <w:pPr>
        <w:pStyle w:val="Bezmezer1"/>
        <w:ind w:left="720"/>
        <w:jc w:val="both"/>
        <w:rPr>
          <w:rFonts w:ascii="Arial" w:hAnsi="Arial" w:cs="Arial"/>
          <w:sz w:val="20"/>
          <w:szCs w:val="20"/>
        </w:rPr>
      </w:pPr>
    </w:p>
    <w:p w14:paraId="76E36FBE" w14:textId="77777777" w:rsidR="00D853C8" w:rsidRPr="00D5041C" w:rsidRDefault="00D853C8" w:rsidP="00D5041C">
      <w:pPr>
        <w:pStyle w:val="Bezmezer1"/>
        <w:ind w:left="720"/>
        <w:jc w:val="both"/>
        <w:rPr>
          <w:rFonts w:ascii="Arial" w:hAnsi="Arial" w:cs="Arial"/>
          <w:sz w:val="20"/>
          <w:szCs w:val="20"/>
        </w:rPr>
      </w:pPr>
    </w:p>
    <w:p w14:paraId="06DA4211" w14:textId="77777777" w:rsidR="00D5041C" w:rsidRPr="00D5041C" w:rsidRDefault="00D5041C" w:rsidP="00D5041C">
      <w:pPr>
        <w:spacing w:after="0" w:line="240" w:lineRule="auto"/>
        <w:jc w:val="center"/>
        <w:rPr>
          <w:rFonts w:ascii="Arial" w:hAnsi="Arial" w:cs="Arial"/>
          <w:b/>
          <w:bCs/>
          <w:sz w:val="20"/>
          <w:szCs w:val="20"/>
        </w:rPr>
      </w:pPr>
      <w:r w:rsidRPr="00D5041C">
        <w:rPr>
          <w:rFonts w:ascii="Arial" w:hAnsi="Arial" w:cs="Arial"/>
          <w:b/>
          <w:bCs/>
          <w:sz w:val="20"/>
          <w:szCs w:val="20"/>
        </w:rPr>
        <w:t>Čl. II</w:t>
      </w:r>
    </w:p>
    <w:p w14:paraId="7E253A53" w14:textId="77777777" w:rsidR="00D5041C" w:rsidRPr="00D5041C" w:rsidRDefault="00D5041C" w:rsidP="00D5041C">
      <w:pPr>
        <w:spacing w:after="0" w:line="240" w:lineRule="auto"/>
        <w:jc w:val="center"/>
        <w:rPr>
          <w:rFonts w:ascii="Arial" w:hAnsi="Arial" w:cs="Arial"/>
          <w:b/>
          <w:bCs/>
          <w:sz w:val="20"/>
          <w:szCs w:val="20"/>
        </w:rPr>
      </w:pPr>
      <w:r w:rsidRPr="00D5041C">
        <w:rPr>
          <w:rFonts w:ascii="Arial" w:hAnsi="Arial" w:cs="Arial"/>
          <w:b/>
          <w:bCs/>
          <w:sz w:val="20"/>
          <w:szCs w:val="20"/>
        </w:rPr>
        <w:t>Kupní cena a způsob její úhrady</w:t>
      </w:r>
    </w:p>
    <w:p w14:paraId="3FD72115" w14:textId="4542DF42" w:rsidR="00D5041C" w:rsidRPr="00D5041C" w:rsidRDefault="00D5041C" w:rsidP="00D5041C">
      <w:pPr>
        <w:pStyle w:val="Odstavecseseznamem"/>
        <w:numPr>
          <w:ilvl w:val="0"/>
          <w:numId w:val="24"/>
        </w:numPr>
        <w:spacing w:after="0" w:line="240" w:lineRule="auto"/>
        <w:contextualSpacing/>
        <w:jc w:val="both"/>
        <w:rPr>
          <w:rFonts w:ascii="Arial" w:hAnsi="Arial" w:cs="Arial"/>
          <w:b/>
          <w:bCs/>
          <w:sz w:val="20"/>
          <w:szCs w:val="20"/>
        </w:rPr>
      </w:pPr>
      <w:r>
        <w:rPr>
          <w:rFonts w:ascii="Arial" w:hAnsi="Arial" w:cs="Arial"/>
          <w:bCs/>
          <w:sz w:val="20"/>
          <w:szCs w:val="20"/>
        </w:rPr>
        <w:t>Kupní cena předmětu převodu či</w:t>
      </w:r>
      <w:r w:rsidR="008A6E1B">
        <w:rPr>
          <w:rFonts w:ascii="Arial" w:hAnsi="Arial" w:cs="Arial"/>
          <w:bCs/>
          <w:sz w:val="20"/>
          <w:szCs w:val="20"/>
        </w:rPr>
        <w:t xml:space="preserve">ní dle ujednání smluvních stran </w:t>
      </w:r>
      <w:r w:rsidR="00A567CB">
        <w:rPr>
          <w:rFonts w:ascii="Arial" w:hAnsi="Arial" w:cs="Arial"/>
          <w:b/>
          <w:bCs/>
          <w:sz w:val="20"/>
          <w:szCs w:val="20"/>
        </w:rPr>
        <w:t>179 470</w:t>
      </w:r>
      <w:r w:rsidRPr="00D5041C">
        <w:rPr>
          <w:rFonts w:ascii="Arial" w:hAnsi="Arial" w:cs="Arial"/>
          <w:b/>
          <w:bCs/>
          <w:sz w:val="20"/>
          <w:szCs w:val="20"/>
        </w:rPr>
        <w:t>,-- Kč</w:t>
      </w:r>
      <w:r w:rsidR="00645D2C">
        <w:rPr>
          <w:rFonts w:ascii="Arial" w:hAnsi="Arial" w:cs="Arial"/>
          <w:bCs/>
          <w:sz w:val="20"/>
          <w:szCs w:val="20"/>
        </w:rPr>
        <w:t xml:space="preserve"> (slovy: sto </w:t>
      </w:r>
      <w:r w:rsidR="00A567CB">
        <w:rPr>
          <w:rFonts w:ascii="Arial" w:hAnsi="Arial" w:cs="Arial"/>
          <w:bCs/>
          <w:sz w:val="20"/>
          <w:szCs w:val="20"/>
        </w:rPr>
        <w:t xml:space="preserve">sedmdesát devět tisíc </w:t>
      </w:r>
      <w:proofErr w:type="spellStart"/>
      <w:r w:rsidR="00A567CB">
        <w:rPr>
          <w:rFonts w:ascii="Arial" w:hAnsi="Arial" w:cs="Arial"/>
          <w:bCs/>
          <w:sz w:val="20"/>
          <w:szCs w:val="20"/>
        </w:rPr>
        <w:t>čtyřista</w:t>
      </w:r>
      <w:proofErr w:type="spellEnd"/>
      <w:r w:rsidR="00A567CB">
        <w:rPr>
          <w:rFonts w:ascii="Arial" w:hAnsi="Arial" w:cs="Arial"/>
          <w:bCs/>
          <w:sz w:val="20"/>
          <w:szCs w:val="20"/>
        </w:rPr>
        <w:t xml:space="preserve"> sedmdesát</w:t>
      </w:r>
      <w:r>
        <w:rPr>
          <w:rFonts w:ascii="Arial" w:hAnsi="Arial" w:cs="Arial"/>
          <w:bCs/>
          <w:sz w:val="20"/>
          <w:szCs w:val="20"/>
        </w:rPr>
        <w:t xml:space="preserve"> korun českých) včetně DPH. </w:t>
      </w:r>
    </w:p>
    <w:p w14:paraId="62CC10BA" w14:textId="2CB4CD4C" w:rsidR="00D5041C" w:rsidRPr="00D5041C" w:rsidRDefault="00D5041C" w:rsidP="00D5041C">
      <w:pPr>
        <w:pStyle w:val="Odstavecseseznamem"/>
        <w:numPr>
          <w:ilvl w:val="0"/>
          <w:numId w:val="24"/>
        </w:numPr>
        <w:spacing w:after="0" w:line="240" w:lineRule="auto"/>
        <w:contextualSpacing/>
        <w:jc w:val="both"/>
        <w:rPr>
          <w:rFonts w:ascii="Arial" w:hAnsi="Arial" w:cs="Arial"/>
          <w:b/>
          <w:bCs/>
          <w:sz w:val="20"/>
          <w:szCs w:val="20"/>
        </w:rPr>
      </w:pPr>
      <w:r>
        <w:rPr>
          <w:rFonts w:ascii="Arial" w:hAnsi="Arial" w:cs="Arial"/>
          <w:bCs/>
          <w:sz w:val="20"/>
          <w:szCs w:val="20"/>
        </w:rPr>
        <w:t xml:space="preserve">Kupní cena bude uhrazena bezhotovostním převodem na základě faktury, kterou prodávající kupujícímu vystaví a dodá spolu s předmětem převodu. Termín splatnosti musí dle dohody smluvních stran činit minimálně </w:t>
      </w:r>
      <w:r w:rsidR="006B3CC8">
        <w:rPr>
          <w:rFonts w:ascii="Arial" w:hAnsi="Arial" w:cs="Arial"/>
          <w:bCs/>
          <w:sz w:val="20"/>
          <w:szCs w:val="20"/>
        </w:rPr>
        <w:t>14</w:t>
      </w:r>
      <w:r>
        <w:rPr>
          <w:rFonts w:ascii="Arial" w:hAnsi="Arial" w:cs="Arial"/>
          <w:bCs/>
          <w:sz w:val="20"/>
          <w:szCs w:val="20"/>
        </w:rPr>
        <w:t xml:space="preserve"> dní od data vystavení faktury. </w:t>
      </w:r>
    </w:p>
    <w:p w14:paraId="33909754" w14:textId="47361E47" w:rsidR="00D5041C" w:rsidRPr="007D50F9" w:rsidRDefault="007D50F9" w:rsidP="00D5041C">
      <w:pPr>
        <w:pStyle w:val="Odstavecseseznamem"/>
        <w:numPr>
          <w:ilvl w:val="0"/>
          <w:numId w:val="24"/>
        </w:numPr>
        <w:spacing w:after="0" w:line="240" w:lineRule="auto"/>
        <w:contextualSpacing/>
        <w:jc w:val="both"/>
        <w:rPr>
          <w:rFonts w:ascii="Arial" w:hAnsi="Arial" w:cs="Arial"/>
          <w:b/>
          <w:bCs/>
          <w:sz w:val="20"/>
          <w:szCs w:val="20"/>
        </w:rPr>
      </w:pPr>
      <w:r>
        <w:rPr>
          <w:rFonts w:ascii="Arial" w:hAnsi="Arial" w:cs="Arial"/>
          <w:bCs/>
          <w:sz w:val="20"/>
          <w:szCs w:val="20"/>
        </w:rPr>
        <w:t>Povinnost kupujícího uhradit kupní cenu se považuje za splněnou okamžikem připsání odpovídající částky na bankovní účet uvedený v příslušné faktuře.</w:t>
      </w:r>
    </w:p>
    <w:p w14:paraId="02347060" w14:textId="7600105D" w:rsidR="007D50F9" w:rsidRPr="00D5041C" w:rsidRDefault="007D50F9" w:rsidP="00D5041C">
      <w:pPr>
        <w:pStyle w:val="Odstavecseseznamem"/>
        <w:numPr>
          <w:ilvl w:val="0"/>
          <w:numId w:val="24"/>
        </w:numPr>
        <w:spacing w:after="0" w:line="240" w:lineRule="auto"/>
        <w:contextualSpacing/>
        <w:jc w:val="both"/>
        <w:rPr>
          <w:rFonts w:ascii="Arial" w:hAnsi="Arial" w:cs="Arial"/>
          <w:b/>
          <w:bCs/>
          <w:sz w:val="20"/>
          <w:szCs w:val="20"/>
        </w:rPr>
      </w:pPr>
      <w:r>
        <w:rPr>
          <w:rFonts w:ascii="Arial" w:hAnsi="Arial" w:cs="Arial"/>
          <w:bCs/>
          <w:sz w:val="20"/>
          <w:szCs w:val="20"/>
        </w:rPr>
        <w:t xml:space="preserve">Ocitne-li se kupující s úhradou kupní ceny v prodlení trvajícím déle než 20 dní, má prodávající právo od této smlouvy odstoupit. </w:t>
      </w:r>
    </w:p>
    <w:p w14:paraId="584885A2" w14:textId="652EB9E1" w:rsidR="00D5041C" w:rsidRDefault="00D5041C" w:rsidP="00D5041C">
      <w:pPr>
        <w:spacing w:after="0" w:line="240" w:lineRule="auto"/>
        <w:jc w:val="both"/>
        <w:rPr>
          <w:rFonts w:ascii="Arial" w:hAnsi="Arial" w:cs="Arial"/>
          <w:b/>
          <w:bCs/>
          <w:sz w:val="20"/>
          <w:szCs w:val="20"/>
        </w:rPr>
      </w:pPr>
    </w:p>
    <w:p w14:paraId="4C9DE140" w14:textId="77777777" w:rsidR="00D853C8" w:rsidRPr="00D5041C" w:rsidRDefault="00D853C8" w:rsidP="00D5041C">
      <w:pPr>
        <w:spacing w:after="0" w:line="240" w:lineRule="auto"/>
        <w:jc w:val="both"/>
        <w:rPr>
          <w:rFonts w:ascii="Arial" w:hAnsi="Arial" w:cs="Arial"/>
          <w:b/>
          <w:bCs/>
          <w:sz w:val="20"/>
          <w:szCs w:val="20"/>
        </w:rPr>
      </w:pPr>
    </w:p>
    <w:p w14:paraId="713B6D1E" w14:textId="77777777" w:rsidR="00D5041C" w:rsidRPr="00D5041C" w:rsidRDefault="00D5041C" w:rsidP="00D5041C">
      <w:pPr>
        <w:spacing w:after="0" w:line="240" w:lineRule="auto"/>
        <w:jc w:val="both"/>
        <w:rPr>
          <w:rFonts w:ascii="Arial" w:hAnsi="Arial" w:cs="Arial"/>
          <w:b/>
          <w:bCs/>
          <w:sz w:val="20"/>
          <w:szCs w:val="20"/>
        </w:rPr>
      </w:pPr>
    </w:p>
    <w:p w14:paraId="0FD60CDD" w14:textId="77777777" w:rsidR="00D5041C" w:rsidRPr="00D5041C" w:rsidRDefault="00D5041C" w:rsidP="00D5041C">
      <w:pPr>
        <w:spacing w:after="0" w:line="240" w:lineRule="auto"/>
        <w:jc w:val="center"/>
        <w:rPr>
          <w:rFonts w:ascii="Arial" w:hAnsi="Arial" w:cs="Arial"/>
          <w:b/>
          <w:bCs/>
          <w:sz w:val="20"/>
          <w:szCs w:val="20"/>
        </w:rPr>
      </w:pPr>
      <w:r w:rsidRPr="00D5041C">
        <w:rPr>
          <w:rFonts w:ascii="Arial" w:hAnsi="Arial" w:cs="Arial"/>
          <w:b/>
          <w:bCs/>
          <w:sz w:val="20"/>
          <w:szCs w:val="20"/>
        </w:rPr>
        <w:t>Čl. III</w:t>
      </w:r>
    </w:p>
    <w:p w14:paraId="21B84298" w14:textId="77777777" w:rsidR="00D5041C" w:rsidRPr="00D5041C" w:rsidRDefault="00D5041C" w:rsidP="00D5041C">
      <w:pPr>
        <w:spacing w:after="0" w:line="240" w:lineRule="auto"/>
        <w:jc w:val="center"/>
        <w:rPr>
          <w:rFonts w:ascii="Arial" w:hAnsi="Arial" w:cs="Arial"/>
          <w:b/>
          <w:bCs/>
          <w:sz w:val="20"/>
          <w:szCs w:val="20"/>
        </w:rPr>
      </w:pPr>
      <w:r w:rsidRPr="00D5041C">
        <w:rPr>
          <w:rFonts w:ascii="Arial" w:hAnsi="Arial" w:cs="Arial"/>
          <w:b/>
          <w:bCs/>
          <w:sz w:val="20"/>
          <w:szCs w:val="20"/>
        </w:rPr>
        <w:t>Další ujednání smluvních stran</w:t>
      </w:r>
    </w:p>
    <w:p w14:paraId="531E90C7" w14:textId="77777777" w:rsidR="00D5041C" w:rsidRPr="00D5041C" w:rsidRDefault="00D5041C" w:rsidP="00D5041C">
      <w:pPr>
        <w:pStyle w:val="Odstavecseseznamem"/>
        <w:numPr>
          <w:ilvl w:val="0"/>
          <w:numId w:val="25"/>
        </w:numPr>
        <w:spacing w:after="0" w:line="240" w:lineRule="auto"/>
        <w:contextualSpacing/>
        <w:jc w:val="both"/>
        <w:rPr>
          <w:rFonts w:ascii="Arial" w:hAnsi="Arial" w:cs="Arial"/>
          <w:b/>
          <w:bCs/>
          <w:sz w:val="20"/>
          <w:szCs w:val="20"/>
        </w:rPr>
      </w:pPr>
      <w:r w:rsidRPr="00D5041C">
        <w:rPr>
          <w:rFonts w:ascii="Arial" w:hAnsi="Arial" w:cs="Arial"/>
          <w:bCs/>
          <w:sz w:val="20"/>
          <w:szCs w:val="20"/>
        </w:rPr>
        <w:t xml:space="preserve">Prodávající výslovně uvádí, že mu nejsou známy žádné právní či faktické vady, které by předmět převodu zatěžovaly. </w:t>
      </w:r>
    </w:p>
    <w:p w14:paraId="56A500A0" w14:textId="77777777" w:rsidR="00D5041C" w:rsidRPr="00D5041C" w:rsidRDefault="00D5041C" w:rsidP="00D5041C">
      <w:pPr>
        <w:pStyle w:val="Odstavecseseznamem"/>
        <w:numPr>
          <w:ilvl w:val="0"/>
          <w:numId w:val="25"/>
        </w:numPr>
        <w:spacing w:after="0" w:line="240" w:lineRule="auto"/>
        <w:contextualSpacing/>
        <w:jc w:val="both"/>
        <w:rPr>
          <w:rFonts w:ascii="Arial" w:hAnsi="Arial" w:cs="Arial"/>
          <w:b/>
          <w:bCs/>
          <w:sz w:val="20"/>
          <w:szCs w:val="20"/>
        </w:rPr>
      </w:pPr>
      <w:r w:rsidRPr="00D5041C">
        <w:rPr>
          <w:rFonts w:ascii="Arial" w:hAnsi="Arial" w:cs="Arial"/>
          <w:bCs/>
          <w:sz w:val="20"/>
          <w:szCs w:val="20"/>
        </w:rPr>
        <w:t>Prodávající prohlašuje, že proti němu není vedeno žádné soudní, správní, exekuční, insolvenční či jiné řízení, které by účel této smlouvy mohlo zmařit. Ukáže-li se toto prohlášení v budoucnu jako nepravdivé, má kupující právo od této smlouvy odstoupit.</w:t>
      </w:r>
    </w:p>
    <w:p w14:paraId="5A8C41AE" w14:textId="1D5253FF" w:rsidR="00E820B7" w:rsidRPr="00E820B7" w:rsidRDefault="007D50F9" w:rsidP="00E820B7">
      <w:pPr>
        <w:pStyle w:val="Odstavecseseznamem"/>
        <w:numPr>
          <w:ilvl w:val="0"/>
          <w:numId w:val="25"/>
        </w:numPr>
        <w:spacing w:after="0" w:line="240" w:lineRule="auto"/>
        <w:contextualSpacing/>
        <w:jc w:val="both"/>
        <w:rPr>
          <w:rFonts w:ascii="Arial" w:hAnsi="Arial" w:cs="Arial"/>
          <w:b/>
          <w:bCs/>
          <w:sz w:val="20"/>
          <w:szCs w:val="20"/>
        </w:rPr>
      </w:pPr>
      <w:r>
        <w:rPr>
          <w:rFonts w:ascii="Arial" w:hAnsi="Arial" w:cs="Arial"/>
          <w:bCs/>
          <w:sz w:val="20"/>
          <w:szCs w:val="20"/>
        </w:rPr>
        <w:t>Prodávající je povinen dodat kupujícímu předmět převo</w:t>
      </w:r>
      <w:r w:rsidR="00C57B1F">
        <w:rPr>
          <w:rFonts w:ascii="Arial" w:hAnsi="Arial" w:cs="Arial"/>
          <w:bCs/>
          <w:sz w:val="20"/>
          <w:szCs w:val="20"/>
        </w:rPr>
        <w:t>du do sídla kupujícího do 30</w:t>
      </w:r>
      <w:r>
        <w:rPr>
          <w:rFonts w:ascii="Arial" w:hAnsi="Arial" w:cs="Arial"/>
          <w:bCs/>
          <w:sz w:val="20"/>
          <w:szCs w:val="20"/>
        </w:rPr>
        <w:t xml:space="preserve"> dní od uzavření této smlouvy. Spolu s předmětem převodu bude v téže lhůtě kupujícímu dodána i faktura na kupní cenu předmětu převodu</w:t>
      </w:r>
      <w:r w:rsidR="009A1EDB">
        <w:rPr>
          <w:rFonts w:ascii="Arial" w:hAnsi="Arial" w:cs="Arial"/>
          <w:bCs/>
          <w:sz w:val="20"/>
          <w:szCs w:val="20"/>
        </w:rPr>
        <w:t xml:space="preserve"> a veškeré potřebné či vymíněné doklady a dokumenty k předmětu převodu.</w:t>
      </w:r>
    </w:p>
    <w:p w14:paraId="0F02EE9C" w14:textId="7E887E61" w:rsidR="007D50F9" w:rsidRDefault="007D50F9" w:rsidP="00D5041C">
      <w:pPr>
        <w:pStyle w:val="Odstavecseseznamem"/>
        <w:spacing w:after="0" w:line="240" w:lineRule="auto"/>
        <w:ind w:left="0"/>
        <w:jc w:val="center"/>
        <w:rPr>
          <w:rFonts w:ascii="Arial" w:hAnsi="Arial" w:cs="Arial"/>
          <w:b/>
          <w:bCs/>
          <w:sz w:val="20"/>
          <w:szCs w:val="20"/>
        </w:rPr>
      </w:pPr>
    </w:p>
    <w:p w14:paraId="556559C8" w14:textId="16322674" w:rsidR="007D50F9" w:rsidRDefault="007D50F9" w:rsidP="00D5041C">
      <w:pPr>
        <w:pStyle w:val="Odstavecseseznamem"/>
        <w:spacing w:after="0" w:line="240" w:lineRule="auto"/>
        <w:ind w:left="0"/>
        <w:jc w:val="center"/>
        <w:rPr>
          <w:rFonts w:ascii="Arial" w:hAnsi="Arial" w:cs="Arial"/>
          <w:b/>
          <w:bCs/>
          <w:sz w:val="20"/>
          <w:szCs w:val="20"/>
        </w:rPr>
      </w:pPr>
    </w:p>
    <w:p w14:paraId="1CF9E412" w14:textId="77777777" w:rsidR="00D853C8" w:rsidRPr="00D5041C" w:rsidRDefault="00D853C8" w:rsidP="00D5041C">
      <w:pPr>
        <w:pStyle w:val="Odstavecseseznamem"/>
        <w:spacing w:after="0" w:line="240" w:lineRule="auto"/>
        <w:ind w:left="0"/>
        <w:jc w:val="center"/>
        <w:rPr>
          <w:rFonts w:ascii="Arial" w:hAnsi="Arial" w:cs="Arial"/>
          <w:b/>
          <w:bCs/>
          <w:sz w:val="20"/>
          <w:szCs w:val="20"/>
        </w:rPr>
      </w:pPr>
    </w:p>
    <w:p w14:paraId="1D5250D6" w14:textId="77777777" w:rsidR="00D5041C" w:rsidRPr="00D5041C" w:rsidRDefault="00D5041C" w:rsidP="00D5041C">
      <w:pPr>
        <w:pStyle w:val="Odstavecseseznamem"/>
        <w:spacing w:after="0" w:line="240" w:lineRule="auto"/>
        <w:ind w:left="0"/>
        <w:jc w:val="center"/>
        <w:rPr>
          <w:rFonts w:ascii="Arial" w:hAnsi="Arial" w:cs="Arial"/>
          <w:b/>
          <w:bCs/>
          <w:sz w:val="20"/>
          <w:szCs w:val="20"/>
        </w:rPr>
      </w:pPr>
      <w:r w:rsidRPr="00D5041C">
        <w:rPr>
          <w:rFonts w:ascii="Arial" w:hAnsi="Arial" w:cs="Arial"/>
          <w:b/>
          <w:bCs/>
          <w:sz w:val="20"/>
          <w:szCs w:val="20"/>
        </w:rPr>
        <w:t>Čl. IV</w:t>
      </w:r>
    </w:p>
    <w:p w14:paraId="79F3E194" w14:textId="77777777" w:rsidR="00D5041C" w:rsidRPr="00D5041C" w:rsidRDefault="00D5041C" w:rsidP="00D5041C">
      <w:pPr>
        <w:pStyle w:val="Odstavecseseznamem"/>
        <w:spacing w:after="0" w:line="240" w:lineRule="auto"/>
        <w:ind w:left="0"/>
        <w:jc w:val="center"/>
        <w:rPr>
          <w:rFonts w:ascii="Arial" w:hAnsi="Arial" w:cs="Arial"/>
          <w:b/>
          <w:bCs/>
          <w:sz w:val="20"/>
          <w:szCs w:val="20"/>
        </w:rPr>
      </w:pPr>
      <w:r w:rsidRPr="00D5041C">
        <w:rPr>
          <w:rFonts w:ascii="Arial" w:hAnsi="Arial" w:cs="Arial"/>
          <w:b/>
          <w:bCs/>
          <w:sz w:val="20"/>
          <w:szCs w:val="20"/>
        </w:rPr>
        <w:t>Závěrečná ustanovení</w:t>
      </w:r>
    </w:p>
    <w:p w14:paraId="1C21E1AE" w14:textId="6A2DB654" w:rsidR="00D5041C" w:rsidRDefault="00D5041C" w:rsidP="00D5041C">
      <w:pPr>
        <w:pStyle w:val="Odstavecseseznamem"/>
        <w:numPr>
          <w:ilvl w:val="0"/>
          <w:numId w:val="26"/>
        </w:numPr>
        <w:spacing w:after="0" w:line="240" w:lineRule="auto"/>
        <w:contextualSpacing/>
        <w:jc w:val="both"/>
        <w:rPr>
          <w:rFonts w:ascii="Arial" w:hAnsi="Arial" w:cs="Arial"/>
          <w:bCs/>
          <w:sz w:val="20"/>
          <w:szCs w:val="20"/>
        </w:rPr>
      </w:pPr>
      <w:r w:rsidRPr="00D5041C">
        <w:rPr>
          <w:rFonts w:ascii="Arial" w:hAnsi="Arial" w:cs="Arial"/>
          <w:bCs/>
          <w:sz w:val="20"/>
          <w:szCs w:val="20"/>
        </w:rPr>
        <w:t xml:space="preserve">Tato smlouva může být doplňována či měněna pouze písemně, přičemž k účinnosti je třeba podpisu obou smluvních stran. </w:t>
      </w:r>
    </w:p>
    <w:p w14:paraId="76B8B444" w14:textId="7FAA6A72" w:rsidR="00E820B7" w:rsidRDefault="00E820B7" w:rsidP="00E820B7">
      <w:pPr>
        <w:pStyle w:val="Zkladntext"/>
        <w:numPr>
          <w:ilvl w:val="0"/>
          <w:numId w:val="26"/>
        </w:numPr>
        <w:tabs>
          <w:tab w:val="left" w:pos="360"/>
        </w:tabs>
        <w:spacing w:line="276" w:lineRule="auto"/>
        <w:rPr>
          <w:rFonts w:ascii="Arial" w:hAnsi="Arial" w:cs="Arial"/>
          <w:sz w:val="20"/>
        </w:rPr>
      </w:pPr>
      <w:r w:rsidRPr="00525020">
        <w:rPr>
          <w:rFonts w:ascii="Arial" w:hAnsi="Arial" w:cs="Arial"/>
          <w:sz w:val="20"/>
        </w:rPr>
        <w:t>Případná neplatnost nebo neúčinnost jednotlivých ujednání v této smlouvě obsažených není podle dohody smluvních stran na újmu platnosti nebo účinnosti ostatních ujednání této smlouvy.</w:t>
      </w:r>
    </w:p>
    <w:p w14:paraId="10700C71" w14:textId="77777777" w:rsidR="00E820B7" w:rsidRDefault="00E820B7" w:rsidP="00E820B7">
      <w:pPr>
        <w:pStyle w:val="Zkladntext"/>
        <w:numPr>
          <w:ilvl w:val="0"/>
          <w:numId w:val="26"/>
        </w:numPr>
        <w:tabs>
          <w:tab w:val="left" w:pos="360"/>
        </w:tabs>
        <w:spacing w:line="276" w:lineRule="auto"/>
        <w:textAlignment w:val="auto"/>
        <w:rPr>
          <w:rFonts w:ascii="Arial" w:hAnsi="Arial" w:cs="Arial"/>
          <w:sz w:val="20"/>
        </w:rPr>
      </w:pPr>
      <w:r>
        <w:rPr>
          <w:rFonts w:ascii="Arial" w:hAnsi="Arial" w:cs="Arial"/>
          <w:sz w:val="20"/>
        </w:rPr>
        <w:t xml:space="preserve">Dispozitivní ustanovení zákona č. 89/2012 Sb., občanského zákoníku, ve znění pozdějších předpisů, mají dle ujednání smluvních stran přednost před obchodními zvyklostmi. </w:t>
      </w:r>
    </w:p>
    <w:p w14:paraId="3599F636" w14:textId="2101529F" w:rsidR="00E820B7" w:rsidRDefault="00E820B7" w:rsidP="00E820B7">
      <w:pPr>
        <w:pStyle w:val="Odstavecseseznamem"/>
        <w:widowControl w:val="0"/>
        <w:numPr>
          <w:ilvl w:val="0"/>
          <w:numId w:val="26"/>
        </w:numPr>
        <w:autoSpaceDE w:val="0"/>
        <w:autoSpaceDN w:val="0"/>
        <w:adjustRightInd w:val="0"/>
        <w:spacing w:after="0"/>
        <w:contextualSpacing/>
        <w:jc w:val="both"/>
        <w:rPr>
          <w:rFonts w:ascii="Arial" w:hAnsi="Arial" w:cs="Arial"/>
          <w:sz w:val="20"/>
          <w:szCs w:val="20"/>
        </w:rPr>
      </w:pPr>
      <w:r>
        <w:rPr>
          <w:rFonts w:ascii="Arial" w:hAnsi="Arial" w:cs="Arial"/>
          <w:sz w:val="20"/>
          <w:szCs w:val="20"/>
        </w:rPr>
        <w:t>Dojde-li během trvání této smlouvy u některé ze smluvních stran ke změně adresy uvedené v záhlaví této smlouvy, je smluvní strana povinna o této skutečnosti druhou smluvní stranu bez zbytečného odkladu informovat, nelze-li změnu zjistit z veřejného rejstříku; při porušení této povinnosti odpovídá dotčená smluvní strana druhé smluvní straně za veškerou škodu, která jí neoznámením nové adresy vznikla.</w:t>
      </w:r>
    </w:p>
    <w:p w14:paraId="6E874111" w14:textId="5475240C" w:rsidR="00E820B7" w:rsidRDefault="00E820B7" w:rsidP="00E820B7">
      <w:pPr>
        <w:pStyle w:val="Odstavecseseznamem"/>
        <w:widowControl w:val="0"/>
        <w:numPr>
          <w:ilvl w:val="0"/>
          <w:numId w:val="26"/>
        </w:numPr>
        <w:autoSpaceDE w:val="0"/>
        <w:autoSpaceDN w:val="0"/>
        <w:adjustRightInd w:val="0"/>
        <w:spacing w:after="0"/>
        <w:contextualSpacing/>
        <w:jc w:val="both"/>
        <w:rPr>
          <w:rFonts w:ascii="Arial" w:hAnsi="Arial" w:cs="Arial"/>
          <w:sz w:val="20"/>
          <w:szCs w:val="20"/>
        </w:rPr>
      </w:pPr>
      <w:r>
        <w:rPr>
          <w:rFonts w:ascii="Arial" w:hAnsi="Arial" w:cs="Arial"/>
          <w:sz w:val="20"/>
          <w:szCs w:val="20"/>
        </w:rPr>
        <w:t xml:space="preserve">Odepře-li některá smluvní strana přijetí písemnosti na shora uvedené adrese (popř. na oznámené či jinak zjištěné změněné adrese), považuje se písemnost za doručenou dnem odepření jejího přijetí. Nebude-li některá smluvní strana písemnosti na shora uvedené adrese (popř. na oznámené či jinak zjištěné změněné adrese) přebírat, platí, že byla písemnost doručena desátým dnem ode dne jejího prokazatelného odeslání druhou smluvní stranou bez ohledu na to, zda již uplynula úložní doba </w:t>
      </w:r>
      <w:r>
        <w:rPr>
          <w:rFonts w:ascii="Arial" w:hAnsi="Arial" w:cs="Arial"/>
          <w:sz w:val="20"/>
          <w:szCs w:val="20"/>
        </w:rPr>
        <w:lastRenderedPageBreak/>
        <w:t>poskytovaná poštou. Písemnost se považuje za doručenou i tehdy, bude-li odesílateli vrácena pro neznámého adresáta či z jiného obdobného důvodu, a to okamžikem jejího vrácení odesílateli.</w:t>
      </w:r>
    </w:p>
    <w:p w14:paraId="75DB2AB8" w14:textId="6547B5C3" w:rsidR="00421F28" w:rsidRPr="00421F28" w:rsidRDefault="00421F28" w:rsidP="00421F28">
      <w:pPr>
        <w:pStyle w:val="Odstavecseseznamem"/>
        <w:widowControl w:val="0"/>
        <w:numPr>
          <w:ilvl w:val="0"/>
          <w:numId w:val="26"/>
        </w:numPr>
        <w:suppressAutoHyphens/>
        <w:autoSpaceDN w:val="0"/>
        <w:spacing w:after="0" w:line="240" w:lineRule="auto"/>
        <w:contextualSpacing/>
        <w:jc w:val="both"/>
        <w:textAlignment w:val="baseline"/>
        <w:rPr>
          <w:rFonts w:ascii="Arial" w:hAnsi="Arial" w:cs="Arial"/>
          <w:sz w:val="20"/>
          <w:szCs w:val="20"/>
        </w:rPr>
      </w:pPr>
      <w:r>
        <w:rPr>
          <w:rFonts w:ascii="Arial" w:hAnsi="Arial" w:cs="Arial"/>
          <w:sz w:val="20"/>
          <w:szCs w:val="20"/>
        </w:rPr>
        <w:t>Kupující</w:t>
      </w:r>
      <w:r w:rsidRPr="00421F28">
        <w:rPr>
          <w:rFonts w:ascii="Arial" w:hAnsi="Arial" w:cs="Arial"/>
          <w:sz w:val="20"/>
          <w:szCs w:val="20"/>
        </w:rPr>
        <w:t xml:space="preserve"> je dle zákona č. 340/2015 Sb. (zákon o registru smluv) §2 bod e) povinným subjektem, tj. smlouvy, jejichž </w:t>
      </w:r>
      <w:proofErr w:type="gramStart"/>
      <w:r w:rsidRPr="00421F28">
        <w:rPr>
          <w:rFonts w:ascii="Arial" w:hAnsi="Arial" w:cs="Arial"/>
          <w:sz w:val="20"/>
          <w:szCs w:val="20"/>
        </w:rPr>
        <w:t>je</w:t>
      </w:r>
      <w:proofErr w:type="gramEnd"/>
      <w:r w:rsidRPr="00421F28">
        <w:rPr>
          <w:rFonts w:ascii="Arial" w:hAnsi="Arial" w:cs="Arial"/>
          <w:sz w:val="20"/>
          <w:szCs w:val="20"/>
        </w:rPr>
        <w:t xml:space="preserve"> smluvní stranou </w:t>
      </w:r>
      <w:proofErr w:type="gramStart"/>
      <w:r w:rsidRPr="00421F28">
        <w:rPr>
          <w:rFonts w:ascii="Arial" w:hAnsi="Arial" w:cs="Arial"/>
          <w:sz w:val="20"/>
          <w:szCs w:val="20"/>
        </w:rPr>
        <w:t>se</w:t>
      </w:r>
      <w:proofErr w:type="gramEnd"/>
      <w:r w:rsidRPr="00421F28">
        <w:rPr>
          <w:rFonts w:ascii="Arial" w:hAnsi="Arial" w:cs="Arial"/>
          <w:sz w:val="20"/>
          <w:szCs w:val="20"/>
        </w:rPr>
        <w:t xml:space="preserve"> povinně uveřejňují v registru smluv. Smlouvu do registru smluv spravovaného Ministerstvem vnitra zašle </w:t>
      </w:r>
      <w:r>
        <w:rPr>
          <w:rFonts w:ascii="Arial" w:hAnsi="Arial" w:cs="Arial"/>
          <w:sz w:val="20"/>
          <w:szCs w:val="20"/>
        </w:rPr>
        <w:t>kupující</w:t>
      </w:r>
      <w:r w:rsidRPr="00421F28">
        <w:rPr>
          <w:rFonts w:ascii="Arial" w:hAnsi="Arial" w:cs="Arial"/>
          <w:b/>
          <w:sz w:val="20"/>
          <w:szCs w:val="20"/>
        </w:rPr>
        <w:t>.</w:t>
      </w:r>
    </w:p>
    <w:p w14:paraId="2CF4B0AF" w14:textId="77777777" w:rsidR="00421F28" w:rsidRPr="00421F28" w:rsidRDefault="00421F28" w:rsidP="00D853C8">
      <w:pPr>
        <w:pStyle w:val="Odstavecseseznamem"/>
        <w:widowControl w:val="0"/>
        <w:autoSpaceDE w:val="0"/>
        <w:autoSpaceDN w:val="0"/>
        <w:adjustRightInd w:val="0"/>
        <w:spacing w:after="0"/>
        <w:ind w:left="720"/>
        <w:contextualSpacing/>
        <w:jc w:val="both"/>
        <w:rPr>
          <w:rFonts w:ascii="Arial" w:hAnsi="Arial" w:cs="Arial"/>
          <w:sz w:val="20"/>
          <w:szCs w:val="20"/>
        </w:rPr>
      </w:pPr>
    </w:p>
    <w:p w14:paraId="62ED6DEA" w14:textId="7A3B41D7" w:rsidR="002D2492" w:rsidRDefault="002D2492" w:rsidP="00E820B7">
      <w:pPr>
        <w:spacing w:after="0" w:line="240" w:lineRule="auto"/>
        <w:rPr>
          <w:rFonts w:ascii="Arial" w:hAnsi="Arial" w:cs="Arial"/>
          <w:sz w:val="20"/>
          <w:szCs w:val="20"/>
        </w:rPr>
      </w:pPr>
    </w:p>
    <w:p w14:paraId="4E59E0FF" w14:textId="69197545" w:rsidR="00E820B7" w:rsidRDefault="00E820B7" w:rsidP="00E820B7">
      <w:pPr>
        <w:spacing w:after="0" w:line="240" w:lineRule="auto"/>
        <w:rPr>
          <w:rFonts w:ascii="Arial" w:hAnsi="Arial" w:cs="Arial"/>
          <w:sz w:val="20"/>
          <w:szCs w:val="20"/>
        </w:rPr>
      </w:pPr>
    </w:p>
    <w:p w14:paraId="10B4C1B8" w14:textId="77777777" w:rsidR="00E820B7" w:rsidRPr="00E820B7" w:rsidRDefault="00E820B7" w:rsidP="00E820B7">
      <w:pPr>
        <w:spacing w:after="0" w:line="240" w:lineRule="auto"/>
        <w:rPr>
          <w:rFonts w:ascii="Arial" w:hAnsi="Arial" w:cs="Arial"/>
          <w:sz w:val="20"/>
          <w:szCs w:val="20"/>
        </w:rPr>
      </w:pPr>
    </w:p>
    <w:p w14:paraId="2AE3304F" w14:textId="77777777" w:rsidR="00FF19EF" w:rsidRDefault="00FF19EF" w:rsidP="00E13486">
      <w:pPr>
        <w:pStyle w:val="Bezmezer1"/>
        <w:rPr>
          <w:rFonts w:ascii="Arial" w:hAnsi="Arial" w:cs="Arial"/>
          <w:sz w:val="20"/>
          <w:szCs w:val="20"/>
        </w:rPr>
      </w:pPr>
    </w:p>
    <w:p w14:paraId="5FA96C36" w14:textId="77777777" w:rsidR="00CB4881" w:rsidRPr="00852220" w:rsidRDefault="00CB4881" w:rsidP="00E13486">
      <w:pPr>
        <w:pStyle w:val="Bezmezer1"/>
        <w:rPr>
          <w:rFonts w:ascii="Arial" w:hAnsi="Arial" w:cs="Arial"/>
          <w:sz w:val="20"/>
          <w:szCs w:val="20"/>
        </w:rPr>
      </w:pPr>
    </w:p>
    <w:p w14:paraId="339AEBF8" w14:textId="3B2891B8" w:rsidR="008E100B" w:rsidRDefault="00421F28" w:rsidP="008E100B">
      <w:pPr>
        <w:pStyle w:val="Bezmezer1"/>
        <w:rPr>
          <w:rFonts w:ascii="Arial" w:hAnsi="Arial" w:cs="Arial"/>
          <w:sz w:val="20"/>
          <w:szCs w:val="20"/>
        </w:rPr>
      </w:pPr>
      <w:r>
        <w:rPr>
          <w:rFonts w:ascii="Arial" w:hAnsi="Arial" w:cs="Arial"/>
          <w:sz w:val="20"/>
          <w:szCs w:val="20"/>
        </w:rPr>
        <w:t>V Praze</w:t>
      </w:r>
      <w:r w:rsidR="00CE1ABB">
        <w:rPr>
          <w:rFonts w:ascii="Arial" w:hAnsi="Arial" w:cs="Arial"/>
          <w:sz w:val="20"/>
          <w:szCs w:val="20"/>
        </w:rPr>
        <w:t xml:space="preserve">, dne </w:t>
      </w:r>
      <w:r w:rsidR="00BD2232" w:rsidRPr="00BD2232">
        <w:rPr>
          <w:rFonts w:ascii="Arial" w:hAnsi="Arial" w:cs="Arial"/>
          <w:sz w:val="20"/>
          <w:szCs w:val="20"/>
        </w:rPr>
        <w:t>15</w:t>
      </w:r>
      <w:r w:rsidR="005D0995">
        <w:rPr>
          <w:rFonts w:ascii="Arial" w:hAnsi="Arial" w:cs="Arial"/>
          <w:sz w:val="20"/>
          <w:szCs w:val="20"/>
        </w:rPr>
        <w:t>.</w:t>
      </w:r>
      <w:r w:rsidR="00BD2232">
        <w:rPr>
          <w:rFonts w:ascii="Arial" w:hAnsi="Arial" w:cs="Arial"/>
          <w:sz w:val="20"/>
          <w:szCs w:val="20"/>
        </w:rPr>
        <w:t>8.</w:t>
      </w:r>
      <w:bookmarkStart w:id="0" w:name="_GoBack"/>
      <w:bookmarkEnd w:id="0"/>
      <w:r w:rsidR="005D0995">
        <w:rPr>
          <w:rFonts w:ascii="Arial" w:hAnsi="Arial" w:cs="Arial"/>
          <w:sz w:val="20"/>
          <w:szCs w:val="20"/>
        </w:rPr>
        <w:t xml:space="preserve"> </w:t>
      </w:r>
      <w:r w:rsidR="00B04337">
        <w:rPr>
          <w:rFonts w:ascii="Arial" w:hAnsi="Arial" w:cs="Arial"/>
          <w:sz w:val="20"/>
          <w:szCs w:val="20"/>
        </w:rPr>
        <w:t xml:space="preserve"> 201</w:t>
      </w:r>
      <w:r w:rsidR="00D879CD">
        <w:rPr>
          <w:rFonts w:ascii="Arial" w:hAnsi="Arial" w:cs="Arial"/>
          <w:sz w:val="20"/>
          <w:szCs w:val="20"/>
        </w:rPr>
        <w:t>9</w:t>
      </w:r>
      <w:r w:rsidR="006E3B19">
        <w:rPr>
          <w:rFonts w:ascii="Arial" w:hAnsi="Arial" w:cs="Arial"/>
          <w:sz w:val="20"/>
          <w:szCs w:val="20"/>
        </w:rPr>
        <w:tab/>
      </w:r>
      <w:r w:rsidR="006E3B19">
        <w:rPr>
          <w:rFonts w:ascii="Arial" w:hAnsi="Arial" w:cs="Arial"/>
          <w:sz w:val="20"/>
          <w:szCs w:val="20"/>
        </w:rPr>
        <w:tab/>
      </w:r>
      <w:r w:rsidR="006E3B19">
        <w:rPr>
          <w:rFonts w:ascii="Arial" w:hAnsi="Arial" w:cs="Arial"/>
          <w:sz w:val="20"/>
          <w:szCs w:val="20"/>
        </w:rPr>
        <w:tab/>
      </w:r>
      <w:r>
        <w:rPr>
          <w:rFonts w:ascii="Arial" w:hAnsi="Arial" w:cs="Arial"/>
          <w:sz w:val="20"/>
          <w:szCs w:val="20"/>
        </w:rPr>
        <w:t xml:space="preserve">                                     </w:t>
      </w:r>
      <w:r w:rsidR="006E3B19">
        <w:rPr>
          <w:rFonts w:ascii="Arial" w:hAnsi="Arial" w:cs="Arial"/>
          <w:sz w:val="20"/>
          <w:szCs w:val="20"/>
        </w:rPr>
        <w:t>V Litoměřicích,</w:t>
      </w:r>
      <w:r w:rsidR="00CE1ABB">
        <w:rPr>
          <w:rFonts w:ascii="Arial" w:hAnsi="Arial" w:cs="Arial"/>
          <w:sz w:val="20"/>
          <w:szCs w:val="20"/>
        </w:rPr>
        <w:t xml:space="preserve"> dne 15.</w:t>
      </w:r>
      <w:r w:rsidR="00287E44">
        <w:rPr>
          <w:rFonts w:ascii="Arial" w:hAnsi="Arial" w:cs="Arial"/>
          <w:sz w:val="20"/>
          <w:szCs w:val="20"/>
        </w:rPr>
        <w:t xml:space="preserve"> </w:t>
      </w:r>
      <w:r w:rsidR="00CE1ABB">
        <w:rPr>
          <w:rFonts w:ascii="Arial" w:hAnsi="Arial" w:cs="Arial"/>
          <w:sz w:val="20"/>
          <w:szCs w:val="20"/>
        </w:rPr>
        <w:t>8</w:t>
      </w:r>
      <w:r w:rsidR="00B950FC">
        <w:rPr>
          <w:rFonts w:ascii="Arial" w:hAnsi="Arial" w:cs="Arial"/>
          <w:sz w:val="20"/>
          <w:szCs w:val="20"/>
        </w:rPr>
        <w:t xml:space="preserve">. </w:t>
      </w:r>
      <w:r w:rsidR="00B04337">
        <w:rPr>
          <w:rFonts w:ascii="Arial" w:hAnsi="Arial" w:cs="Arial"/>
          <w:sz w:val="20"/>
          <w:szCs w:val="20"/>
        </w:rPr>
        <w:t xml:space="preserve"> 201</w:t>
      </w:r>
      <w:r w:rsidR="00D879CD">
        <w:rPr>
          <w:rFonts w:ascii="Arial" w:hAnsi="Arial" w:cs="Arial"/>
          <w:sz w:val="20"/>
          <w:szCs w:val="20"/>
        </w:rPr>
        <w:t>9</w:t>
      </w:r>
    </w:p>
    <w:p w14:paraId="4B52546D" w14:textId="307DA547" w:rsidR="008E100B" w:rsidRDefault="008E100B" w:rsidP="008E100B">
      <w:pPr>
        <w:pStyle w:val="Bezmezer1"/>
        <w:rPr>
          <w:rFonts w:ascii="Arial" w:hAnsi="Arial" w:cs="Arial"/>
          <w:sz w:val="20"/>
          <w:szCs w:val="20"/>
        </w:rPr>
      </w:pPr>
    </w:p>
    <w:p w14:paraId="5F3A59CD" w14:textId="5C93F279" w:rsidR="008E100B" w:rsidRDefault="008E100B" w:rsidP="008E100B">
      <w:pPr>
        <w:pStyle w:val="Bezmezer1"/>
        <w:rPr>
          <w:rFonts w:ascii="Arial" w:hAnsi="Arial" w:cs="Arial"/>
          <w:sz w:val="20"/>
          <w:szCs w:val="20"/>
        </w:rPr>
      </w:pPr>
    </w:p>
    <w:p w14:paraId="55B14B9A" w14:textId="77777777" w:rsidR="00CB4881" w:rsidRDefault="00CB4881" w:rsidP="008E100B">
      <w:pPr>
        <w:pStyle w:val="Bezmezer1"/>
        <w:rPr>
          <w:rFonts w:ascii="Arial" w:hAnsi="Arial" w:cs="Arial"/>
          <w:sz w:val="20"/>
          <w:szCs w:val="20"/>
        </w:rPr>
      </w:pPr>
    </w:p>
    <w:p w14:paraId="32CA0677" w14:textId="0B66DC66" w:rsidR="008E100B" w:rsidRDefault="008E100B" w:rsidP="008E100B">
      <w:pPr>
        <w:pStyle w:val="Bezmezer1"/>
        <w:rPr>
          <w:rFonts w:ascii="Arial" w:hAnsi="Arial" w:cs="Arial"/>
          <w:sz w:val="20"/>
          <w:szCs w:val="20"/>
        </w:rPr>
      </w:pPr>
    </w:p>
    <w:p w14:paraId="0C959013" w14:textId="19366035" w:rsidR="008E100B" w:rsidRPr="00CE1ABB" w:rsidRDefault="008E100B" w:rsidP="008E100B">
      <w:pPr>
        <w:pStyle w:val="Bezmezer1"/>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E1ABB">
        <w:rPr>
          <w:rFonts w:ascii="Arial" w:hAnsi="Arial" w:cs="Arial"/>
          <w:sz w:val="20"/>
          <w:szCs w:val="20"/>
        </w:rPr>
        <w:t>……………………………………..……</w:t>
      </w:r>
      <w:r w:rsidR="00D879CD">
        <w:rPr>
          <w:rFonts w:ascii="Arial" w:hAnsi="Arial" w:cs="Arial"/>
          <w:b/>
          <w:sz w:val="20"/>
          <w:szCs w:val="20"/>
        </w:rPr>
        <w:tab/>
      </w:r>
      <w:proofErr w:type="spellStart"/>
      <w:r w:rsidR="00CE1ABB">
        <w:rPr>
          <w:rFonts w:ascii="Arial" w:hAnsi="Arial" w:cs="Arial"/>
          <w:b/>
          <w:sz w:val="20"/>
          <w:szCs w:val="20"/>
        </w:rPr>
        <w:t>CeWe</w:t>
      </w:r>
      <w:proofErr w:type="spellEnd"/>
      <w:r w:rsidR="00CE1ABB">
        <w:rPr>
          <w:rFonts w:ascii="Arial" w:hAnsi="Arial" w:cs="Arial"/>
          <w:b/>
          <w:sz w:val="20"/>
          <w:szCs w:val="20"/>
        </w:rPr>
        <w:t xml:space="preserve"> </w:t>
      </w:r>
      <w:proofErr w:type="spellStart"/>
      <w:r w:rsidR="00CE1ABB">
        <w:rPr>
          <w:rFonts w:ascii="Arial" w:hAnsi="Arial" w:cs="Arial"/>
          <w:b/>
          <w:sz w:val="20"/>
          <w:szCs w:val="20"/>
        </w:rPr>
        <w:t>Color</w:t>
      </w:r>
      <w:proofErr w:type="spellEnd"/>
      <w:r w:rsidR="00CE1ABB">
        <w:rPr>
          <w:rFonts w:ascii="Arial" w:hAnsi="Arial" w:cs="Arial"/>
          <w:b/>
          <w:sz w:val="20"/>
          <w:szCs w:val="20"/>
        </w:rPr>
        <w:t>, a.s</w:t>
      </w:r>
      <w:r w:rsidR="00CE1ABB" w:rsidRPr="00852220">
        <w:rPr>
          <w:rFonts w:ascii="Arial" w:hAnsi="Arial" w:cs="Arial"/>
          <w:b/>
          <w:sz w:val="20"/>
          <w:szCs w:val="20"/>
        </w:rPr>
        <w:t>.</w:t>
      </w:r>
      <w:r w:rsidR="00D879CD">
        <w:rPr>
          <w:rFonts w:ascii="Arial" w:hAnsi="Arial" w:cs="Arial"/>
          <w:b/>
          <w:sz w:val="20"/>
          <w:szCs w:val="20"/>
        </w:rPr>
        <w:tab/>
      </w:r>
      <w:r w:rsidR="00D879CD">
        <w:rPr>
          <w:rFonts w:ascii="Arial" w:hAnsi="Arial" w:cs="Arial"/>
          <w:b/>
          <w:sz w:val="20"/>
          <w:szCs w:val="20"/>
        </w:rPr>
        <w:tab/>
      </w:r>
      <w:r w:rsidR="00D879CD">
        <w:rPr>
          <w:rFonts w:ascii="Arial" w:hAnsi="Arial" w:cs="Arial"/>
          <w:b/>
          <w:sz w:val="20"/>
          <w:szCs w:val="20"/>
        </w:rPr>
        <w:tab/>
      </w:r>
      <w:r w:rsidR="00D879CD">
        <w:rPr>
          <w:rFonts w:ascii="Arial" w:hAnsi="Arial" w:cs="Arial"/>
          <w:b/>
          <w:sz w:val="20"/>
          <w:szCs w:val="20"/>
        </w:rPr>
        <w:tab/>
      </w:r>
      <w:r w:rsidR="00CE1ABB">
        <w:rPr>
          <w:rFonts w:ascii="Arial" w:hAnsi="Arial" w:cs="Arial"/>
          <w:b/>
          <w:sz w:val="20"/>
          <w:szCs w:val="20"/>
        </w:rPr>
        <w:t xml:space="preserve">         </w:t>
      </w:r>
      <w:r w:rsidR="00D879CD">
        <w:rPr>
          <w:rFonts w:ascii="Arial" w:hAnsi="Arial" w:cs="Arial"/>
          <w:b/>
          <w:sz w:val="20"/>
          <w:szCs w:val="20"/>
        </w:rPr>
        <w:t>Oblastní muzeum v Litoměřicích,</w:t>
      </w:r>
    </w:p>
    <w:p w14:paraId="1C6E4EEA" w14:textId="54A3102B" w:rsidR="00D879CD" w:rsidRDefault="00D879CD" w:rsidP="008E100B">
      <w:pPr>
        <w:pStyle w:val="Bezmezer1"/>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CE1ABB">
        <w:rPr>
          <w:rFonts w:ascii="Arial" w:hAnsi="Arial" w:cs="Arial"/>
          <w:b/>
          <w:sz w:val="20"/>
          <w:szCs w:val="20"/>
        </w:rPr>
        <w:t xml:space="preserve"> </w:t>
      </w:r>
      <w:r>
        <w:rPr>
          <w:rFonts w:ascii="Arial" w:hAnsi="Arial" w:cs="Arial"/>
          <w:b/>
          <w:sz w:val="20"/>
          <w:szCs w:val="20"/>
        </w:rPr>
        <w:t>příspěvková organizace</w:t>
      </w:r>
    </w:p>
    <w:sectPr w:rsidR="00D879CD" w:rsidSect="0015791F">
      <w:footerReference w:type="default" r:id="rId8"/>
      <w:pgSz w:w="11906" w:h="16838"/>
      <w:pgMar w:top="993"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BECAF" w14:textId="77777777" w:rsidR="005E22A0" w:rsidRDefault="005E22A0" w:rsidP="00CE1ABB">
      <w:pPr>
        <w:spacing w:after="0" w:line="240" w:lineRule="auto"/>
      </w:pPr>
      <w:r>
        <w:separator/>
      </w:r>
    </w:p>
  </w:endnote>
  <w:endnote w:type="continuationSeparator" w:id="0">
    <w:p w14:paraId="1AE849C5" w14:textId="77777777" w:rsidR="005E22A0" w:rsidRDefault="005E22A0" w:rsidP="00CE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089470"/>
      <w:docPartObj>
        <w:docPartGallery w:val="Page Numbers (Bottom of Page)"/>
        <w:docPartUnique/>
      </w:docPartObj>
    </w:sdtPr>
    <w:sdtEndPr/>
    <w:sdtContent>
      <w:p w14:paraId="2BD36F83" w14:textId="05966B97" w:rsidR="00CE1ABB" w:rsidRDefault="00CE1ABB">
        <w:pPr>
          <w:pStyle w:val="Zpat"/>
          <w:jc w:val="right"/>
        </w:pPr>
        <w:r>
          <w:fldChar w:fldCharType="begin"/>
        </w:r>
        <w:r>
          <w:instrText>PAGE   \* MERGEFORMAT</w:instrText>
        </w:r>
        <w:r>
          <w:fldChar w:fldCharType="separate"/>
        </w:r>
        <w:r w:rsidR="00BD2232">
          <w:rPr>
            <w:noProof/>
          </w:rPr>
          <w:t>3</w:t>
        </w:r>
        <w:r>
          <w:fldChar w:fldCharType="end"/>
        </w:r>
      </w:p>
    </w:sdtContent>
  </w:sdt>
  <w:p w14:paraId="6C62FA73" w14:textId="77777777" w:rsidR="00CE1ABB" w:rsidRDefault="00CE1AB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7263B" w14:textId="77777777" w:rsidR="005E22A0" w:rsidRDefault="005E22A0" w:rsidP="00CE1ABB">
      <w:pPr>
        <w:spacing w:after="0" w:line="240" w:lineRule="auto"/>
      </w:pPr>
      <w:r>
        <w:separator/>
      </w:r>
    </w:p>
  </w:footnote>
  <w:footnote w:type="continuationSeparator" w:id="0">
    <w:p w14:paraId="4815C0BB" w14:textId="77777777" w:rsidR="005E22A0" w:rsidRDefault="005E22A0" w:rsidP="00CE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C0C51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54716"/>
    <w:multiLevelType w:val="hybridMultilevel"/>
    <w:tmpl w:val="B57C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B794678"/>
    <w:multiLevelType w:val="hybridMultilevel"/>
    <w:tmpl w:val="777AFFE4"/>
    <w:lvl w:ilvl="0" w:tplc="6D220B24">
      <w:start w:val="1"/>
      <w:numFmt w:val="decimal"/>
      <w:lvlText w:val="%1."/>
      <w:lvlJc w:val="left"/>
      <w:pPr>
        <w:ind w:left="108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861C6"/>
    <w:multiLevelType w:val="hybridMultilevel"/>
    <w:tmpl w:val="9B3263FC"/>
    <w:lvl w:ilvl="0" w:tplc="42761E4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F81EF7"/>
    <w:multiLevelType w:val="hybridMultilevel"/>
    <w:tmpl w:val="36F486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D7A0B4F"/>
    <w:multiLevelType w:val="hybridMultilevel"/>
    <w:tmpl w:val="12F8FCC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1FD321B"/>
    <w:multiLevelType w:val="hybridMultilevel"/>
    <w:tmpl w:val="DBAE27BA"/>
    <w:lvl w:ilvl="0" w:tplc="8796E7F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3A546F"/>
    <w:multiLevelType w:val="hybridMultilevel"/>
    <w:tmpl w:val="B7527BF6"/>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8" w15:restartNumberingAfterBreak="0">
    <w:nsid w:val="2ABF13CC"/>
    <w:multiLevelType w:val="hybridMultilevel"/>
    <w:tmpl w:val="5FB659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2CF6D41"/>
    <w:multiLevelType w:val="multilevel"/>
    <w:tmpl w:val="0405001F"/>
    <w:lvl w:ilvl="0">
      <w:start w:val="1"/>
      <w:numFmt w:val="decimal"/>
      <w:lvlText w:val="%1."/>
      <w:lvlJc w:val="left"/>
      <w:pPr>
        <w:ind w:left="360" w:hanging="360"/>
      </w:pPr>
    </w:lvl>
    <w:lvl w:ilvl="1">
      <w:start w:val="1"/>
      <w:numFmt w:val="decimal"/>
      <w:lvlText w:val="%1.%2."/>
      <w:lvlJc w:val="left"/>
      <w:pPr>
        <w:ind w:left="950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292695"/>
    <w:multiLevelType w:val="hybridMultilevel"/>
    <w:tmpl w:val="A1D048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BB55653"/>
    <w:multiLevelType w:val="hybridMultilevel"/>
    <w:tmpl w:val="9B3263FC"/>
    <w:lvl w:ilvl="0" w:tplc="42761E4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B70892"/>
    <w:multiLevelType w:val="hybridMultilevel"/>
    <w:tmpl w:val="A1AE13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D5531F0"/>
    <w:multiLevelType w:val="hybridMultilevel"/>
    <w:tmpl w:val="EAB276F8"/>
    <w:lvl w:ilvl="0" w:tplc="04050009">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4" w15:restartNumberingAfterBreak="0">
    <w:nsid w:val="44BD550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6777380"/>
    <w:multiLevelType w:val="hybridMultilevel"/>
    <w:tmpl w:val="ADAADCC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94C3ABD"/>
    <w:multiLevelType w:val="hybridMultilevel"/>
    <w:tmpl w:val="3D6A7FB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EC1054B"/>
    <w:multiLevelType w:val="hybridMultilevel"/>
    <w:tmpl w:val="9B3263FC"/>
    <w:lvl w:ilvl="0" w:tplc="42761E4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7D2853"/>
    <w:multiLevelType w:val="hybridMultilevel"/>
    <w:tmpl w:val="9B3263FC"/>
    <w:lvl w:ilvl="0" w:tplc="42761E4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BA115C"/>
    <w:multiLevelType w:val="hybridMultilevel"/>
    <w:tmpl w:val="9B3263FC"/>
    <w:lvl w:ilvl="0" w:tplc="42761E4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227E51"/>
    <w:multiLevelType w:val="hybridMultilevel"/>
    <w:tmpl w:val="90742C6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3D143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922945"/>
    <w:multiLevelType w:val="hybridMultilevel"/>
    <w:tmpl w:val="0D7A5E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CA73462"/>
    <w:multiLevelType w:val="hybridMultilevel"/>
    <w:tmpl w:val="919EEC18"/>
    <w:lvl w:ilvl="0" w:tplc="1ADA5C3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F6C6E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923D77"/>
    <w:multiLevelType w:val="hybridMultilevel"/>
    <w:tmpl w:val="2160EB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8234706"/>
    <w:multiLevelType w:val="hybridMultilevel"/>
    <w:tmpl w:val="A1AE13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ABB531A"/>
    <w:multiLevelType w:val="hybridMultilevel"/>
    <w:tmpl w:val="E448399E"/>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C3A2C7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EB5206"/>
    <w:multiLevelType w:val="hybridMultilevel"/>
    <w:tmpl w:val="CC0EC0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0471AB"/>
    <w:multiLevelType w:val="hybridMultilevel"/>
    <w:tmpl w:val="E5CEC556"/>
    <w:lvl w:ilvl="0" w:tplc="04050001">
      <w:start w:val="1"/>
      <w:numFmt w:val="bullet"/>
      <w:lvlText w:val=""/>
      <w:lvlJc w:val="left"/>
      <w:pPr>
        <w:ind w:left="770" w:hanging="360"/>
      </w:pPr>
      <w:rPr>
        <w:rFonts w:ascii="Symbol" w:hAnsi="Symbol" w:hint="default"/>
      </w:rPr>
    </w:lvl>
    <w:lvl w:ilvl="1" w:tplc="04050003">
      <w:start w:val="1"/>
      <w:numFmt w:val="bullet"/>
      <w:lvlText w:val="o"/>
      <w:lvlJc w:val="left"/>
      <w:pPr>
        <w:ind w:left="1490" w:hanging="360"/>
      </w:pPr>
      <w:rPr>
        <w:rFonts w:ascii="Courier New" w:hAnsi="Courier New" w:cs="Courier New" w:hint="default"/>
      </w:rPr>
    </w:lvl>
    <w:lvl w:ilvl="2" w:tplc="04050005">
      <w:start w:val="1"/>
      <w:numFmt w:val="bullet"/>
      <w:lvlText w:val=""/>
      <w:lvlJc w:val="left"/>
      <w:pPr>
        <w:ind w:left="2210" w:hanging="360"/>
      </w:pPr>
      <w:rPr>
        <w:rFonts w:ascii="Wingdings" w:hAnsi="Wingdings" w:hint="default"/>
      </w:rPr>
    </w:lvl>
    <w:lvl w:ilvl="3" w:tplc="04050001">
      <w:start w:val="1"/>
      <w:numFmt w:val="bullet"/>
      <w:lvlText w:val=""/>
      <w:lvlJc w:val="left"/>
      <w:pPr>
        <w:ind w:left="2930" w:hanging="360"/>
      </w:pPr>
      <w:rPr>
        <w:rFonts w:ascii="Symbol" w:hAnsi="Symbol" w:hint="default"/>
      </w:rPr>
    </w:lvl>
    <w:lvl w:ilvl="4" w:tplc="04050003">
      <w:start w:val="1"/>
      <w:numFmt w:val="bullet"/>
      <w:lvlText w:val="o"/>
      <w:lvlJc w:val="left"/>
      <w:pPr>
        <w:ind w:left="3650" w:hanging="360"/>
      </w:pPr>
      <w:rPr>
        <w:rFonts w:ascii="Courier New" w:hAnsi="Courier New" w:cs="Courier New" w:hint="default"/>
      </w:rPr>
    </w:lvl>
    <w:lvl w:ilvl="5" w:tplc="04050005">
      <w:start w:val="1"/>
      <w:numFmt w:val="bullet"/>
      <w:lvlText w:val=""/>
      <w:lvlJc w:val="left"/>
      <w:pPr>
        <w:ind w:left="4370" w:hanging="360"/>
      </w:pPr>
      <w:rPr>
        <w:rFonts w:ascii="Wingdings" w:hAnsi="Wingdings" w:hint="default"/>
      </w:rPr>
    </w:lvl>
    <w:lvl w:ilvl="6" w:tplc="04050001">
      <w:start w:val="1"/>
      <w:numFmt w:val="bullet"/>
      <w:lvlText w:val=""/>
      <w:lvlJc w:val="left"/>
      <w:pPr>
        <w:ind w:left="5090" w:hanging="360"/>
      </w:pPr>
      <w:rPr>
        <w:rFonts w:ascii="Symbol" w:hAnsi="Symbol" w:hint="default"/>
      </w:rPr>
    </w:lvl>
    <w:lvl w:ilvl="7" w:tplc="04050003">
      <w:start w:val="1"/>
      <w:numFmt w:val="bullet"/>
      <w:lvlText w:val="o"/>
      <w:lvlJc w:val="left"/>
      <w:pPr>
        <w:ind w:left="5810" w:hanging="360"/>
      </w:pPr>
      <w:rPr>
        <w:rFonts w:ascii="Courier New" w:hAnsi="Courier New" w:cs="Courier New" w:hint="default"/>
      </w:rPr>
    </w:lvl>
    <w:lvl w:ilvl="8" w:tplc="04050005">
      <w:start w:val="1"/>
      <w:numFmt w:val="bullet"/>
      <w:lvlText w:val=""/>
      <w:lvlJc w:val="left"/>
      <w:pPr>
        <w:ind w:left="6530" w:hanging="360"/>
      </w:pPr>
      <w:rPr>
        <w:rFonts w:ascii="Wingdings" w:hAnsi="Wingdings" w:hint="default"/>
      </w:rPr>
    </w:lvl>
  </w:abstractNum>
  <w:num w:numId="1">
    <w:abstractNumId w:val="21"/>
  </w:num>
  <w:num w:numId="2">
    <w:abstractNumId w:val="24"/>
  </w:num>
  <w:num w:numId="3">
    <w:abstractNumId w:val="15"/>
  </w:num>
  <w:num w:numId="4">
    <w:abstractNumId w:val="9"/>
  </w:num>
  <w:num w:numId="5">
    <w:abstractNumId w:val="16"/>
  </w:num>
  <w:num w:numId="6">
    <w:abstractNumId w:val="5"/>
  </w:num>
  <w:num w:numId="7">
    <w:abstractNumId w:val="14"/>
  </w:num>
  <w:num w:numId="8">
    <w:abstractNumId w:val="28"/>
  </w:num>
  <w:num w:numId="9">
    <w:abstractNumId w:val="1"/>
  </w:num>
  <w:num w:numId="10">
    <w:abstractNumId w:val="0"/>
  </w:num>
  <w:num w:numId="11">
    <w:abstractNumId w:val="19"/>
  </w:num>
  <w:num w:numId="12">
    <w:abstractNumId w:val="11"/>
  </w:num>
  <w:num w:numId="13">
    <w:abstractNumId w:val="3"/>
  </w:num>
  <w:num w:numId="14">
    <w:abstractNumId w:val="2"/>
  </w:num>
  <w:num w:numId="15">
    <w:abstractNumId w:val="18"/>
  </w:num>
  <w:num w:numId="16">
    <w:abstractNumId w:val="17"/>
  </w:num>
  <w:num w:numId="17">
    <w:abstractNumId w:val="22"/>
  </w:num>
  <w:num w:numId="18">
    <w:abstractNumId w:val="6"/>
  </w:num>
  <w:num w:numId="19">
    <w:abstractNumId w:val="13"/>
  </w:num>
  <w:num w:numId="20">
    <w:abstractNumId w:val="7"/>
  </w:num>
  <w:num w:numId="21">
    <w:abstractNumId w:val="10"/>
  </w:num>
  <w:num w:numId="22">
    <w:abstractNumId w:val="20"/>
  </w:num>
  <w:num w:numId="23">
    <w:abstractNumId w:val="4"/>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0"/>
  </w:num>
  <w:num w:numId="29">
    <w:abstractNumId w:val="8"/>
  </w:num>
  <w:num w:numId="30">
    <w:abstractNumId w:val="2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87"/>
    <w:rsid w:val="00000C18"/>
    <w:rsid w:val="0002206F"/>
    <w:rsid w:val="00031155"/>
    <w:rsid w:val="000406E3"/>
    <w:rsid w:val="00052F7D"/>
    <w:rsid w:val="00080C6C"/>
    <w:rsid w:val="00082432"/>
    <w:rsid w:val="000855F3"/>
    <w:rsid w:val="000A2EB8"/>
    <w:rsid w:val="000B65BD"/>
    <w:rsid w:val="000C3173"/>
    <w:rsid w:val="000C4736"/>
    <w:rsid w:val="000F2C07"/>
    <w:rsid w:val="00107EE8"/>
    <w:rsid w:val="00112B68"/>
    <w:rsid w:val="00125D2B"/>
    <w:rsid w:val="00130E65"/>
    <w:rsid w:val="001329C8"/>
    <w:rsid w:val="001403B5"/>
    <w:rsid w:val="0014661A"/>
    <w:rsid w:val="00157668"/>
    <w:rsid w:val="0015791F"/>
    <w:rsid w:val="00166101"/>
    <w:rsid w:val="00172896"/>
    <w:rsid w:val="00174E4B"/>
    <w:rsid w:val="001867AE"/>
    <w:rsid w:val="001960ED"/>
    <w:rsid w:val="001B14C3"/>
    <w:rsid w:val="001D24D4"/>
    <w:rsid w:val="001D38F5"/>
    <w:rsid w:val="001E25F5"/>
    <w:rsid w:val="001F5725"/>
    <w:rsid w:val="001F70F9"/>
    <w:rsid w:val="00202826"/>
    <w:rsid w:val="00204BEE"/>
    <w:rsid w:val="00221844"/>
    <w:rsid w:val="00245BE1"/>
    <w:rsid w:val="00266A6D"/>
    <w:rsid w:val="00287E44"/>
    <w:rsid w:val="002A2E1A"/>
    <w:rsid w:val="002B47A3"/>
    <w:rsid w:val="002D2492"/>
    <w:rsid w:val="002E00A2"/>
    <w:rsid w:val="002F54A9"/>
    <w:rsid w:val="003028EB"/>
    <w:rsid w:val="00310494"/>
    <w:rsid w:val="00315AB2"/>
    <w:rsid w:val="00330DEE"/>
    <w:rsid w:val="003311C3"/>
    <w:rsid w:val="003617FD"/>
    <w:rsid w:val="0036684E"/>
    <w:rsid w:val="00382AF0"/>
    <w:rsid w:val="003855F6"/>
    <w:rsid w:val="00395EED"/>
    <w:rsid w:val="003B07E3"/>
    <w:rsid w:val="003F61E1"/>
    <w:rsid w:val="00413F1F"/>
    <w:rsid w:val="00421F28"/>
    <w:rsid w:val="00432903"/>
    <w:rsid w:val="0043337F"/>
    <w:rsid w:val="00446EEE"/>
    <w:rsid w:val="004661E0"/>
    <w:rsid w:val="00467DB3"/>
    <w:rsid w:val="004A262E"/>
    <w:rsid w:val="004B6484"/>
    <w:rsid w:val="004C6171"/>
    <w:rsid w:val="004C6B22"/>
    <w:rsid w:val="004E1A7C"/>
    <w:rsid w:val="004F416A"/>
    <w:rsid w:val="004F4C80"/>
    <w:rsid w:val="004F60DE"/>
    <w:rsid w:val="00503747"/>
    <w:rsid w:val="005106D3"/>
    <w:rsid w:val="00512090"/>
    <w:rsid w:val="005227DF"/>
    <w:rsid w:val="00526080"/>
    <w:rsid w:val="005572CB"/>
    <w:rsid w:val="00571AB5"/>
    <w:rsid w:val="00575A26"/>
    <w:rsid w:val="00583AAF"/>
    <w:rsid w:val="00597B27"/>
    <w:rsid w:val="005A104D"/>
    <w:rsid w:val="005A1E4B"/>
    <w:rsid w:val="005D0995"/>
    <w:rsid w:val="005E22A0"/>
    <w:rsid w:val="005F76B1"/>
    <w:rsid w:val="0061327C"/>
    <w:rsid w:val="00645D2C"/>
    <w:rsid w:val="0065050B"/>
    <w:rsid w:val="006B3CC8"/>
    <w:rsid w:val="006B69F5"/>
    <w:rsid w:val="006B6CA0"/>
    <w:rsid w:val="006C41D1"/>
    <w:rsid w:val="006D4E87"/>
    <w:rsid w:val="006D5127"/>
    <w:rsid w:val="006E3B19"/>
    <w:rsid w:val="006E3C8D"/>
    <w:rsid w:val="006F28F1"/>
    <w:rsid w:val="0070496B"/>
    <w:rsid w:val="00742A27"/>
    <w:rsid w:val="00750DA8"/>
    <w:rsid w:val="007857B1"/>
    <w:rsid w:val="00785EFF"/>
    <w:rsid w:val="007A143A"/>
    <w:rsid w:val="007A387F"/>
    <w:rsid w:val="007C6F71"/>
    <w:rsid w:val="007D2A73"/>
    <w:rsid w:val="007D50F9"/>
    <w:rsid w:val="007D749D"/>
    <w:rsid w:val="007E27E3"/>
    <w:rsid w:val="007E30CF"/>
    <w:rsid w:val="0083027B"/>
    <w:rsid w:val="008321DE"/>
    <w:rsid w:val="00832769"/>
    <w:rsid w:val="0084754C"/>
    <w:rsid w:val="00852220"/>
    <w:rsid w:val="008566AD"/>
    <w:rsid w:val="00857833"/>
    <w:rsid w:val="008817B6"/>
    <w:rsid w:val="00894549"/>
    <w:rsid w:val="00897DAD"/>
    <w:rsid w:val="008A68A7"/>
    <w:rsid w:val="008A6E1B"/>
    <w:rsid w:val="008E100B"/>
    <w:rsid w:val="008F0960"/>
    <w:rsid w:val="008F0B25"/>
    <w:rsid w:val="008F21DD"/>
    <w:rsid w:val="00921E1C"/>
    <w:rsid w:val="00923009"/>
    <w:rsid w:val="00946C3F"/>
    <w:rsid w:val="00953F70"/>
    <w:rsid w:val="00960287"/>
    <w:rsid w:val="0098245B"/>
    <w:rsid w:val="0099659E"/>
    <w:rsid w:val="009A1EDB"/>
    <w:rsid w:val="009B5BFA"/>
    <w:rsid w:val="009C104D"/>
    <w:rsid w:val="009C1808"/>
    <w:rsid w:val="009E5575"/>
    <w:rsid w:val="009E6FCE"/>
    <w:rsid w:val="009F569A"/>
    <w:rsid w:val="00A04FCA"/>
    <w:rsid w:val="00A050DF"/>
    <w:rsid w:val="00A207E6"/>
    <w:rsid w:val="00A2310A"/>
    <w:rsid w:val="00A23EB6"/>
    <w:rsid w:val="00A567CB"/>
    <w:rsid w:val="00A74EC2"/>
    <w:rsid w:val="00AA2F7B"/>
    <w:rsid w:val="00AE1B83"/>
    <w:rsid w:val="00B04337"/>
    <w:rsid w:val="00B0486F"/>
    <w:rsid w:val="00B36B5F"/>
    <w:rsid w:val="00B36F47"/>
    <w:rsid w:val="00B46A3C"/>
    <w:rsid w:val="00B66DCF"/>
    <w:rsid w:val="00B67FAF"/>
    <w:rsid w:val="00B7286B"/>
    <w:rsid w:val="00B85CA6"/>
    <w:rsid w:val="00B8689D"/>
    <w:rsid w:val="00B950FC"/>
    <w:rsid w:val="00BA28FE"/>
    <w:rsid w:val="00BA4C44"/>
    <w:rsid w:val="00BA7BA3"/>
    <w:rsid w:val="00BB41A3"/>
    <w:rsid w:val="00BB4992"/>
    <w:rsid w:val="00BB701B"/>
    <w:rsid w:val="00BD2232"/>
    <w:rsid w:val="00BF3462"/>
    <w:rsid w:val="00BF4772"/>
    <w:rsid w:val="00C10213"/>
    <w:rsid w:val="00C16755"/>
    <w:rsid w:val="00C2797F"/>
    <w:rsid w:val="00C3235B"/>
    <w:rsid w:val="00C55771"/>
    <w:rsid w:val="00C57032"/>
    <w:rsid w:val="00C57B1F"/>
    <w:rsid w:val="00C656D3"/>
    <w:rsid w:val="00C71F86"/>
    <w:rsid w:val="00C821EC"/>
    <w:rsid w:val="00C855C0"/>
    <w:rsid w:val="00C86355"/>
    <w:rsid w:val="00CB4881"/>
    <w:rsid w:val="00CB7DB5"/>
    <w:rsid w:val="00CC6723"/>
    <w:rsid w:val="00CD4775"/>
    <w:rsid w:val="00CE1ABB"/>
    <w:rsid w:val="00CE3634"/>
    <w:rsid w:val="00CF70A8"/>
    <w:rsid w:val="00D02FA9"/>
    <w:rsid w:val="00D066ED"/>
    <w:rsid w:val="00D1693C"/>
    <w:rsid w:val="00D22232"/>
    <w:rsid w:val="00D3165B"/>
    <w:rsid w:val="00D32F76"/>
    <w:rsid w:val="00D42F45"/>
    <w:rsid w:val="00D46F87"/>
    <w:rsid w:val="00D5041C"/>
    <w:rsid w:val="00D7174D"/>
    <w:rsid w:val="00D853C8"/>
    <w:rsid w:val="00D86582"/>
    <w:rsid w:val="00D879CD"/>
    <w:rsid w:val="00DA55D6"/>
    <w:rsid w:val="00DC45D3"/>
    <w:rsid w:val="00DC6B37"/>
    <w:rsid w:val="00DE0282"/>
    <w:rsid w:val="00DE6182"/>
    <w:rsid w:val="00DE6D7C"/>
    <w:rsid w:val="00DF35DF"/>
    <w:rsid w:val="00E13486"/>
    <w:rsid w:val="00E15354"/>
    <w:rsid w:val="00E5572D"/>
    <w:rsid w:val="00E66EEF"/>
    <w:rsid w:val="00E6730A"/>
    <w:rsid w:val="00E804A0"/>
    <w:rsid w:val="00E820B7"/>
    <w:rsid w:val="00E87A89"/>
    <w:rsid w:val="00EF0AE6"/>
    <w:rsid w:val="00EF1B09"/>
    <w:rsid w:val="00F24FCE"/>
    <w:rsid w:val="00F27CD7"/>
    <w:rsid w:val="00F3181F"/>
    <w:rsid w:val="00F3736D"/>
    <w:rsid w:val="00F410FF"/>
    <w:rsid w:val="00F41CD1"/>
    <w:rsid w:val="00F545A3"/>
    <w:rsid w:val="00F54EF9"/>
    <w:rsid w:val="00FB11ED"/>
    <w:rsid w:val="00FE421D"/>
    <w:rsid w:val="00FF19EF"/>
    <w:rsid w:val="00FF69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18BE38"/>
  <w15:docId w15:val="{A4FF9936-110A-4388-BD36-68723C3F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70A8"/>
    <w:pPr>
      <w:spacing w:after="200" w:line="276"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uiPriority w:val="99"/>
    <w:qFormat/>
    <w:rsid w:val="00D46F87"/>
    <w:rPr>
      <w:rFonts w:cs="Calibri"/>
      <w:sz w:val="22"/>
      <w:szCs w:val="22"/>
      <w:lang w:eastAsia="en-US"/>
    </w:rPr>
  </w:style>
  <w:style w:type="paragraph" w:customStyle="1" w:styleId="Barevnstnovnzvraznn11">
    <w:name w:val="Barevné stínování – zvýraznění 11"/>
    <w:hidden/>
    <w:uiPriority w:val="99"/>
    <w:semiHidden/>
    <w:rsid w:val="0065050B"/>
    <w:rPr>
      <w:rFonts w:cs="Calibri"/>
      <w:sz w:val="22"/>
      <w:szCs w:val="22"/>
      <w:lang w:eastAsia="en-US"/>
    </w:rPr>
  </w:style>
  <w:style w:type="paragraph" w:styleId="Textbubliny">
    <w:name w:val="Balloon Text"/>
    <w:basedOn w:val="Normln"/>
    <w:link w:val="TextbublinyChar"/>
    <w:uiPriority w:val="99"/>
    <w:semiHidden/>
    <w:unhideWhenUsed/>
    <w:rsid w:val="0065050B"/>
    <w:pPr>
      <w:spacing w:after="0" w:line="240" w:lineRule="auto"/>
    </w:pPr>
    <w:rPr>
      <w:rFonts w:ascii="Tahoma" w:hAnsi="Tahoma" w:cs="Times New Roman"/>
      <w:sz w:val="16"/>
      <w:szCs w:val="16"/>
      <w:lang w:val="x-none"/>
    </w:rPr>
  </w:style>
  <w:style w:type="character" w:customStyle="1" w:styleId="TextbublinyChar">
    <w:name w:val="Text bubliny Char"/>
    <w:link w:val="Textbubliny"/>
    <w:uiPriority w:val="99"/>
    <w:semiHidden/>
    <w:rsid w:val="0065050B"/>
    <w:rPr>
      <w:rFonts w:ascii="Tahoma" w:hAnsi="Tahoma" w:cs="Tahoma"/>
      <w:sz w:val="16"/>
      <w:szCs w:val="16"/>
      <w:lang w:eastAsia="en-US"/>
    </w:rPr>
  </w:style>
  <w:style w:type="character" w:styleId="Odkaznakoment">
    <w:name w:val="annotation reference"/>
    <w:uiPriority w:val="99"/>
    <w:semiHidden/>
    <w:unhideWhenUsed/>
    <w:rsid w:val="007C6F71"/>
    <w:rPr>
      <w:sz w:val="16"/>
      <w:szCs w:val="16"/>
    </w:rPr>
  </w:style>
  <w:style w:type="paragraph" w:styleId="Textkomente">
    <w:name w:val="annotation text"/>
    <w:basedOn w:val="Normln"/>
    <w:link w:val="TextkomenteChar"/>
    <w:uiPriority w:val="99"/>
    <w:semiHidden/>
    <w:unhideWhenUsed/>
    <w:rsid w:val="007C6F71"/>
    <w:rPr>
      <w:rFonts w:cs="Times New Roman"/>
      <w:sz w:val="20"/>
      <w:szCs w:val="20"/>
      <w:lang w:val="x-none"/>
    </w:rPr>
  </w:style>
  <w:style w:type="character" w:customStyle="1" w:styleId="TextkomenteChar">
    <w:name w:val="Text komentáře Char"/>
    <w:link w:val="Textkomente"/>
    <w:uiPriority w:val="99"/>
    <w:semiHidden/>
    <w:rsid w:val="007C6F71"/>
    <w:rPr>
      <w:rFonts w:cs="Calibri"/>
      <w:lang w:eastAsia="en-US"/>
    </w:rPr>
  </w:style>
  <w:style w:type="paragraph" w:styleId="Pedmtkomente">
    <w:name w:val="annotation subject"/>
    <w:basedOn w:val="Textkomente"/>
    <w:next w:val="Textkomente"/>
    <w:link w:val="PedmtkomenteChar"/>
    <w:uiPriority w:val="99"/>
    <w:semiHidden/>
    <w:unhideWhenUsed/>
    <w:rsid w:val="007C6F71"/>
    <w:rPr>
      <w:b/>
      <w:bCs/>
    </w:rPr>
  </w:style>
  <w:style w:type="character" w:customStyle="1" w:styleId="PedmtkomenteChar">
    <w:name w:val="Předmět komentáře Char"/>
    <w:link w:val="Pedmtkomente"/>
    <w:uiPriority w:val="99"/>
    <w:semiHidden/>
    <w:rsid w:val="007C6F71"/>
    <w:rPr>
      <w:rFonts w:cs="Calibri"/>
      <w:b/>
      <w:bCs/>
      <w:lang w:eastAsia="en-US"/>
    </w:rPr>
  </w:style>
  <w:style w:type="character" w:styleId="Siln">
    <w:name w:val="Strong"/>
    <w:uiPriority w:val="22"/>
    <w:qFormat/>
    <w:rsid w:val="00082432"/>
    <w:rPr>
      <w:b/>
      <w:bCs/>
    </w:rPr>
  </w:style>
  <w:style w:type="paragraph" w:styleId="Odstavecseseznamem">
    <w:name w:val="List Paragraph"/>
    <w:basedOn w:val="Normln"/>
    <w:uiPriority w:val="34"/>
    <w:qFormat/>
    <w:rsid w:val="004661E0"/>
    <w:pPr>
      <w:ind w:left="708"/>
    </w:pPr>
  </w:style>
  <w:style w:type="paragraph" w:styleId="Bezmezer">
    <w:name w:val="No Spacing"/>
    <w:uiPriority w:val="99"/>
    <w:qFormat/>
    <w:rsid w:val="009F569A"/>
    <w:rPr>
      <w:rFonts w:cs="Calibri"/>
      <w:sz w:val="22"/>
      <w:szCs w:val="22"/>
      <w:lang w:eastAsia="en-US"/>
    </w:rPr>
  </w:style>
  <w:style w:type="paragraph" w:styleId="Zkladntext">
    <w:name w:val="Body Text"/>
    <w:basedOn w:val="Normln"/>
    <w:link w:val="ZkladntextChar"/>
    <w:rsid w:val="002D249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2D2492"/>
    <w:rPr>
      <w:rFonts w:ascii="Times New Roman" w:eastAsia="Times New Roman" w:hAnsi="Times New Roman" w:cs="Times New Roman"/>
      <w:sz w:val="24"/>
    </w:rPr>
  </w:style>
  <w:style w:type="paragraph" w:styleId="Normlnweb">
    <w:name w:val="Normal (Web)"/>
    <w:basedOn w:val="Normln"/>
    <w:uiPriority w:val="99"/>
    <w:semiHidden/>
    <w:unhideWhenUsed/>
    <w:rsid w:val="00B67F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F27CD7"/>
    <w:pPr>
      <w:spacing w:after="0" w:line="240" w:lineRule="auto"/>
    </w:pPr>
    <w:rPr>
      <w:rFonts w:eastAsiaTheme="minorHAnsi"/>
    </w:rPr>
  </w:style>
  <w:style w:type="character" w:customStyle="1" w:styleId="ProsttextChar">
    <w:name w:val="Prostý text Char"/>
    <w:basedOn w:val="Standardnpsmoodstavce"/>
    <w:link w:val="Prosttext"/>
    <w:uiPriority w:val="99"/>
    <w:semiHidden/>
    <w:rsid w:val="00F27CD7"/>
    <w:rPr>
      <w:rFonts w:eastAsiaTheme="minorHAnsi" w:cs="Calibri"/>
      <w:sz w:val="22"/>
      <w:szCs w:val="22"/>
      <w:lang w:eastAsia="en-US"/>
    </w:rPr>
  </w:style>
  <w:style w:type="paragraph" w:styleId="Zhlav">
    <w:name w:val="header"/>
    <w:basedOn w:val="Normln"/>
    <w:link w:val="ZhlavChar"/>
    <w:uiPriority w:val="99"/>
    <w:unhideWhenUsed/>
    <w:rsid w:val="00CE1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1ABB"/>
    <w:rPr>
      <w:rFonts w:cs="Calibri"/>
      <w:sz w:val="22"/>
      <w:szCs w:val="22"/>
      <w:lang w:eastAsia="en-US"/>
    </w:rPr>
  </w:style>
  <w:style w:type="paragraph" w:styleId="Zpat">
    <w:name w:val="footer"/>
    <w:basedOn w:val="Normln"/>
    <w:link w:val="ZpatChar"/>
    <w:uiPriority w:val="99"/>
    <w:unhideWhenUsed/>
    <w:rsid w:val="00CE1ABB"/>
    <w:pPr>
      <w:tabs>
        <w:tab w:val="center" w:pos="4536"/>
        <w:tab w:val="right" w:pos="9072"/>
      </w:tabs>
      <w:spacing w:after="0" w:line="240" w:lineRule="auto"/>
    </w:pPr>
  </w:style>
  <w:style w:type="character" w:customStyle="1" w:styleId="ZpatChar">
    <w:name w:val="Zápatí Char"/>
    <w:basedOn w:val="Standardnpsmoodstavce"/>
    <w:link w:val="Zpat"/>
    <w:uiPriority w:val="99"/>
    <w:rsid w:val="00CE1ABB"/>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46524">
      <w:bodyDiv w:val="1"/>
      <w:marLeft w:val="0"/>
      <w:marRight w:val="0"/>
      <w:marTop w:val="0"/>
      <w:marBottom w:val="0"/>
      <w:divBdr>
        <w:top w:val="none" w:sz="0" w:space="0" w:color="auto"/>
        <w:left w:val="none" w:sz="0" w:space="0" w:color="auto"/>
        <w:bottom w:val="none" w:sz="0" w:space="0" w:color="auto"/>
        <w:right w:val="none" w:sz="0" w:space="0" w:color="auto"/>
      </w:divBdr>
    </w:div>
    <w:div w:id="230626082">
      <w:bodyDiv w:val="1"/>
      <w:marLeft w:val="0"/>
      <w:marRight w:val="0"/>
      <w:marTop w:val="0"/>
      <w:marBottom w:val="0"/>
      <w:divBdr>
        <w:top w:val="none" w:sz="0" w:space="0" w:color="auto"/>
        <w:left w:val="none" w:sz="0" w:space="0" w:color="auto"/>
        <w:bottom w:val="none" w:sz="0" w:space="0" w:color="auto"/>
        <w:right w:val="none" w:sz="0" w:space="0" w:color="auto"/>
      </w:divBdr>
    </w:div>
    <w:div w:id="292753978">
      <w:bodyDiv w:val="1"/>
      <w:marLeft w:val="0"/>
      <w:marRight w:val="0"/>
      <w:marTop w:val="0"/>
      <w:marBottom w:val="0"/>
      <w:divBdr>
        <w:top w:val="none" w:sz="0" w:space="0" w:color="auto"/>
        <w:left w:val="none" w:sz="0" w:space="0" w:color="auto"/>
        <w:bottom w:val="none" w:sz="0" w:space="0" w:color="auto"/>
        <w:right w:val="none" w:sz="0" w:space="0" w:color="auto"/>
      </w:divBdr>
    </w:div>
    <w:div w:id="502744874">
      <w:bodyDiv w:val="1"/>
      <w:marLeft w:val="0"/>
      <w:marRight w:val="0"/>
      <w:marTop w:val="0"/>
      <w:marBottom w:val="0"/>
      <w:divBdr>
        <w:top w:val="none" w:sz="0" w:space="0" w:color="auto"/>
        <w:left w:val="none" w:sz="0" w:space="0" w:color="auto"/>
        <w:bottom w:val="none" w:sz="0" w:space="0" w:color="auto"/>
        <w:right w:val="none" w:sz="0" w:space="0" w:color="auto"/>
      </w:divBdr>
    </w:div>
    <w:div w:id="718164569">
      <w:bodyDiv w:val="1"/>
      <w:marLeft w:val="0"/>
      <w:marRight w:val="0"/>
      <w:marTop w:val="0"/>
      <w:marBottom w:val="0"/>
      <w:divBdr>
        <w:top w:val="none" w:sz="0" w:space="0" w:color="auto"/>
        <w:left w:val="none" w:sz="0" w:space="0" w:color="auto"/>
        <w:bottom w:val="none" w:sz="0" w:space="0" w:color="auto"/>
        <w:right w:val="none" w:sz="0" w:space="0" w:color="auto"/>
      </w:divBdr>
    </w:div>
    <w:div w:id="930117902">
      <w:bodyDiv w:val="1"/>
      <w:marLeft w:val="0"/>
      <w:marRight w:val="0"/>
      <w:marTop w:val="0"/>
      <w:marBottom w:val="0"/>
      <w:divBdr>
        <w:top w:val="none" w:sz="0" w:space="0" w:color="auto"/>
        <w:left w:val="none" w:sz="0" w:space="0" w:color="auto"/>
        <w:bottom w:val="none" w:sz="0" w:space="0" w:color="auto"/>
        <w:right w:val="none" w:sz="0" w:space="0" w:color="auto"/>
      </w:divBdr>
    </w:div>
    <w:div w:id="1087653856">
      <w:bodyDiv w:val="1"/>
      <w:marLeft w:val="0"/>
      <w:marRight w:val="0"/>
      <w:marTop w:val="0"/>
      <w:marBottom w:val="0"/>
      <w:divBdr>
        <w:top w:val="none" w:sz="0" w:space="0" w:color="auto"/>
        <w:left w:val="none" w:sz="0" w:space="0" w:color="auto"/>
        <w:bottom w:val="none" w:sz="0" w:space="0" w:color="auto"/>
        <w:right w:val="none" w:sz="0" w:space="0" w:color="auto"/>
      </w:divBdr>
    </w:div>
    <w:div w:id="1137918240">
      <w:bodyDiv w:val="1"/>
      <w:marLeft w:val="0"/>
      <w:marRight w:val="0"/>
      <w:marTop w:val="0"/>
      <w:marBottom w:val="0"/>
      <w:divBdr>
        <w:top w:val="none" w:sz="0" w:space="0" w:color="auto"/>
        <w:left w:val="none" w:sz="0" w:space="0" w:color="auto"/>
        <w:bottom w:val="none" w:sz="0" w:space="0" w:color="auto"/>
        <w:right w:val="none" w:sz="0" w:space="0" w:color="auto"/>
      </w:divBdr>
    </w:div>
    <w:div w:id="1760297620">
      <w:bodyDiv w:val="1"/>
      <w:marLeft w:val="0"/>
      <w:marRight w:val="0"/>
      <w:marTop w:val="0"/>
      <w:marBottom w:val="0"/>
      <w:divBdr>
        <w:top w:val="none" w:sz="0" w:space="0" w:color="auto"/>
        <w:left w:val="none" w:sz="0" w:space="0" w:color="auto"/>
        <w:bottom w:val="none" w:sz="0" w:space="0" w:color="auto"/>
        <w:right w:val="none" w:sz="0" w:space="0" w:color="auto"/>
      </w:divBdr>
    </w:div>
    <w:div w:id="2079546891">
      <w:bodyDiv w:val="1"/>
      <w:marLeft w:val="0"/>
      <w:marRight w:val="0"/>
      <w:marTop w:val="0"/>
      <w:marBottom w:val="0"/>
      <w:divBdr>
        <w:top w:val="none" w:sz="0" w:space="0" w:color="auto"/>
        <w:left w:val="none" w:sz="0" w:space="0" w:color="auto"/>
        <w:bottom w:val="none" w:sz="0" w:space="0" w:color="auto"/>
        <w:right w:val="none" w:sz="0" w:space="0" w:color="auto"/>
      </w:divBdr>
    </w:div>
    <w:div w:id="21268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9B87A-3F96-4C73-9684-1E2E3156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897</Words>
  <Characters>5296</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smlouva pro poskytování náhradních plnění</vt:lpstr>
      <vt:lpstr>Rámcová smlouva pro poskytování náhradních plnění</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pro poskytování náhradních plnění</dc:title>
  <dc:creator>sekr</dc:creator>
  <cp:lastModifiedBy>uživatel</cp:lastModifiedBy>
  <cp:revision>13</cp:revision>
  <cp:lastPrinted>2016-01-05T10:42:00Z</cp:lastPrinted>
  <dcterms:created xsi:type="dcterms:W3CDTF">2019-08-14T12:22:00Z</dcterms:created>
  <dcterms:modified xsi:type="dcterms:W3CDTF">2019-08-19T06:30:00Z</dcterms:modified>
</cp:coreProperties>
</file>