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Pachtýři: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FARMA CHVALŠINY, s.r.o.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Chvalšiny 106, 382 08 Chvalšiny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Pacht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Benešov nad Černou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10 566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691,94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13 329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1 316,10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9 311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4 603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279,83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51 870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5 121,62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8 984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178 168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17 722,25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Dluhoště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18 443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2 120,99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7 877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905,88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41 617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4 786,06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647,46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5 570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12 444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1 431,09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106 410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12 237,43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Chvalšiny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9 531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58 489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4 574,85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890,97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16 405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55 391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4 332,53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21 761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1 702,09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9 857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115 746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9 053,34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10 074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19 817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1 550,03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93 089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7 281,17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25 627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2 004,47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17 392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1 360,35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479 183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37 480,39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Kuří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466,32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1 001,16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6 606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2 636,11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15 399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1 496,64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5 642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8 398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816,21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7 039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3 396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330,06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240,03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1 870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166,78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180 120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17 498,10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Mladoňov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část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103 938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10 866,49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103 938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10 866,49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Střemily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22 700,00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554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48,70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Tichá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3,8721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2 595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325,56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1 050 968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96 179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pachtovní smlouvy č. 122N15/33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12211533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30.6.2015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pacht: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96 179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1.7.2015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