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</w:t>
      </w:r>
      <w:proofErr w:type="gramStart"/>
      <w:r w:rsidRPr="0086201B">
        <w:t>na</w:t>
      </w:r>
      <w:proofErr w:type="gramEnd"/>
      <w:r w:rsidRPr="0086201B">
        <w:t xml:space="preserve">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59E73316" w14:textId="77777777" w:rsidR="00BB14BF" w:rsidRPr="009E0C3F" w:rsidRDefault="00BB14BF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</w:t>
      </w:r>
      <w:proofErr w:type="spellStart"/>
      <w:r w:rsidRPr="009E0C3F">
        <w:t>sp</w:t>
      </w:r>
      <w:proofErr w:type="spellEnd"/>
      <w:r w:rsidRPr="009E0C3F">
        <w:t>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67B85F17" w14:textId="1094D476" w:rsidR="00396A16" w:rsidRDefault="00396A16" w:rsidP="00DF350E">
      <w:pPr>
        <w:spacing w:after="120" w:line="240" w:lineRule="auto"/>
      </w:pPr>
      <w:r>
        <w:t xml:space="preserve">Název: </w:t>
      </w:r>
      <w:r>
        <w:tab/>
      </w:r>
      <w:r>
        <w:tab/>
      </w:r>
      <w:r w:rsidRPr="00396A16">
        <w:rPr>
          <w:b/>
        </w:rPr>
        <w:t>Technická univerzita v Liberci</w:t>
      </w:r>
    </w:p>
    <w:p w14:paraId="2724D8F0" w14:textId="0A783F59" w:rsidR="00396A16" w:rsidRDefault="00396A16" w:rsidP="00DF350E">
      <w:pPr>
        <w:spacing w:after="120" w:line="240" w:lineRule="auto"/>
      </w:pPr>
      <w:r>
        <w:t xml:space="preserve">se sídlem: </w:t>
      </w:r>
      <w:r>
        <w:tab/>
      </w:r>
      <w:r>
        <w:tab/>
        <w:t>Studentská 1402/2, 461 17 Liberec 1</w:t>
      </w:r>
    </w:p>
    <w:p w14:paraId="4BA33206" w14:textId="35564509" w:rsidR="00396A16" w:rsidRDefault="00396A16" w:rsidP="00DF350E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46747885</w:t>
      </w:r>
    </w:p>
    <w:p w14:paraId="4EC2EAEB" w14:textId="5DF7D6EF" w:rsidR="00396A16" w:rsidRDefault="00396A16" w:rsidP="00DF350E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CZ46747885</w:t>
      </w:r>
    </w:p>
    <w:p w14:paraId="26BB11F0" w14:textId="2296318C" w:rsidR="00396A16" w:rsidRDefault="00396A16" w:rsidP="00DF350E">
      <w:pPr>
        <w:spacing w:after="120" w:line="240" w:lineRule="auto"/>
      </w:pPr>
      <w:r>
        <w:t xml:space="preserve">Zastoupen: </w:t>
      </w:r>
      <w:r>
        <w:tab/>
      </w:r>
      <w:r>
        <w:tab/>
        <w:t xml:space="preserve">doc. RNDr. Miroslav </w:t>
      </w:r>
      <w:proofErr w:type="spellStart"/>
      <w:r>
        <w:t>Brzezina</w:t>
      </w:r>
      <w:proofErr w:type="spellEnd"/>
      <w:r>
        <w:t>, CSc., rektor TUL</w:t>
      </w:r>
    </w:p>
    <w:p w14:paraId="3B330314" w14:textId="4BE535BA" w:rsidR="0086201B" w:rsidRDefault="00396A16" w:rsidP="00DF350E">
      <w:pPr>
        <w:spacing w:after="120" w:line="240" w:lineRule="auto"/>
      </w:pPr>
      <w:r>
        <w:t xml:space="preserve">Osoba odpovědná za smluvní vztah: </w:t>
      </w:r>
      <w:r w:rsidR="00823E25">
        <w:t>doc.</w:t>
      </w:r>
      <w:r>
        <w:t xml:space="preserve"> Ing. </w:t>
      </w:r>
      <w:r w:rsidR="00823E25">
        <w:t>Martin Bílek,</w:t>
      </w:r>
      <w:r>
        <w:t xml:space="preserve"> </w:t>
      </w:r>
      <w:r w:rsidR="00823E25">
        <w:t>Ph.D</w:t>
      </w:r>
      <w:r>
        <w:t>.</w:t>
      </w:r>
    </w:p>
    <w:p w14:paraId="3998F4C2" w14:textId="77777777" w:rsidR="00DF350E" w:rsidRDefault="00DF350E" w:rsidP="0086201B">
      <w:pPr>
        <w:spacing w:after="120" w:line="320" w:lineRule="atLeast"/>
        <w:jc w:val="right"/>
      </w:pPr>
    </w:p>
    <w:p w14:paraId="74625444" w14:textId="279927CF" w:rsidR="00DE5ED0" w:rsidRPr="009E0C3F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657016A0" w14:textId="2D94E63F" w:rsidR="00D5316F" w:rsidRDefault="00D5316F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1DA0F1DB" w14:textId="77777777" w:rsidR="000817BE" w:rsidRDefault="000817BE" w:rsidP="009E0C3F">
      <w:pPr>
        <w:spacing w:after="120" w:line="320" w:lineRule="atLeast"/>
      </w:pPr>
    </w:p>
    <w:p w14:paraId="516C8980" w14:textId="77777777" w:rsidR="000817BE" w:rsidRDefault="000817BE" w:rsidP="009E0C3F">
      <w:pPr>
        <w:spacing w:after="120" w:line="320" w:lineRule="atLeast"/>
      </w:pP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5DF3A97" w14:textId="77777777" w:rsidR="00CF6874" w:rsidRDefault="00CF6874" w:rsidP="009E0C3F">
      <w:pPr>
        <w:spacing w:line="320" w:lineRule="atLeast"/>
        <w:jc w:val="center"/>
        <w:rPr>
          <w:b/>
          <w:smallCaps/>
        </w:rPr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lastRenderedPageBreak/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D5316F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 xml:space="preserve">jejíž </w:t>
      </w:r>
      <w:proofErr w:type="spellStart"/>
      <w:r w:rsidR="00DA7084">
        <w:t>součastí</w:t>
      </w:r>
      <w:proofErr w:type="spellEnd"/>
      <w:r w:rsidR="00DA7084">
        <w:t xml:space="preserve">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193A079B" w:rsidR="00527333" w:rsidRDefault="009F0286" w:rsidP="00527333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</w:t>
      </w:r>
      <w:r w:rsidR="00BB14BF">
        <w:t xml:space="preserve"> </w:t>
      </w:r>
      <w:proofErr w:type="gramStart"/>
      <w:r w:rsidR="00BB14BF">
        <w:t>17.5.</w:t>
      </w:r>
      <w:r w:rsidR="008A739C">
        <w:t>2018</w:t>
      </w:r>
      <w:proofErr w:type="gramEnd"/>
      <w:r w:rsidR="008A739C">
        <w:t xml:space="preserve">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„</w:t>
      </w:r>
      <w:r w:rsidR="008A739C">
        <w:rPr>
          <w:b/>
        </w:rPr>
        <w:t>Konsorciální smlouva</w:t>
      </w:r>
      <w:r w:rsidR="00960220" w:rsidRPr="009E0C3F">
        <w:t>“)</w:t>
      </w:r>
      <w:r w:rsidR="008A739C">
        <w:t xml:space="preserve">, na základě které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2F6EDE12" w14:textId="4993E2F2" w:rsidR="00E07A87" w:rsidRDefault="003F48B8" w:rsidP="00DF350E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V rámci Projektu předložila Výzkumná organizace dílčí p</w:t>
      </w:r>
      <w:r w:rsidRPr="00037CFA">
        <w:t>rojekt</w:t>
      </w:r>
      <w:r w:rsidR="00272BC5" w:rsidRPr="00037CFA">
        <w:t xml:space="preserve"> číslo </w:t>
      </w:r>
      <w:r w:rsidR="00DF350E" w:rsidRPr="00037CFA">
        <w:rPr>
          <w:b/>
        </w:rPr>
        <w:t>5</w:t>
      </w:r>
      <w:r w:rsidR="00272BC5" w:rsidRPr="00037CFA">
        <w:t xml:space="preserve"> s názvem </w:t>
      </w:r>
      <w:r w:rsidR="00DF350E" w:rsidRPr="00037CFA">
        <w:rPr>
          <w:b/>
        </w:rPr>
        <w:t>„Automatizace a robotizace výrobních procesů v textilním průmyslu“</w:t>
      </w:r>
      <w:r w:rsidR="00E07A87" w:rsidRPr="00037CFA">
        <w:t>, který byl v souladu s Konsorciální smlouvou Radou konsorcia schválen a následně schválen i Poskytovatelem pro poskytnutí podpory a</w:t>
      </w:r>
      <w:r w:rsidR="00BB14BF" w:rsidRPr="00037CFA">
        <w:t xml:space="preserve"> zahrnut Poskytovate</w:t>
      </w:r>
      <w:r w:rsidR="00BB14BF">
        <w:t xml:space="preserve">lem do závazných parametrů </w:t>
      </w:r>
      <w:r w:rsidR="00E07A87">
        <w:t>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2C1A7A54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0ED3C0DC" w14:textId="77777777" w:rsidR="00272BC5" w:rsidRDefault="00272BC5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6E8E9D95" w:rsidR="00A276F7" w:rsidRPr="009E0C3F" w:rsidRDefault="00AE16BA" w:rsidP="00A276F7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272BC5">
        <w:t xml:space="preserve">Projektu a </w:t>
      </w:r>
      <w:r w:rsidR="00A276F7">
        <w:t xml:space="preserve">uzavírají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037C20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6ABAA48E" w:rsidR="00DE5ED0" w:rsidRDefault="00A37077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 xml:space="preserve">u Výzkumné organizace </w:t>
      </w:r>
      <w:r w:rsidR="00AE16BA" w:rsidRPr="009E0C3F">
        <w:t>k dodržování povinností podle článku 4 Všeobecných podmínek všemi Smluvními stranami, popř. provádění veškeré potřebné součinnosti za účelem dodržení těchto povinností Hlavním příjemcem</w:t>
      </w:r>
      <w:r w:rsidR="00D639AD" w:rsidRPr="009E0C3F">
        <w:t>;</w:t>
      </w:r>
    </w:p>
    <w:p w14:paraId="4A24463E" w14:textId="4270F70A" w:rsidR="00A37077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577CD8FB" w:rsidR="003F48B8" w:rsidRDefault="003F48B8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Závazk</w:t>
      </w:r>
      <w:r>
        <w:t xml:space="preserve">u Výzkumné organizace </w:t>
      </w:r>
      <w:r w:rsidRPr="009E0C3F">
        <w:t>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A3707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087535C3" w14:textId="5F1A6894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8B0B00B" w:rsidR="00DE5ED0" w:rsidRDefault="003F2F73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</w:t>
      </w:r>
      <w:proofErr w:type="gramStart"/>
      <w:r w:rsidR="00E35CFA">
        <w:rPr>
          <w:i/>
        </w:rPr>
        <w:t>č.2)</w:t>
      </w:r>
      <w:r w:rsidRPr="00E35CFA">
        <w:rPr>
          <w:i/>
        </w:rPr>
        <w:t>,</w:t>
      </w:r>
      <w:r>
        <w:t xml:space="preserve"> všechny</w:t>
      </w:r>
      <w:proofErr w:type="gramEnd"/>
      <w:r>
        <w:t xml:space="preserve">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49586CD9" w:rsidR="00D166F0" w:rsidRDefault="00E35CFA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Smluvní strany </w:t>
      </w:r>
      <w:r w:rsidR="00D166F0">
        <w:t xml:space="preserve">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dle tohoto odstavce. </w:t>
      </w:r>
    </w:p>
    <w:p w14:paraId="26F1A3C1" w14:textId="77777777" w:rsidR="00D166F0" w:rsidRDefault="00D166F0" w:rsidP="00D166F0">
      <w:pPr>
        <w:pStyle w:val="Odstavecseseznamem"/>
      </w:pPr>
    </w:p>
    <w:p w14:paraId="1C52EA66" w14:textId="44E1882C" w:rsidR="007F4B17" w:rsidRPr="009E0C3F" w:rsidRDefault="00D166F0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Výzkumná organizace</w:t>
      </w:r>
      <w:r w:rsidR="00272BC5">
        <w:t xml:space="preserve"> je povinna dodržet</w:t>
      </w:r>
      <w:r>
        <w:t xml:space="preserve"> veškeré Závazné parametry</w:t>
      </w:r>
      <w:r w:rsidR="00272BC5">
        <w:t xml:space="preserve"> a odpovídá </w:t>
      </w:r>
      <w:r>
        <w:t>Hlavnímu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530660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lastRenderedPageBreak/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4961F7D8" w:rsidR="00616F04" w:rsidRPr="00BB14BF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BB14BF">
        <w:rPr>
          <w:b/>
        </w:rPr>
        <w:t xml:space="preserve">na účet </w:t>
      </w:r>
      <w:r w:rsidR="00CF6874">
        <w:rPr>
          <w:b/>
        </w:rPr>
        <w:t>……</w:t>
      </w:r>
      <w:proofErr w:type="gramStart"/>
      <w:r w:rsidR="00CF6874">
        <w:rPr>
          <w:b/>
        </w:rPr>
        <w:t>…..</w:t>
      </w:r>
      <w:r w:rsidR="00823E25">
        <w:rPr>
          <w:b/>
        </w:rPr>
        <w:t>.</w:t>
      </w:r>
      <w:proofErr w:type="gramEnd"/>
    </w:p>
    <w:p w14:paraId="3003058E" w14:textId="77777777" w:rsidR="00616F04" w:rsidRDefault="00616F04" w:rsidP="00C76DB5">
      <w:pPr>
        <w:spacing w:line="320" w:lineRule="atLeast"/>
        <w:ind w:left="709"/>
        <w:jc w:val="both"/>
      </w:pPr>
    </w:p>
    <w:p w14:paraId="7916A7CD" w14:textId="3EF05AF6" w:rsidR="004C19D6" w:rsidRPr="009E0C3F" w:rsidRDefault="004C19D6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1B31DFAC" w:rsidR="008D77AA" w:rsidRPr="003A54F3" w:rsidRDefault="008D77A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>Výzkumná organizace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E7CC48A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38CA7BE" w14:textId="0A85D8B8" w:rsidR="00272BC5" w:rsidRDefault="00272BC5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18FDE473" w:rsidR="00DE5ED0" w:rsidRPr="009E0C3F" w:rsidRDefault="001719B8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6CCCBEC1" w:rsidR="00B97379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037CFA">
        <w:t>é</w:t>
      </w:r>
      <w:r w:rsidRPr="009E0C3F">
        <w:t xml:space="preserve"> a účinn</w:t>
      </w:r>
      <w:r w:rsidR="00037CFA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522CFA71" w:rsidR="00DE5ED0" w:rsidRPr="009E0C3F" w:rsidRDefault="00872357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>
        <w:t xml:space="preserve">odstoupením (ex </w:t>
      </w:r>
      <w:proofErr w:type="spellStart"/>
      <w:r>
        <w:t>nunc</w:t>
      </w:r>
      <w:proofErr w:type="spellEnd"/>
      <w:r>
        <w:t>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běžet první den měsíce následujícího po doručení výpovědi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proofErr w:type="spellStart"/>
      <w:r w:rsidR="00872357">
        <w:rPr>
          <w:i/>
        </w:rPr>
        <w:t>n</w:t>
      </w:r>
      <w:r w:rsidR="00A84854" w:rsidRPr="009E0C3F">
        <w:rPr>
          <w:i/>
        </w:rPr>
        <w:t>unc</w:t>
      </w:r>
      <w:proofErr w:type="spellEnd"/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5BA6ACED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 ostatních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10E0C4D7" w:rsidR="00505369" w:rsidRPr="009E0C3F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1E336E">
        <w:t xml:space="preserve">Výzkumné </w:t>
      </w:r>
      <w:proofErr w:type="gramStart"/>
      <w:r w:rsidR="001E336E">
        <w:t xml:space="preserve">organizace </w:t>
      </w:r>
      <w:r w:rsidR="009D5F2B" w:rsidRPr="009E0C3F">
        <w:t xml:space="preserve"> či</w:t>
      </w:r>
      <w:proofErr w:type="gramEnd"/>
      <w:r w:rsidR="009D5F2B" w:rsidRPr="009E0C3F">
        <w:t xml:space="preserve"> porušení pravidel podpory</w:t>
      </w:r>
      <w:r w:rsidR="00505369" w:rsidRPr="009E0C3F">
        <w:t>; nebo</w:t>
      </w:r>
    </w:p>
    <w:p w14:paraId="451B3E88" w14:textId="7A0F8DBD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</w:t>
      </w:r>
      <w:r w:rsidR="00296BBC">
        <w:t xml:space="preserve"> trestný čin proti majetku.</w:t>
      </w:r>
    </w:p>
    <w:p w14:paraId="353F1EF2" w14:textId="77777777" w:rsidR="00272BC5" w:rsidRPr="009E0C3F" w:rsidRDefault="00272BC5" w:rsidP="00272BC5">
      <w:pPr>
        <w:pStyle w:val="Odstavecseseznamem"/>
        <w:spacing w:line="320" w:lineRule="atLeast"/>
        <w:ind w:left="1080"/>
        <w:jc w:val="both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77777777" w:rsidR="00B97379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proofErr w:type="spellStart"/>
      <w:r w:rsidR="00FA1D07" w:rsidRPr="002E7AF1">
        <w:t>VaV</w:t>
      </w:r>
      <w:proofErr w:type="spellEnd"/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0" w:name="_plbfckkxp8ie" w:colFirst="0" w:colLast="0"/>
      <w:bookmarkEnd w:id="0"/>
      <w:r w:rsidRPr="002E7AF1"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7FCD392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1" w:name="_7l86lw8het13" w:colFirst="0" w:colLast="0"/>
      <w:bookmarkEnd w:id="1"/>
      <w:r w:rsidRPr="002E7AF1">
        <w:t xml:space="preserve">Tato Smlouva nabývá platnosti dnem podpisu všemi Smluvními stranami a </w:t>
      </w:r>
      <w:proofErr w:type="gramStart"/>
      <w:r w:rsidRPr="002E7AF1">
        <w:t xml:space="preserve">účinnosti </w:t>
      </w:r>
      <w:r w:rsidR="006C071E">
        <w:t>a pokud</w:t>
      </w:r>
      <w:proofErr w:type="gramEnd"/>
      <w:r w:rsidR="006C071E">
        <w:t xml:space="preserve"> tak vyžaduje statut smluvní stra</w:t>
      </w:r>
      <w:r w:rsidR="00037CFA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206D658B" w:rsidR="00DE5ED0" w:rsidRPr="002E7AF1" w:rsidRDefault="00D722FE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Smlouva je vyhotovena v</w:t>
      </w:r>
      <w:r w:rsidR="00AE16BA" w:rsidRPr="002E7AF1">
        <w:t xml:space="preserve"> </w:t>
      </w:r>
      <w:r w:rsidR="00DF350E">
        <w:t>2</w:t>
      </w:r>
      <w:r w:rsidR="00F60A73" w:rsidRPr="002E7AF1">
        <w:t xml:space="preserve"> </w:t>
      </w:r>
      <w:r w:rsidRPr="002E7AF1">
        <w:t>vyhotovení</w:t>
      </w:r>
      <w:r w:rsidR="00D9452A" w:rsidRPr="002E7AF1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45DD5B31" w:rsidR="00DE5ED0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1BF92E0C" w14:textId="77777777" w:rsidR="00037CFA" w:rsidRDefault="00037CFA" w:rsidP="00037CFA">
      <w:pPr>
        <w:pStyle w:val="Odstavecseseznamem"/>
      </w:pPr>
      <w:bookmarkStart w:id="2" w:name="_GoBack"/>
      <w:bookmarkEnd w:id="2"/>
    </w:p>
    <w:p w14:paraId="159A7AF8" w14:textId="2BCEA4B8" w:rsidR="00DE5ED0" w:rsidRPr="00037CFA" w:rsidRDefault="00AE16BA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lastRenderedPageBreak/>
        <w:t>Smluvní strany shodně prohlašují, že tato Smlouva byla sepsána dle jejich svobodné vůle, vážně a určitě a představuje úplnou a správnou vůli a dohodu všech Smluvních stran.</w:t>
      </w:r>
    </w:p>
    <w:p w14:paraId="2C2D4692" w14:textId="77777777" w:rsidR="00037CFA" w:rsidRDefault="00037CFA" w:rsidP="00037CFA">
      <w:pPr>
        <w:pStyle w:val="Odstavecseseznamem"/>
      </w:pPr>
    </w:p>
    <w:p w14:paraId="4C9CACF6" w14:textId="716D6667" w:rsidR="00DC617D" w:rsidRPr="00037CFA" w:rsidRDefault="00DC617D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t xml:space="preserve">Ustanovení Konsorciální smlouvy nejsou nijak </w:t>
      </w:r>
      <w:proofErr w:type="gramStart"/>
      <w:r w:rsidRPr="00037CFA">
        <w:rPr>
          <w:color w:val="auto"/>
        </w:rPr>
        <w:t>dotčena a pokud</w:t>
      </w:r>
      <w:proofErr w:type="gramEnd"/>
      <w:r w:rsidRPr="00037CFA">
        <w:rPr>
          <w:color w:val="auto"/>
        </w:rPr>
        <w:t xml:space="preserve"> nestanoví tato Smlouva jinak, uplatňuje se Konsorciální smlouva </w:t>
      </w:r>
      <w:proofErr w:type="spellStart"/>
      <w:r w:rsidRPr="00037CFA">
        <w:rPr>
          <w:color w:val="auto"/>
        </w:rPr>
        <w:t>mutatis</w:t>
      </w:r>
      <w:proofErr w:type="spellEnd"/>
      <w:r w:rsidRPr="00037CFA">
        <w:rPr>
          <w:color w:val="auto"/>
        </w:rPr>
        <w:t xml:space="preserve"> </w:t>
      </w:r>
      <w:proofErr w:type="spellStart"/>
      <w:r w:rsidRPr="00037CFA">
        <w:rPr>
          <w:color w:val="auto"/>
        </w:rPr>
        <w:t>mutandis</w:t>
      </w:r>
      <w:proofErr w:type="spellEnd"/>
      <w:r w:rsidRPr="00037CFA">
        <w:rPr>
          <w:color w:val="auto"/>
        </w:rPr>
        <w:t xml:space="preserve"> i na vztahy Smluvních stran touto Smlouvou výslovně neupravených.</w:t>
      </w:r>
    </w:p>
    <w:p w14:paraId="5F4B0A8A" w14:textId="77777777" w:rsidR="00037CFA" w:rsidRDefault="00037CFA" w:rsidP="00037CFA">
      <w:pPr>
        <w:pStyle w:val="Odstavecseseznamem"/>
      </w:pPr>
    </w:p>
    <w:p w14:paraId="0F3DEBE9" w14:textId="03C5291C" w:rsidR="00625E84" w:rsidRPr="00037CFA" w:rsidRDefault="00625E84" w:rsidP="00037CF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037CFA"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0F6011AE" w14:textId="77777777" w:rsidR="00CC3625" w:rsidRPr="009E0C3F" w:rsidRDefault="00CC3625" w:rsidP="009E0C3F">
      <w:pPr>
        <w:pStyle w:val="Odstavecseseznamem"/>
        <w:spacing w:line="320" w:lineRule="atLeast"/>
        <w:ind w:left="709"/>
        <w:jc w:val="both"/>
        <w:rPr>
          <w:color w:val="auto"/>
        </w:rPr>
      </w:pPr>
    </w:p>
    <w:p w14:paraId="5F399711" w14:textId="77777777" w:rsidR="00974F5B" w:rsidRPr="009E0C3F" w:rsidRDefault="00974F5B" w:rsidP="009E0C3F">
      <w:pPr>
        <w:spacing w:line="320" w:lineRule="atLeast"/>
        <w:jc w:val="both"/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1F92A459" w14:textId="77777777" w:rsidR="003D3635" w:rsidRPr="009E0C3F" w:rsidRDefault="003D3635" w:rsidP="009E0C3F"/>
    <w:p w14:paraId="65D9709C" w14:textId="77777777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…………………………………………….</w:t>
      </w:r>
    </w:p>
    <w:p w14:paraId="12E431A4" w14:textId="4DA2E30D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</w:p>
    <w:p w14:paraId="61C20914" w14:textId="77777777" w:rsidR="00974F5B" w:rsidRPr="009E0C3F" w:rsidRDefault="00974F5B" w:rsidP="009E0C3F">
      <w:pPr>
        <w:spacing w:line="320" w:lineRule="atLeast"/>
      </w:pPr>
      <w:r w:rsidRPr="009E0C3F">
        <w:t xml:space="preserve">Prof. Ing. Miroslav Václavík, CSc. </w:t>
      </w:r>
    </w:p>
    <w:p w14:paraId="6BE3407F" w14:textId="7C2D5BFA" w:rsidR="00974F5B" w:rsidRDefault="002E7AF1" w:rsidP="009E0C3F">
      <w:pPr>
        <w:spacing w:line="320" w:lineRule="atLeast"/>
      </w:pPr>
      <w:r w:rsidRPr="009E0C3F">
        <w:t>P</w:t>
      </w:r>
      <w:r w:rsidR="00974F5B" w:rsidRPr="009E0C3F">
        <w:t>rokurista</w:t>
      </w:r>
    </w:p>
    <w:p w14:paraId="37EAF32C" w14:textId="732E9229" w:rsidR="002E7AF1" w:rsidRDefault="002E7AF1" w:rsidP="009E0C3F">
      <w:pPr>
        <w:spacing w:line="320" w:lineRule="atLeast"/>
      </w:pPr>
    </w:p>
    <w:p w14:paraId="5CAA10F9" w14:textId="035A17D2" w:rsidR="002E7AF1" w:rsidRDefault="002E7AF1" w:rsidP="009E0C3F">
      <w:pPr>
        <w:spacing w:line="320" w:lineRule="atLeast"/>
      </w:pPr>
    </w:p>
    <w:p w14:paraId="4F60459F" w14:textId="77777777" w:rsidR="002E7AF1" w:rsidRDefault="002E7AF1" w:rsidP="002E7AF1">
      <w:pPr>
        <w:spacing w:line="320" w:lineRule="atLeast"/>
        <w:jc w:val="both"/>
      </w:pPr>
    </w:p>
    <w:p w14:paraId="7A593B1B" w14:textId="77777777" w:rsidR="00CF6874" w:rsidRDefault="00CF6874" w:rsidP="00CF6874">
      <w:pPr>
        <w:spacing w:line="320" w:lineRule="atLeast"/>
        <w:jc w:val="both"/>
      </w:pPr>
      <w:r w:rsidRPr="009E0C3F">
        <w:t xml:space="preserve">V Liberci, datum </w:t>
      </w:r>
      <w:r>
        <w:t>9. 8.</w:t>
      </w:r>
      <w:r w:rsidRPr="009E0C3F">
        <w:t xml:space="preserve"> 201</w:t>
      </w:r>
      <w:r>
        <w:t>9</w:t>
      </w:r>
    </w:p>
    <w:p w14:paraId="2291EEFA" w14:textId="77777777" w:rsidR="002E7AF1" w:rsidRPr="009E0C3F" w:rsidRDefault="002E7AF1" w:rsidP="002E7AF1">
      <w:pPr>
        <w:spacing w:line="320" w:lineRule="atLeast"/>
        <w:jc w:val="both"/>
      </w:pPr>
    </w:p>
    <w:p w14:paraId="5389B221" w14:textId="5861CAC1" w:rsidR="002E7AF1" w:rsidRPr="009E0C3F" w:rsidRDefault="002E7AF1" w:rsidP="002E7AF1">
      <w:pPr>
        <w:spacing w:line="320" w:lineRule="atLeast"/>
        <w:jc w:val="both"/>
      </w:pPr>
      <w:r w:rsidRPr="009E0C3F">
        <w:t xml:space="preserve">Za </w:t>
      </w:r>
      <w:r>
        <w:t>Výzkumnou organizaci</w:t>
      </w:r>
      <w:r w:rsidRPr="009E0C3F">
        <w:t>:</w:t>
      </w:r>
    </w:p>
    <w:p w14:paraId="64837680" w14:textId="77777777" w:rsidR="002E7AF1" w:rsidRDefault="002E7AF1" w:rsidP="002E7AF1">
      <w:pPr>
        <w:spacing w:line="320" w:lineRule="atLeast"/>
        <w:jc w:val="both"/>
      </w:pP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3CAF4D58" w14:textId="77777777" w:rsidR="002E7AF1" w:rsidRPr="009E0C3F" w:rsidRDefault="002E7AF1" w:rsidP="002E7AF1"/>
    <w:p w14:paraId="2C36FA91" w14:textId="77777777" w:rsidR="002E7AF1" w:rsidRPr="009E0C3F" w:rsidRDefault="002E7AF1" w:rsidP="002E7AF1">
      <w:pPr>
        <w:spacing w:line="320" w:lineRule="atLeast"/>
        <w:jc w:val="both"/>
      </w:pPr>
      <w:r w:rsidRPr="009E0C3F">
        <w:t>…………………………………………….</w:t>
      </w:r>
    </w:p>
    <w:p w14:paraId="4B5BCC1D" w14:textId="3BF75957" w:rsidR="00DF350E" w:rsidRPr="00DF350E" w:rsidRDefault="00DF350E" w:rsidP="00DF350E">
      <w:pPr>
        <w:spacing w:line="320" w:lineRule="atLeast"/>
        <w:rPr>
          <w:b/>
        </w:rPr>
      </w:pPr>
      <w:r w:rsidRPr="00DF350E">
        <w:rPr>
          <w:b/>
        </w:rPr>
        <w:t>Technická univerzita v Liberci</w:t>
      </w:r>
    </w:p>
    <w:p w14:paraId="4DD04237" w14:textId="77777777" w:rsidR="00DF350E" w:rsidRDefault="00DF350E" w:rsidP="00DF350E">
      <w:pPr>
        <w:spacing w:line="320" w:lineRule="atLeast"/>
      </w:pPr>
      <w:r>
        <w:t xml:space="preserve">doc. RNDr. Miroslav </w:t>
      </w:r>
      <w:proofErr w:type="spellStart"/>
      <w:r>
        <w:t>Brzezina</w:t>
      </w:r>
      <w:proofErr w:type="spellEnd"/>
      <w:r>
        <w:t>, CSc.</w:t>
      </w:r>
    </w:p>
    <w:p w14:paraId="472EFC23" w14:textId="4989096D" w:rsidR="00DF350E" w:rsidRDefault="00DF350E" w:rsidP="00DF350E">
      <w:pPr>
        <w:spacing w:line="320" w:lineRule="atLeast"/>
      </w:pPr>
      <w:r>
        <w:t>rektor TUL</w:t>
      </w:r>
    </w:p>
    <w:p w14:paraId="40930E9F" w14:textId="293B8572" w:rsidR="002E7AF1" w:rsidRDefault="002E7AF1" w:rsidP="00DF350E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4C3D69A1" w14:textId="10CCA4E9" w:rsidR="00CF6874" w:rsidRDefault="00CF6874" w:rsidP="00CF6874">
      <w:pPr>
        <w:spacing w:line="320" w:lineRule="atLeast"/>
        <w:jc w:val="both"/>
      </w:pPr>
      <w:r w:rsidRPr="009E0C3F">
        <w:t xml:space="preserve">V Liberci, datum </w:t>
      </w:r>
      <w:r>
        <w:t>17. 7.</w:t>
      </w:r>
      <w:r>
        <w:t xml:space="preserve"> </w:t>
      </w:r>
      <w:r w:rsidRPr="009E0C3F">
        <w:t>201</w:t>
      </w:r>
      <w:r>
        <w:t>9</w:t>
      </w:r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sectPr w:rsidR="002E7AF1" w:rsidRPr="009E0C3F" w:rsidSect="00404D59">
      <w:head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64523" w14:textId="77777777" w:rsidR="00D64326" w:rsidRDefault="00D64326">
      <w:pPr>
        <w:spacing w:line="240" w:lineRule="auto"/>
      </w:pPr>
      <w:r>
        <w:separator/>
      </w:r>
    </w:p>
  </w:endnote>
  <w:endnote w:type="continuationSeparator" w:id="0">
    <w:p w14:paraId="3E2F7B8F" w14:textId="77777777" w:rsidR="00D64326" w:rsidRDefault="00D64326">
      <w:pPr>
        <w:spacing w:line="240" w:lineRule="auto"/>
      </w:pPr>
      <w:r>
        <w:continuationSeparator/>
      </w:r>
    </w:p>
  </w:endnote>
  <w:endnote w:type="continuationNotice" w:id="1">
    <w:p w14:paraId="32B57B43" w14:textId="77777777" w:rsidR="00D64326" w:rsidRDefault="00D643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C8E0" w14:textId="77777777" w:rsidR="00D64326" w:rsidRDefault="00D64326">
      <w:pPr>
        <w:spacing w:line="240" w:lineRule="auto"/>
      </w:pPr>
      <w:r>
        <w:separator/>
      </w:r>
    </w:p>
  </w:footnote>
  <w:footnote w:type="continuationSeparator" w:id="0">
    <w:p w14:paraId="26E02130" w14:textId="77777777" w:rsidR="00D64326" w:rsidRDefault="00D64326">
      <w:pPr>
        <w:spacing w:line="240" w:lineRule="auto"/>
      </w:pPr>
      <w:r>
        <w:continuationSeparator/>
      </w:r>
    </w:p>
  </w:footnote>
  <w:footnote w:type="continuationNotice" w:id="1">
    <w:p w14:paraId="037E9556" w14:textId="77777777" w:rsidR="00D64326" w:rsidRDefault="00D643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77777777" w:rsidR="00857431" w:rsidRDefault="00857431" w:rsidP="00B0752C">
    <w:pPr>
      <w:pStyle w:val="Zhlav"/>
      <w:spacing w:befor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4"/>
  </w:num>
  <w:num w:numId="2">
    <w:abstractNumId w:val="19"/>
  </w:num>
  <w:num w:numId="3">
    <w:abstractNumId w:val="53"/>
  </w:num>
  <w:num w:numId="4">
    <w:abstractNumId w:val="6"/>
  </w:num>
  <w:num w:numId="5">
    <w:abstractNumId w:val="42"/>
  </w:num>
  <w:num w:numId="6">
    <w:abstractNumId w:val="36"/>
  </w:num>
  <w:num w:numId="7">
    <w:abstractNumId w:val="11"/>
  </w:num>
  <w:num w:numId="8">
    <w:abstractNumId w:val="8"/>
  </w:num>
  <w:num w:numId="9">
    <w:abstractNumId w:val="1"/>
  </w:num>
  <w:num w:numId="10">
    <w:abstractNumId w:val="61"/>
  </w:num>
  <w:num w:numId="11">
    <w:abstractNumId w:val="10"/>
  </w:num>
  <w:num w:numId="12">
    <w:abstractNumId w:val="46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43"/>
  </w:num>
  <w:num w:numId="20">
    <w:abstractNumId w:val="56"/>
  </w:num>
  <w:num w:numId="21">
    <w:abstractNumId w:val="35"/>
  </w:num>
  <w:num w:numId="22">
    <w:abstractNumId w:val="14"/>
  </w:num>
  <w:num w:numId="23">
    <w:abstractNumId w:val="58"/>
  </w:num>
  <w:num w:numId="24">
    <w:abstractNumId w:val="29"/>
  </w:num>
  <w:num w:numId="25">
    <w:abstractNumId w:val="17"/>
  </w:num>
  <w:num w:numId="26">
    <w:abstractNumId w:val="41"/>
  </w:num>
  <w:num w:numId="27">
    <w:abstractNumId w:val="52"/>
  </w:num>
  <w:num w:numId="28">
    <w:abstractNumId w:val="48"/>
  </w:num>
  <w:num w:numId="29">
    <w:abstractNumId w:val="33"/>
  </w:num>
  <w:num w:numId="30">
    <w:abstractNumId w:val="18"/>
  </w:num>
  <w:num w:numId="31">
    <w:abstractNumId w:val="5"/>
  </w:num>
  <w:num w:numId="32">
    <w:abstractNumId w:val="16"/>
  </w:num>
  <w:num w:numId="33">
    <w:abstractNumId w:val="60"/>
  </w:num>
  <w:num w:numId="34">
    <w:abstractNumId w:val="49"/>
  </w:num>
  <w:num w:numId="35">
    <w:abstractNumId w:val="28"/>
  </w:num>
  <w:num w:numId="36">
    <w:abstractNumId w:val="3"/>
  </w:num>
  <w:num w:numId="37">
    <w:abstractNumId w:val="59"/>
  </w:num>
  <w:num w:numId="38">
    <w:abstractNumId w:val="15"/>
  </w:num>
  <w:num w:numId="39">
    <w:abstractNumId w:val="50"/>
  </w:num>
  <w:num w:numId="40">
    <w:abstractNumId w:val="47"/>
  </w:num>
  <w:num w:numId="41">
    <w:abstractNumId w:val="54"/>
  </w:num>
  <w:num w:numId="42">
    <w:abstractNumId w:val="4"/>
  </w:num>
  <w:num w:numId="43">
    <w:abstractNumId w:val="22"/>
  </w:num>
  <w:num w:numId="44">
    <w:abstractNumId w:val="40"/>
  </w:num>
  <w:num w:numId="45">
    <w:abstractNumId w:val="27"/>
  </w:num>
  <w:num w:numId="46">
    <w:abstractNumId w:val="20"/>
  </w:num>
  <w:num w:numId="47">
    <w:abstractNumId w:val="25"/>
  </w:num>
  <w:num w:numId="48">
    <w:abstractNumId w:val="0"/>
  </w:num>
  <w:num w:numId="49">
    <w:abstractNumId w:val="38"/>
  </w:num>
  <w:num w:numId="50">
    <w:abstractNumId w:val="51"/>
  </w:num>
  <w:num w:numId="51">
    <w:abstractNumId w:val="26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"/>
  </w:num>
  <w:num w:numId="55">
    <w:abstractNumId w:val="2"/>
  </w:num>
  <w:num w:numId="56">
    <w:abstractNumId w:val="32"/>
  </w:num>
  <w:num w:numId="57">
    <w:abstractNumId w:val="24"/>
  </w:num>
  <w:num w:numId="58">
    <w:abstractNumId w:val="23"/>
  </w:num>
  <w:num w:numId="59">
    <w:abstractNumId w:val="45"/>
  </w:num>
  <w:num w:numId="60">
    <w:abstractNumId w:val="39"/>
  </w:num>
  <w:num w:numId="61">
    <w:abstractNumId w:val="57"/>
  </w:num>
  <w:num w:numId="6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37CFA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4595"/>
    <w:rsid w:val="00124BB2"/>
    <w:rsid w:val="001254B3"/>
    <w:rsid w:val="00127ECE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96BBC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7AF1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6A16"/>
    <w:rsid w:val="00397587"/>
    <w:rsid w:val="003A0CE1"/>
    <w:rsid w:val="003A54F3"/>
    <w:rsid w:val="003A711E"/>
    <w:rsid w:val="003B0F0E"/>
    <w:rsid w:val="003B450C"/>
    <w:rsid w:val="003C59D7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2351"/>
    <w:rsid w:val="006D7B8B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0D10"/>
    <w:rsid w:val="007F4B17"/>
    <w:rsid w:val="007F6576"/>
    <w:rsid w:val="007F700B"/>
    <w:rsid w:val="008059E1"/>
    <w:rsid w:val="00811414"/>
    <w:rsid w:val="008129A7"/>
    <w:rsid w:val="00813F98"/>
    <w:rsid w:val="00821366"/>
    <w:rsid w:val="00823E25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E4D68"/>
    <w:rsid w:val="008F141E"/>
    <w:rsid w:val="008F6559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D5F2B"/>
    <w:rsid w:val="009D7178"/>
    <w:rsid w:val="009E0C3F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B103F"/>
    <w:rsid w:val="00BB14BF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F263A"/>
    <w:rsid w:val="00C00804"/>
    <w:rsid w:val="00C00F1A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CF6874"/>
    <w:rsid w:val="00D00086"/>
    <w:rsid w:val="00D14FBD"/>
    <w:rsid w:val="00D15050"/>
    <w:rsid w:val="00D166F0"/>
    <w:rsid w:val="00D17DEE"/>
    <w:rsid w:val="00D26842"/>
    <w:rsid w:val="00D3453E"/>
    <w:rsid w:val="00D5316F"/>
    <w:rsid w:val="00D53EE0"/>
    <w:rsid w:val="00D5469B"/>
    <w:rsid w:val="00D6382C"/>
    <w:rsid w:val="00D639AD"/>
    <w:rsid w:val="00D64326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DF350E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F20"/>
    <w:rsid w:val="00F869A2"/>
    <w:rsid w:val="00F96E7A"/>
    <w:rsid w:val="00FA1D07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WYPQ5575VKCJ-1556776651-31981</_dlc_DocId>
    <_dlc_DocIdUrl xmlns="970dcfca-70e2-4ac0-8f52-e5c5eb9892de">
      <Url>https://intranet.vuts.cz/Projekty/_layouts/15/DocIdRedir.aspx?ID=WYPQ5575VKCJ-1556776651-31981</Url>
      <Description>WYPQ5575VKCJ-1556776651-31981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4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DD571D2-FC32-4DE9-B972-EA483E49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1588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Pavla Kholová</cp:lastModifiedBy>
  <cp:revision>3</cp:revision>
  <cp:lastPrinted>2018-04-23T13:58:00Z</cp:lastPrinted>
  <dcterms:created xsi:type="dcterms:W3CDTF">2019-08-14T11:07:00Z</dcterms:created>
  <dcterms:modified xsi:type="dcterms:W3CDTF">2019-08-14T12:01:00Z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98e41f4c-7c86-4f65-80e6-20bdfeee8b45</vt:lpwstr>
  </property>
</Properties>
</file>