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DFB3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  <w:b/>
        </w:rPr>
      </w:pPr>
      <w:r w:rsidRPr="00CF2858">
        <w:rPr>
          <w:rFonts w:asciiTheme="minorHAnsi" w:hAnsiTheme="minorHAnsi" w:cstheme="minorHAnsi"/>
          <w:b/>
        </w:rPr>
        <w:t>Asseco Solutions, a.s.</w:t>
      </w:r>
    </w:p>
    <w:p w14:paraId="70709FAE" w14:textId="77777777" w:rsidR="00E92393" w:rsidRPr="00CF2858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CF2858">
        <w:rPr>
          <w:rFonts w:asciiTheme="minorHAnsi" w:hAnsiTheme="minorHAnsi" w:cstheme="minorHAnsi"/>
          <w:szCs w:val="22"/>
        </w:rPr>
        <w:t>se sídlem Praha 4, Zelený pruh 1560/99, PSČ 140 02</w:t>
      </w:r>
    </w:p>
    <w:p w14:paraId="2BAAC542" w14:textId="77777777" w:rsidR="00E92393" w:rsidRPr="00CF2858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CF2858">
        <w:rPr>
          <w:rFonts w:asciiTheme="minorHAnsi" w:hAnsiTheme="minorHAnsi" w:cstheme="minorHAnsi"/>
          <w:szCs w:val="22"/>
        </w:rPr>
        <w:t>IČ: 64949541</w:t>
      </w:r>
    </w:p>
    <w:p w14:paraId="515E2FF2" w14:textId="77777777" w:rsidR="00E92393" w:rsidRPr="00CF2858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CF2858">
        <w:rPr>
          <w:rFonts w:asciiTheme="minorHAnsi" w:hAnsiTheme="minorHAnsi" w:cstheme="minorHAnsi"/>
          <w:szCs w:val="22"/>
        </w:rPr>
        <w:t>Zapsaná v obchodním rejstříku vedeném Městským soudem v Praze, oddíl B, vložka 3771</w:t>
      </w:r>
    </w:p>
    <w:p w14:paraId="17CE8923" w14:textId="7D7324C1" w:rsidR="00BD2326" w:rsidRDefault="00BD2326" w:rsidP="00BD2326">
      <w:r>
        <w:t xml:space="preserve">Zastoupena členem představenstva </w:t>
      </w:r>
      <w:r w:rsidR="00450F37">
        <w:t>xxxxxxxxxxxxx</w:t>
      </w:r>
    </w:p>
    <w:p w14:paraId="42AD5105" w14:textId="77777777" w:rsidR="00E92393" w:rsidRPr="00CF2858" w:rsidRDefault="00E92393" w:rsidP="00BD2326">
      <w:r w:rsidRPr="00CF2858">
        <w:t>dále jen „Dodavatel“</w:t>
      </w:r>
    </w:p>
    <w:p w14:paraId="0E09FA25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</w:p>
    <w:p w14:paraId="2FCE224D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  <w:r w:rsidRPr="00CF2858">
        <w:rPr>
          <w:rFonts w:asciiTheme="minorHAnsi" w:hAnsiTheme="minorHAnsi" w:cstheme="minorHAnsi"/>
          <w:bCs/>
        </w:rPr>
        <w:t>a</w:t>
      </w:r>
    </w:p>
    <w:p w14:paraId="1206BB0B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</w:p>
    <w:p w14:paraId="16AF92DF" w14:textId="77777777" w:rsidR="004C376E" w:rsidRPr="00F0637B" w:rsidRDefault="004C376E" w:rsidP="004C376E">
      <w:pPr>
        <w:tabs>
          <w:tab w:val="center" w:pos="4535"/>
        </w:tabs>
        <w:rPr>
          <w:rFonts w:cs="Arial"/>
          <w:b/>
        </w:rPr>
      </w:pPr>
      <w:r w:rsidRPr="00F0637B">
        <w:rPr>
          <w:rFonts w:cs="Arial"/>
          <w:b/>
        </w:rPr>
        <w:t>Centrum pro regionální rozvoj České republiky</w:t>
      </w:r>
    </w:p>
    <w:p w14:paraId="68A22749" w14:textId="77777777" w:rsidR="004C376E" w:rsidRPr="00F0637B" w:rsidRDefault="004C376E" w:rsidP="004C376E">
      <w:pPr>
        <w:tabs>
          <w:tab w:val="center" w:pos="4535"/>
        </w:tabs>
        <w:rPr>
          <w:rFonts w:cs="Arial"/>
        </w:rPr>
      </w:pPr>
      <w:r w:rsidRPr="00F0637B">
        <w:rPr>
          <w:rFonts w:cs="Arial"/>
        </w:rPr>
        <w:t>se sídlem Praha 3, U Nákladového nádraží 3144/4, PSČ 130 00</w:t>
      </w:r>
    </w:p>
    <w:p w14:paraId="2FCA1727" w14:textId="77777777" w:rsidR="004C376E" w:rsidRPr="00F0637B" w:rsidRDefault="004C376E" w:rsidP="004C376E">
      <w:pPr>
        <w:rPr>
          <w:rFonts w:cs="Arial"/>
        </w:rPr>
      </w:pPr>
      <w:r w:rsidRPr="00F0637B">
        <w:rPr>
          <w:rFonts w:cs="Arial"/>
        </w:rPr>
        <w:t>IČ: 04095316</w:t>
      </w:r>
    </w:p>
    <w:p w14:paraId="76E701C4" w14:textId="0FCCCFCC" w:rsidR="004C376E" w:rsidRPr="00F0637B" w:rsidRDefault="004C376E" w:rsidP="004C376E">
      <w:pPr>
        <w:rPr>
          <w:rFonts w:cs="Arial"/>
        </w:rPr>
      </w:pPr>
      <w:r w:rsidRPr="00F0637B">
        <w:rPr>
          <w:rFonts w:cs="Arial"/>
        </w:rPr>
        <w:t>bankovní spojení</w:t>
      </w:r>
      <w:r w:rsidR="00450F37">
        <w:rPr>
          <w:rFonts w:cs="Arial"/>
        </w:rPr>
        <w:t>xxxxxxxxxxxxxxxxxxx</w:t>
      </w:r>
    </w:p>
    <w:p w14:paraId="173BAACD" w14:textId="77165D7E" w:rsidR="004C376E" w:rsidRPr="00F0637B" w:rsidRDefault="004C376E" w:rsidP="004C376E">
      <w:pPr>
        <w:rPr>
          <w:rFonts w:cs="Arial"/>
        </w:rPr>
      </w:pPr>
      <w:r w:rsidRPr="00F0637B">
        <w:rPr>
          <w:rFonts w:cs="Arial"/>
        </w:rPr>
        <w:t xml:space="preserve">Zastoupena generálním ředitelem organizace </w:t>
      </w:r>
      <w:r w:rsidR="00450F37">
        <w:rPr>
          <w:rFonts w:cs="Arial"/>
        </w:rPr>
        <w:t>xxxxxxxxxxxxxxxxxx</w:t>
      </w:r>
    </w:p>
    <w:p w14:paraId="7BC4CBD7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  <w:r w:rsidRPr="00CF2858">
        <w:rPr>
          <w:rFonts w:asciiTheme="minorHAnsi" w:hAnsiTheme="minorHAnsi" w:cstheme="minorHAnsi"/>
        </w:rPr>
        <w:t>dále jen „Odběratel“</w:t>
      </w:r>
    </w:p>
    <w:p w14:paraId="47CCF150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</w:p>
    <w:p w14:paraId="1C526DCB" w14:textId="77777777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</w:p>
    <w:p w14:paraId="214AD585" w14:textId="77DAD9B5" w:rsidR="00E92393" w:rsidRPr="00CF2858" w:rsidRDefault="00E92393" w:rsidP="00E92393">
      <w:pPr>
        <w:widowControl w:val="0"/>
        <w:rPr>
          <w:rFonts w:asciiTheme="minorHAnsi" w:hAnsiTheme="minorHAnsi" w:cstheme="minorHAnsi"/>
        </w:rPr>
      </w:pPr>
      <w:r w:rsidRPr="00CF2858">
        <w:rPr>
          <w:rFonts w:asciiTheme="minorHAnsi" w:hAnsiTheme="minorHAnsi" w:cstheme="minorHAnsi"/>
        </w:rPr>
        <w:t xml:space="preserve">uzavírají </w:t>
      </w:r>
      <w:r w:rsidR="004222CC">
        <w:rPr>
          <w:rFonts w:asciiTheme="minorHAnsi" w:hAnsiTheme="minorHAnsi" w:cstheme="minorHAnsi"/>
        </w:rPr>
        <w:t>tuto</w:t>
      </w:r>
    </w:p>
    <w:p w14:paraId="4EEE21D0" w14:textId="7505FFD3" w:rsidR="00E92393" w:rsidRDefault="00E92393" w:rsidP="00E92393">
      <w:pPr>
        <w:widowControl w:val="0"/>
        <w:rPr>
          <w:rFonts w:asciiTheme="minorHAnsi" w:hAnsiTheme="minorHAnsi" w:cstheme="minorHAnsi"/>
        </w:rPr>
      </w:pPr>
    </w:p>
    <w:p w14:paraId="6918DBFE" w14:textId="52513BBC" w:rsidR="00E92393" w:rsidRPr="00CF2858" w:rsidRDefault="004222CC" w:rsidP="00593D34">
      <w:pPr>
        <w:jc w:val="center"/>
        <w:rPr>
          <w:rFonts w:asciiTheme="minorHAnsi" w:hAnsiTheme="minorHAnsi" w:cstheme="minorHAnsi"/>
          <w:b/>
          <w:sz w:val="36"/>
          <w:szCs w:val="36"/>
          <w:highlight w:val="yellow"/>
        </w:rPr>
      </w:pPr>
      <w:r>
        <w:rPr>
          <w:rFonts w:asciiTheme="minorHAnsi" w:hAnsiTheme="minorHAnsi" w:cstheme="minorHAnsi"/>
          <w:b/>
          <w:sz w:val="36"/>
          <w:szCs w:val="36"/>
        </w:rPr>
        <w:t>Dohodu o poskytnutí testovacího prostředí k iNUVIO</w:t>
      </w:r>
    </w:p>
    <w:p w14:paraId="79BC9582" w14:textId="77777777" w:rsidR="00764C5D" w:rsidRPr="00CF2858" w:rsidRDefault="00764C5D" w:rsidP="00593D34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065EDDE4" w14:textId="77777777" w:rsidR="00E92393" w:rsidRPr="00CF2858" w:rsidRDefault="00E92393" w:rsidP="00127D40">
      <w:pPr>
        <w:rPr>
          <w:rFonts w:asciiTheme="minorHAnsi" w:hAnsiTheme="minorHAnsi" w:cstheme="minorHAnsi"/>
        </w:rPr>
      </w:pPr>
    </w:p>
    <w:p w14:paraId="00731D1E" w14:textId="77777777" w:rsidR="00127D40" w:rsidRPr="00CF2858" w:rsidRDefault="00127D40" w:rsidP="00127D40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858">
        <w:rPr>
          <w:rFonts w:asciiTheme="minorHAnsi" w:hAnsiTheme="minorHAnsi" w:cstheme="minorHAnsi"/>
          <w:b/>
          <w:sz w:val="24"/>
          <w:szCs w:val="24"/>
        </w:rPr>
        <w:t xml:space="preserve">Úvodní ustanovení </w:t>
      </w:r>
    </w:p>
    <w:p w14:paraId="1860EBB7" w14:textId="3B19E4E6" w:rsidR="00423FE0" w:rsidRPr="00423FE0" w:rsidRDefault="00127D40" w:rsidP="00423FE0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CF2858">
        <w:rPr>
          <w:rFonts w:asciiTheme="minorHAnsi" w:hAnsiTheme="minorHAnsi" w:cstheme="minorHAnsi"/>
        </w:rPr>
        <w:t xml:space="preserve">Smluvní strany spolu dne </w:t>
      </w:r>
      <w:r w:rsidR="00EC25EA" w:rsidRPr="00F0637B">
        <w:t xml:space="preserve">19.12.2003 uzavřely Licenční smlouvu a smlouvu o systémové podpoře č. </w:t>
      </w:r>
      <w:r w:rsidR="00450F37">
        <w:t>xxxxxxxxxxxxxxxx</w:t>
      </w:r>
      <w:r w:rsidR="00423FE0">
        <w:rPr>
          <w:rFonts w:asciiTheme="minorHAnsi" w:hAnsiTheme="minorHAnsi" w:cstheme="minorHAnsi"/>
        </w:rPr>
        <w:t xml:space="preserve">, na </w:t>
      </w:r>
      <w:r w:rsidR="001C26EA">
        <w:rPr>
          <w:rFonts w:asciiTheme="minorHAnsi" w:hAnsiTheme="minorHAnsi" w:cstheme="minorHAnsi"/>
        </w:rPr>
        <w:t>základě</w:t>
      </w:r>
      <w:r w:rsidR="00423FE0">
        <w:rPr>
          <w:rFonts w:asciiTheme="minorHAnsi" w:hAnsiTheme="minorHAnsi" w:cstheme="minorHAnsi"/>
        </w:rPr>
        <w:t xml:space="preserve"> které Odběratel nabyl právo k užití licence č. </w:t>
      </w:r>
      <w:r w:rsidR="00450F37">
        <w:t>xxxxxxxxxxxxxxxxxx</w:t>
      </w:r>
      <w:r w:rsidR="00EC25EA" w:rsidRPr="00F0637B">
        <w:t xml:space="preserve"> </w:t>
      </w:r>
      <w:r w:rsidR="00423FE0">
        <w:t xml:space="preserve">softwarového produktu vedeného pod obchodním názvem APV HELIOS Orange </w:t>
      </w:r>
      <w:r w:rsidR="00423FE0" w:rsidRPr="00FA2090">
        <w:rPr>
          <w:rFonts w:asciiTheme="minorHAnsi" w:hAnsiTheme="minorHAnsi" w:cstheme="minorHAnsi"/>
        </w:rPr>
        <w:t>(dále jen „</w:t>
      </w:r>
      <w:r w:rsidR="00423FE0" w:rsidRPr="00FA2090">
        <w:rPr>
          <w:rFonts w:asciiTheme="minorHAnsi" w:hAnsiTheme="minorHAnsi" w:cstheme="minorHAnsi"/>
          <w:b/>
        </w:rPr>
        <w:t>Licence HELIOS Orange</w:t>
      </w:r>
      <w:r w:rsidR="00423FE0" w:rsidRPr="00FA2090">
        <w:rPr>
          <w:rFonts w:asciiTheme="minorHAnsi" w:hAnsiTheme="minorHAnsi" w:cstheme="minorHAnsi"/>
        </w:rPr>
        <w:t>“)</w:t>
      </w:r>
      <w:r w:rsidR="00423FE0">
        <w:rPr>
          <w:rFonts w:asciiTheme="minorHAnsi" w:hAnsiTheme="minorHAnsi" w:cstheme="minorHAnsi"/>
        </w:rPr>
        <w:t>.</w:t>
      </w:r>
    </w:p>
    <w:p w14:paraId="36AFA604" w14:textId="22229B9C" w:rsidR="00D80C9F" w:rsidRPr="00FA2090" w:rsidRDefault="00423FE0" w:rsidP="00D80C9F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Odběratel </w:t>
      </w:r>
      <w:r w:rsidR="00C34803">
        <w:rPr>
          <w:rFonts w:asciiTheme="minorHAnsi" w:hAnsiTheme="minorHAnsi" w:cstheme="minorHAnsi"/>
        </w:rPr>
        <w:t>projevil zájem o</w:t>
      </w:r>
      <w:r>
        <w:rPr>
          <w:rFonts w:asciiTheme="minorHAnsi" w:hAnsiTheme="minorHAnsi" w:cstheme="minorHAnsi"/>
        </w:rPr>
        <w:t xml:space="preserve"> migraci</w:t>
      </w:r>
      <w:r w:rsidR="00D80C9F">
        <w:rPr>
          <w:rFonts w:asciiTheme="minorHAnsi" w:hAnsiTheme="minorHAnsi" w:cstheme="minorHAnsi"/>
        </w:rPr>
        <w:t xml:space="preserve"> stávající </w:t>
      </w:r>
      <w:r w:rsidR="00D80C9F" w:rsidRPr="00423FE0">
        <w:rPr>
          <w:rFonts w:asciiTheme="minorHAnsi" w:hAnsiTheme="minorHAnsi" w:cstheme="minorHAnsi"/>
        </w:rPr>
        <w:t>Licence HELIOS Orange</w:t>
      </w:r>
      <w:r>
        <w:rPr>
          <w:rFonts w:asciiTheme="minorHAnsi" w:hAnsiTheme="minorHAnsi" w:cstheme="minorHAnsi"/>
        </w:rPr>
        <w:t xml:space="preserve"> </w:t>
      </w:r>
      <w:r w:rsidR="00D80C9F">
        <w:rPr>
          <w:rFonts w:asciiTheme="minorHAnsi" w:hAnsiTheme="minorHAnsi" w:cstheme="minorHAnsi"/>
        </w:rPr>
        <w:t xml:space="preserve">na </w:t>
      </w:r>
      <w:r w:rsidR="00D80C9F" w:rsidRPr="00FA2090">
        <w:rPr>
          <w:rFonts w:asciiTheme="minorHAnsi" w:hAnsiTheme="minorHAnsi" w:cstheme="minorHAnsi"/>
        </w:rPr>
        <w:t xml:space="preserve">vyšší edici daného softwarového produktu </w:t>
      </w:r>
      <w:r w:rsidR="00D80C9F">
        <w:rPr>
          <w:rFonts w:asciiTheme="minorHAnsi" w:hAnsiTheme="minorHAnsi" w:cstheme="minorHAnsi"/>
        </w:rPr>
        <w:t>Dodavatele</w:t>
      </w:r>
      <w:r w:rsidR="00D80C9F" w:rsidRPr="00FA2090">
        <w:rPr>
          <w:rFonts w:asciiTheme="minorHAnsi" w:hAnsiTheme="minorHAnsi" w:cstheme="minorHAnsi"/>
        </w:rPr>
        <w:t xml:space="preserve"> vedeného pod názvem iNUVIO (dále jen „</w:t>
      </w:r>
      <w:r w:rsidR="00D80C9F" w:rsidRPr="00FA2090">
        <w:rPr>
          <w:rFonts w:asciiTheme="minorHAnsi" w:hAnsiTheme="minorHAnsi" w:cstheme="minorHAnsi"/>
          <w:b/>
        </w:rPr>
        <w:t>iNUVIO</w:t>
      </w:r>
      <w:r w:rsidR="00D80C9F" w:rsidRPr="00FA2090">
        <w:rPr>
          <w:rFonts w:asciiTheme="minorHAnsi" w:hAnsiTheme="minorHAnsi" w:cstheme="minorHAnsi"/>
        </w:rPr>
        <w:t>“).</w:t>
      </w:r>
    </w:p>
    <w:p w14:paraId="4F9D3E15" w14:textId="4188A445" w:rsidR="00D57166" w:rsidRDefault="00D80C9F" w:rsidP="000F5A4D">
      <w:pPr>
        <w:pStyle w:val="Nadpis2"/>
      </w:pPr>
      <w:r w:rsidRPr="000F5A4D">
        <w:t xml:space="preserve">Účelem této dohody je stanovení podmínek pro </w:t>
      </w:r>
      <w:r w:rsidR="00457ABB">
        <w:t xml:space="preserve">dočasné </w:t>
      </w:r>
      <w:r w:rsidRPr="000F5A4D">
        <w:t xml:space="preserve">poskytnutí a užívání testovacího prostředí k iNUVIO. </w:t>
      </w:r>
    </w:p>
    <w:p w14:paraId="4A333C63" w14:textId="094A2F72" w:rsidR="00CB4482" w:rsidRPr="000F5A4D" w:rsidRDefault="00CB4482" w:rsidP="000F5A4D"/>
    <w:p w14:paraId="5E6382C5" w14:textId="4AD8EBE8" w:rsidR="00E92393" w:rsidRPr="00CF2858" w:rsidRDefault="00E92393" w:rsidP="0042548C">
      <w:pPr>
        <w:pStyle w:val="Nadpis1"/>
      </w:pPr>
      <w:r w:rsidRPr="00CF2858">
        <w:t xml:space="preserve">Předmět </w:t>
      </w:r>
      <w:r w:rsidR="000F5A4D">
        <w:t>dohody</w:t>
      </w:r>
    </w:p>
    <w:p w14:paraId="2E6B1234" w14:textId="0ADB0274" w:rsidR="000F5A4D" w:rsidRDefault="008D6F9B" w:rsidP="008134CF">
      <w:pPr>
        <w:pStyle w:val="Nadpis2"/>
      </w:pPr>
      <w:bookmarkStart w:id="0" w:name="_Ref520139876"/>
      <w:bookmarkStart w:id="1" w:name="_Ref515002829"/>
      <w:r w:rsidRPr="00CF2858">
        <w:t xml:space="preserve">Dodavatel se zavazuje Odběrateli </w:t>
      </w:r>
      <w:r w:rsidR="004D56B6">
        <w:t xml:space="preserve">poskytnout </w:t>
      </w:r>
      <w:r w:rsidRPr="00CF2858">
        <w:t>testovací prostředí</w:t>
      </w:r>
      <w:r w:rsidR="00E104F8" w:rsidRPr="00CF2858">
        <w:t xml:space="preserve"> pro iNUVIO</w:t>
      </w:r>
      <w:bookmarkEnd w:id="0"/>
      <w:r w:rsidR="00E952E7">
        <w:t>.</w:t>
      </w:r>
      <w:r w:rsidRPr="00CF2858">
        <w:t xml:space="preserve"> </w:t>
      </w:r>
    </w:p>
    <w:p w14:paraId="0AC4D168" w14:textId="6ECC3461" w:rsidR="004D56B6" w:rsidRPr="001C26EA" w:rsidRDefault="004D56B6" w:rsidP="004D56B6">
      <w:pPr>
        <w:pStyle w:val="Nadpis2"/>
        <w:numPr>
          <w:ilvl w:val="0"/>
          <w:numId w:val="0"/>
        </w:numPr>
        <w:ind w:left="540"/>
      </w:pPr>
      <w:r w:rsidRPr="00CF2858">
        <w:t xml:space="preserve">Testovací prostředí </w:t>
      </w:r>
      <w:r w:rsidRPr="001C26EA">
        <w:t xml:space="preserve">se Odběrateli poskytuje do </w:t>
      </w:r>
      <w:r w:rsidR="00452155" w:rsidRPr="00452155">
        <w:rPr>
          <w:b/>
        </w:rPr>
        <w:t>15</w:t>
      </w:r>
      <w:r w:rsidR="00613F74" w:rsidRPr="001C26EA">
        <w:rPr>
          <w:b/>
        </w:rPr>
        <w:t>.</w:t>
      </w:r>
      <w:r w:rsidR="00452155">
        <w:rPr>
          <w:b/>
        </w:rPr>
        <w:t>8</w:t>
      </w:r>
      <w:r w:rsidR="00613F74" w:rsidRPr="001C26EA">
        <w:rPr>
          <w:b/>
        </w:rPr>
        <w:t>.</w:t>
      </w:r>
      <w:r w:rsidR="001C26EA" w:rsidRPr="001C26EA">
        <w:rPr>
          <w:b/>
        </w:rPr>
        <w:t>2019</w:t>
      </w:r>
      <w:r w:rsidRPr="001C26EA">
        <w:t xml:space="preserve"> včetně (dále jen „</w:t>
      </w:r>
      <w:r w:rsidRPr="001C26EA">
        <w:rPr>
          <w:b/>
        </w:rPr>
        <w:t>Datum ukončení testovacího provozu</w:t>
      </w:r>
      <w:r w:rsidRPr="001C26EA">
        <w:t xml:space="preserve">“).  </w:t>
      </w:r>
    </w:p>
    <w:p w14:paraId="4E1568FE" w14:textId="0743755A" w:rsidR="004D56B6" w:rsidRPr="001C26EA" w:rsidRDefault="004D56B6" w:rsidP="0095329C">
      <w:pPr>
        <w:pStyle w:val="Nadpis2"/>
        <w:spacing w:after="40"/>
      </w:pPr>
      <w:r w:rsidRPr="001C26EA">
        <w:t>Dodavatel se zavazuje zajistit pro Odběratele instalaci testovacího prostředí.</w:t>
      </w:r>
    </w:p>
    <w:p w14:paraId="23BB2EE6" w14:textId="77777777" w:rsidR="004D56B6" w:rsidRPr="001C26EA" w:rsidRDefault="004D56B6" w:rsidP="004D56B6">
      <w:pPr>
        <w:pStyle w:val="Smlouvaodstavec"/>
        <w:ind w:left="1134"/>
        <w:rPr>
          <w:rFonts w:asciiTheme="minorHAnsi" w:hAnsiTheme="minorHAnsi" w:cstheme="minorHAnsi"/>
          <w:sz w:val="22"/>
          <w:szCs w:val="22"/>
        </w:rPr>
      </w:pPr>
      <w:r w:rsidRPr="001C26E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22"/>
              <w:default w:val="0"/>
            </w:checkBox>
          </w:ffData>
        </w:fldChar>
      </w:r>
      <w:r w:rsidRPr="001C26E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50F37">
        <w:rPr>
          <w:rFonts w:asciiTheme="minorHAnsi" w:hAnsiTheme="minorHAnsi" w:cstheme="minorHAnsi"/>
          <w:sz w:val="22"/>
          <w:szCs w:val="22"/>
        </w:rPr>
      </w:r>
      <w:r w:rsidR="00450F37">
        <w:rPr>
          <w:rFonts w:asciiTheme="minorHAnsi" w:hAnsiTheme="minorHAnsi" w:cstheme="minorHAnsi"/>
          <w:sz w:val="22"/>
          <w:szCs w:val="22"/>
        </w:rPr>
        <w:fldChar w:fldCharType="separate"/>
      </w:r>
      <w:r w:rsidRPr="001C26EA">
        <w:rPr>
          <w:rFonts w:asciiTheme="minorHAnsi" w:hAnsiTheme="minorHAnsi" w:cstheme="minorHAnsi"/>
          <w:sz w:val="22"/>
          <w:szCs w:val="22"/>
        </w:rPr>
        <w:fldChar w:fldCharType="end"/>
      </w:r>
      <w:r w:rsidRPr="001C26EA">
        <w:rPr>
          <w:rFonts w:asciiTheme="minorHAnsi" w:hAnsiTheme="minorHAnsi" w:cstheme="minorHAnsi"/>
          <w:sz w:val="22"/>
          <w:szCs w:val="22"/>
        </w:rPr>
        <w:t xml:space="preserve"> ANO (smluvní strany toto ustanovení akceptují)</w:t>
      </w:r>
    </w:p>
    <w:p w14:paraId="5F02F5DC" w14:textId="328AFF66" w:rsidR="004D56B6" w:rsidRPr="0042548C" w:rsidRDefault="001C26EA" w:rsidP="004D56B6">
      <w:pPr>
        <w:spacing w:after="120"/>
        <w:ind w:left="1134"/>
        <w:rPr>
          <w:rFonts w:asciiTheme="minorHAnsi" w:hAnsiTheme="minorHAnsi" w:cstheme="minorHAnsi"/>
        </w:rPr>
      </w:pPr>
      <w:r w:rsidRPr="001C26EA">
        <w:rPr>
          <w:rFonts w:asciiTheme="minorHAnsi" w:hAnsiTheme="minorHAnsi" w:cstheme="minorHAnsi"/>
        </w:rPr>
        <w:fldChar w:fldCharType="begin">
          <w:ffData>
            <w:name w:val="Zaškrtávací2"/>
            <w:enabled/>
            <w:calcOnExit w:val="0"/>
            <w:checkBox>
              <w:size w:val="22"/>
              <w:default w:val="1"/>
            </w:checkBox>
          </w:ffData>
        </w:fldChar>
      </w:r>
      <w:bookmarkStart w:id="2" w:name="Zaškrtávací2"/>
      <w:r w:rsidRPr="001C26EA">
        <w:rPr>
          <w:rFonts w:asciiTheme="minorHAnsi" w:hAnsiTheme="minorHAnsi" w:cstheme="minorHAnsi"/>
        </w:rPr>
        <w:instrText xml:space="preserve"> FORMCHECKBOX </w:instrText>
      </w:r>
      <w:r w:rsidR="00450F37">
        <w:rPr>
          <w:rFonts w:asciiTheme="minorHAnsi" w:hAnsiTheme="minorHAnsi" w:cstheme="minorHAnsi"/>
        </w:rPr>
      </w:r>
      <w:r w:rsidR="00450F37">
        <w:rPr>
          <w:rFonts w:asciiTheme="minorHAnsi" w:hAnsiTheme="minorHAnsi" w:cstheme="minorHAnsi"/>
        </w:rPr>
        <w:fldChar w:fldCharType="separate"/>
      </w:r>
      <w:r w:rsidRPr="001C26EA">
        <w:rPr>
          <w:rFonts w:asciiTheme="minorHAnsi" w:hAnsiTheme="minorHAnsi" w:cstheme="minorHAnsi"/>
        </w:rPr>
        <w:fldChar w:fldCharType="end"/>
      </w:r>
      <w:bookmarkEnd w:id="2"/>
      <w:r w:rsidR="004D56B6" w:rsidRPr="001C26EA">
        <w:rPr>
          <w:rFonts w:asciiTheme="minorHAnsi" w:hAnsiTheme="minorHAnsi" w:cstheme="minorHAnsi"/>
        </w:rPr>
        <w:t xml:space="preserve"> NE (smluvní strany toto</w:t>
      </w:r>
      <w:r w:rsidR="004D56B6" w:rsidRPr="0042548C">
        <w:rPr>
          <w:rFonts w:asciiTheme="minorHAnsi" w:hAnsiTheme="minorHAnsi" w:cstheme="minorHAnsi"/>
        </w:rPr>
        <w:t xml:space="preserve"> ustanovení neakceptují)</w:t>
      </w:r>
    </w:p>
    <w:p w14:paraId="5CC9BE7A" w14:textId="755E1E93" w:rsidR="004D56B6" w:rsidRDefault="00E952E7" w:rsidP="004D56B6">
      <w:pPr>
        <w:pStyle w:val="Nadpis2"/>
      </w:pPr>
      <w:r>
        <w:t>Smluvní strany se</w:t>
      </w:r>
      <w:r w:rsidR="008D6F9B" w:rsidRPr="00CF2858">
        <w:t xml:space="preserve"> zavazuj</w:t>
      </w:r>
      <w:r>
        <w:t>í</w:t>
      </w:r>
      <w:r w:rsidR="008D6F9B" w:rsidRPr="00CF2858">
        <w:t xml:space="preserve"> dodržovat v plném rozsahu</w:t>
      </w:r>
      <w:bookmarkEnd w:id="1"/>
      <w:r>
        <w:t xml:space="preserve"> podmínky stanovené v článku 4 této Dohody.</w:t>
      </w:r>
    </w:p>
    <w:p w14:paraId="3F2ABD20" w14:textId="730539DA" w:rsidR="00972A5F" w:rsidRPr="00CF2858" w:rsidRDefault="00972A5F" w:rsidP="0040454A">
      <w:pPr>
        <w:pStyle w:val="Nadpis2"/>
      </w:pPr>
      <w:r w:rsidRPr="00CF2858">
        <w:lastRenderedPageBreak/>
        <w:t>Odběratel se zavazuje za plnění uvedená v odst.</w:t>
      </w:r>
      <w:r w:rsidR="0095329C">
        <w:t xml:space="preserve"> 2.1.</w:t>
      </w:r>
      <w:r w:rsidR="00C34803">
        <w:t xml:space="preserve"> a 2.2.</w:t>
      </w:r>
      <w:r w:rsidR="004D56B6">
        <w:t xml:space="preserve"> </w:t>
      </w:r>
      <w:r w:rsidRPr="00CF2858">
        <w:t xml:space="preserve">uhradit cenu specifikovanou v článku </w:t>
      </w:r>
      <w:r w:rsidRPr="00CF2858">
        <w:fldChar w:fldCharType="begin"/>
      </w:r>
      <w:r w:rsidRPr="00CF2858">
        <w:instrText xml:space="preserve"> REF _Ref515002928 \r \h </w:instrText>
      </w:r>
      <w:r w:rsidR="0040454A" w:rsidRPr="00CF2858">
        <w:instrText xml:space="preserve"> \* MERGEFORMAT </w:instrText>
      </w:r>
      <w:r w:rsidRPr="00CF2858">
        <w:fldChar w:fldCharType="separate"/>
      </w:r>
      <w:r w:rsidR="00BB2D58">
        <w:t>3</w:t>
      </w:r>
      <w:r w:rsidRPr="00CF2858">
        <w:fldChar w:fldCharType="end"/>
      </w:r>
      <w:r w:rsidRPr="00CF2858">
        <w:t xml:space="preserve"> </w:t>
      </w:r>
      <w:r w:rsidR="004D56B6">
        <w:t>této dohody</w:t>
      </w:r>
      <w:r w:rsidRPr="00CF2858">
        <w:t>.</w:t>
      </w:r>
    </w:p>
    <w:p w14:paraId="38D5C154" w14:textId="7B66802A" w:rsidR="00B87415" w:rsidRPr="00CF2858" w:rsidRDefault="00B87415" w:rsidP="00B30740">
      <w:pPr>
        <w:rPr>
          <w:rFonts w:asciiTheme="minorHAnsi" w:hAnsiTheme="minorHAnsi" w:cstheme="minorHAnsi"/>
        </w:rPr>
      </w:pPr>
    </w:p>
    <w:p w14:paraId="2EC68F56" w14:textId="77777777" w:rsidR="00E92393" w:rsidRPr="00CF2858" w:rsidRDefault="00E92393" w:rsidP="0042548C">
      <w:pPr>
        <w:pStyle w:val="Nadpis1"/>
      </w:pPr>
      <w:bookmarkStart w:id="3" w:name="_Ref515002928"/>
      <w:r w:rsidRPr="00CF2858">
        <w:t>Cena a platební podmínky</w:t>
      </w:r>
      <w:bookmarkEnd w:id="3"/>
    </w:p>
    <w:p w14:paraId="6F4E4285" w14:textId="0C5C115B" w:rsidR="00B51988" w:rsidRPr="001C26EA" w:rsidRDefault="00A62F0B" w:rsidP="00033776">
      <w:pPr>
        <w:numPr>
          <w:ilvl w:val="1"/>
          <w:numId w:val="6"/>
        </w:numPr>
        <w:spacing w:after="120"/>
        <w:ind w:left="539" w:hanging="539"/>
        <w:rPr>
          <w:rFonts w:asciiTheme="minorHAnsi" w:hAnsiTheme="minorHAnsi" w:cstheme="minorHAnsi"/>
        </w:rPr>
      </w:pPr>
      <w:bookmarkStart w:id="4" w:name="_Ref515017504"/>
      <w:bookmarkStart w:id="5" w:name="_Hlk516578225"/>
      <w:r>
        <w:rPr>
          <w:rFonts w:asciiTheme="minorHAnsi" w:hAnsiTheme="minorHAnsi" w:cstheme="minorHAnsi"/>
        </w:rPr>
        <w:t>Z</w:t>
      </w:r>
      <w:r w:rsidR="00D822AC" w:rsidRPr="00CF2858">
        <w:rPr>
          <w:rFonts w:asciiTheme="minorHAnsi" w:hAnsiTheme="minorHAnsi" w:cstheme="minorHAnsi"/>
        </w:rPr>
        <w:t xml:space="preserve">a </w:t>
      </w:r>
      <w:r w:rsidR="009E27C9">
        <w:rPr>
          <w:rFonts w:asciiTheme="minorHAnsi" w:hAnsiTheme="minorHAnsi" w:cstheme="minorHAnsi"/>
        </w:rPr>
        <w:t xml:space="preserve">poskytnutí </w:t>
      </w:r>
      <w:r>
        <w:rPr>
          <w:rFonts w:asciiTheme="minorHAnsi" w:hAnsiTheme="minorHAnsi" w:cstheme="minorHAnsi"/>
        </w:rPr>
        <w:t xml:space="preserve">a instalaci </w:t>
      </w:r>
      <w:r w:rsidR="00D822AC" w:rsidRPr="00CF2858">
        <w:rPr>
          <w:rFonts w:asciiTheme="minorHAnsi" w:hAnsiTheme="minorHAnsi" w:cstheme="minorHAnsi"/>
        </w:rPr>
        <w:t>testovací</w:t>
      </w:r>
      <w:r>
        <w:rPr>
          <w:rFonts w:asciiTheme="minorHAnsi" w:hAnsiTheme="minorHAnsi" w:cstheme="minorHAnsi"/>
        </w:rPr>
        <w:t>ho</w:t>
      </w:r>
      <w:r w:rsidR="00D822AC" w:rsidRPr="00CF2858">
        <w:rPr>
          <w:rFonts w:asciiTheme="minorHAnsi" w:hAnsiTheme="minorHAnsi" w:cstheme="minorHAnsi"/>
        </w:rPr>
        <w:t xml:space="preserve"> prostředí dle odst. </w:t>
      </w:r>
      <w:r w:rsidR="004D56B6">
        <w:rPr>
          <w:rFonts w:asciiTheme="minorHAnsi" w:hAnsiTheme="minorHAnsi" w:cstheme="minorHAnsi"/>
        </w:rPr>
        <w:fldChar w:fldCharType="begin"/>
      </w:r>
      <w:r w:rsidR="004D56B6">
        <w:rPr>
          <w:rFonts w:asciiTheme="minorHAnsi" w:hAnsiTheme="minorHAnsi" w:cstheme="minorHAnsi"/>
        </w:rPr>
        <w:instrText xml:space="preserve"> REF _Ref520139876 \r \h </w:instrText>
      </w:r>
      <w:r w:rsidR="004D56B6">
        <w:rPr>
          <w:rFonts w:asciiTheme="minorHAnsi" w:hAnsiTheme="minorHAnsi" w:cstheme="minorHAnsi"/>
        </w:rPr>
      </w:r>
      <w:r w:rsidR="004D56B6">
        <w:rPr>
          <w:rFonts w:asciiTheme="minorHAnsi" w:hAnsiTheme="minorHAnsi" w:cstheme="minorHAnsi"/>
        </w:rPr>
        <w:fldChar w:fldCharType="separate"/>
      </w:r>
      <w:r w:rsidR="00BB2D58">
        <w:rPr>
          <w:rFonts w:asciiTheme="minorHAnsi" w:hAnsiTheme="minorHAnsi" w:cstheme="minorHAnsi"/>
        </w:rPr>
        <w:t>2.1</w:t>
      </w:r>
      <w:r w:rsidR="004D56B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a 2.2</w:t>
      </w:r>
      <w:bookmarkStart w:id="6" w:name="_Ref520140097"/>
      <w:r w:rsidR="00033776">
        <w:rPr>
          <w:rFonts w:asciiTheme="minorHAnsi" w:hAnsiTheme="minorHAnsi" w:cstheme="minorHAnsi"/>
        </w:rPr>
        <w:t xml:space="preserve"> </w:t>
      </w:r>
      <w:r w:rsidR="00882CB9" w:rsidRPr="00033776">
        <w:rPr>
          <w:rFonts w:asciiTheme="minorHAnsi" w:hAnsiTheme="minorHAnsi" w:cstheme="minorHAnsi"/>
        </w:rPr>
        <w:t xml:space="preserve">se Odběratel zavazuje uhradit částku </w:t>
      </w:r>
      <w:r w:rsidR="00882CB9" w:rsidRPr="001C26EA">
        <w:rPr>
          <w:rFonts w:asciiTheme="minorHAnsi" w:hAnsiTheme="minorHAnsi" w:cstheme="minorHAnsi"/>
        </w:rPr>
        <w:t xml:space="preserve">ve výši </w:t>
      </w:r>
      <w:r w:rsidR="001C26EA" w:rsidRPr="001C26EA">
        <w:rPr>
          <w:rFonts w:asciiTheme="minorHAnsi" w:hAnsiTheme="minorHAnsi" w:cstheme="minorHAnsi"/>
          <w:b/>
        </w:rPr>
        <w:t>--</w:t>
      </w:r>
      <w:r w:rsidR="00882CB9" w:rsidRPr="001C26EA">
        <w:rPr>
          <w:rFonts w:asciiTheme="minorHAnsi" w:hAnsiTheme="minorHAnsi" w:cstheme="minorHAnsi"/>
          <w:b/>
        </w:rPr>
        <w:t>,- Kč</w:t>
      </w:r>
      <w:r w:rsidR="00CA33B9" w:rsidRPr="001C26EA">
        <w:rPr>
          <w:rFonts w:asciiTheme="minorHAnsi" w:hAnsiTheme="minorHAnsi" w:cstheme="minorHAnsi"/>
        </w:rPr>
        <w:t xml:space="preserve"> bez DPH</w:t>
      </w:r>
      <w:r w:rsidR="00882CB9" w:rsidRPr="001C26EA">
        <w:rPr>
          <w:rFonts w:asciiTheme="minorHAnsi" w:hAnsiTheme="minorHAnsi" w:cstheme="minorHAnsi"/>
        </w:rPr>
        <w:t>.</w:t>
      </w:r>
      <w:bookmarkEnd w:id="4"/>
      <w:r w:rsidR="007B4737" w:rsidRPr="001C26EA">
        <w:rPr>
          <w:rFonts w:asciiTheme="minorHAnsi" w:hAnsiTheme="minorHAnsi" w:cstheme="minorHAnsi"/>
        </w:rPr>
        <w:t xml:space="preserve"> </w:t>
      </w:r>
      <w:bookmarkStart w:id="7" w:name="_Hlk516656321"/>
      <w:bookmarkEnd w:id="6"/>
    </w:p>
    <w:bookmarkEnd w:id="5"/>
    <w:bookmarkEnd w:id="7"/>
    <w:p w14:paraId="100F86C8" w14:textId="6E64954D" w:rsidR="008D44B7" w:rsidRPr="001C26EA" w:rsidRDefault="008D44B7" w:rsidP="008D44B7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1C26EA">
        <w:rPr>
          <w:rFonts w:asciiTheme="minorHAnsi" w:hAnsiTheme="minorHAnsi" w:cstheme="minorHAnsi"/>
        </w:rPr>
        <w:t>Odběratel se zavazuje finanční plnění specifik</w:t>
      </w:r>
      <w:r w:rsidR="00202FDA" w:rsidRPr="001C26EA">
        <w:rPr>
          <w:rFonts w:asciiTheme="minorHAnsi" w:hAnsiTheme="minorHAnsi" w:cstheme="minorHAnsi"/>
        </w:rPr>
        <w:t>ovan</w:t>
      </w:r>
      <w:r w:rsidR="004D56B6" w:rsidRPr="001C26EA">
        <w:rPr>
          <w:rFonts w:asciiTheme="minorHAnsi" w:hAnsiTheme="minorHAnsi" w:cstheme="minorHAnsi"/>
        </w:rPr>
        <w:t>é</w:t>
      </w:r>
      <w:r w:rsidR="00202FDA" w:rsidRPr="001C26EA">
        <w:rPr>
          <w:rFonts w:asciiTheme="minorHAnsi" w:hAnsiTheme="minorHAnsi" w:cstheme="minorHAnsi"/>
        </w:rPr>
        <w:t xml:space="preserve"> v odstavc</w:t>
      </w:r>
      <w:r w:rsidR="004D56B6" w:rsidRPr="001C26EA">
        <w:rPr>
          <w:rFonts w:asciiTheme="minorHAnsi" w:hAnsiTheme="minorHAnsi" w:cstheme="minorHAnsi"/>
        </w:rPr>
        <w:t>i</w:t>
      </w:r>
      <w:r w:rsidR="00202FDA" w:rsidRPr="001C26EA">
        <w:rPr>
          <w:rFonts w:asciiTheme="minorHAnsi" w:hAnsiTheme="minorHAnsi" w:cstheme="minorHAnsi"/>
        </w:rPr>
        <w:t xml:space="preserve"> </w:t>
      </w:r>
      <w:r w:rsidR="0095329C" w:rsidRPr="001C26EA">
        <w:rPr>
          <w:rFonts w:asciiTheme="minorHAnsi" w:hAnsiTheme="minorHAnsi" w:cstheme="minorHAnsi"/>
        </w:rPr>
        <w:t xml:space="preserve">3.1 </w:t>
      </w:r>
      <w:r w:rsidRPr="001C26EA">
        <w:rPr>
          <w:rFonts w:asciiTheme="minorHAnsi" w:hAnsiTheme="minorHAnsi" w:cstheme="minorHAnsi"/>
        </w:rPr>
        <w:t>uhradit bezhotovostním převodem na základě daňov</w:t>
      </w:r>
      <w:r w:rsidR="004D56B6" w:rsidRPr="001C26EA">
        <w:rPr>
          <w:rFonts w:asciiTheme="minorHAnsi" w:hAnsiTheme="minorHAnsi" w:cstheme="minorHAnsi"/>
        </w:rPr>
        <w:t>ého</w:t>
      </w:r>
      <w:r w:rsidRPr="001C26EA">
        <w:rPr>
          <w:rFonts w:asciiTheme="minorHAnsi" w:hAnsiTheme="minorHAnsi" w:cstheme="minorHAnsi"/>
        </w:rPr>
        <w:t xml:space="preserve"> doklad</w:t>
      </w:r>
      <w:r w:rsidR="004D56B6" w:rsidRPr="001C26EA">
        <w:rPr>
          <w:rFonts w:asciiTheme="minorHAnsi" w:hAnsiTheme="minorHAnsi" w:cstheme="minorHAnsi"/>
        </w:rPr>
        <w:t>u</w:t>
      </w:r>
      <w:r w:rsidRPr="001C26EA">
        <w:rPr>
          <w:rFonts w:asciiTheme="minorHAnsi" w:hAnsiTheme="minorHAnsi" w:cstheme="minorHAnsi"/>
        </w:rPr>
        <w:t xml:space="preserve"> (faktur</w:t>
      </w:r>
      <w:r w:rsidR="00C31084" w:rsidRPr="001C26EA">
        <w:rPr>
          <w:rFonts w:asciiTheme="minorHAnsi" w:hAnsiTheme="minorHAnsi" w:cstheme="minorHAnsi"/>
        </w:rPr>
        <w:t>y</w:t>
      </w:r>
      <w:r w:rsidRPr="001C26EA">
        <w:rPr>
          <w:rFonts w:asciiTheme="minorHAnsi" w:hAnsiTheme="minorHAnsi" w:cstheme="minorHAnsi"/>
        </w:rPr>
        <w:t>) vystaven</w:t>
      </w:r>
      <w:r w:rsidR="00C31084" w:rsidRPr="001C26EA">
        <w:rPr>
          <w:rFonts w:asciiTheme="minorHAnsi" w:hAnsiTheme="minorHAnsi" w:cstheme="minorHAnsi"/>
        </w:rPr>
        <w:t>ého Dodavatelem ke dni podpisu této dohody a v</w:t>
      </w:r>
      <w:r w:rsidRPr="001C26EA">
        <w:rPr>
          <w:rFonts w:asciiTheme="minorHAnsi" w:hAnsiTheme="minorHAnsi" w:cstheme="minorHAnsi"/>
        </w:rPr>
        <w:t>e splatnosti, která bude stanovena na příslušné faktuře.</w:t>
      </w:r>
      <w:r w:rsidR="0034199F" w:rsidRPr="001C26EA">
        <w:rPr>
          <w:rFonts w:asciiTheme="minorHAnsi" w:hAnsiTheme="minorHAnsi" w:cstheme="minorHAnsi"/>
        </w:rPr>
        <w:t xml:space="preserve"> Všechny uvedené částky budou navýšeny o zákonnou sazbu DPH.</w:t>
      </w:r>
    </w:p>
    <w:p w14:paraId="24A16DCC" w14:textId="54F990D6" w:rsidR="00307179" w:rsidRPr="001C26EA" w:rsidRDefault="00307179" w:rsidP="00307179">
      <w:pPr>
        <w:pStyle w:val="Nadpis2"/>
        <w:spacing w:after="120"/>
      </w:pPr>
      <w:r w:rsidRPr="001C26EA">
        <w:t>Odběratel nesouhlasí se zasíláním daňových dokladů elektronickou formou na email</w:t>
      </w:r>
      <w:r w:rsidR="001C26EA" w:rsidRPr="001C26EA">
        <w:t>.</w:t>
      </w:r>
    </w:p>
    <w:p w14:paraId="3EB26A64" w14:textId="10E049B2" w:rsidR="00B459B7" w:rsidRPr="00CF2858" w:rsidRDefault="00B459B7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375C1EE5" w14:textId="51D1BA7D" w:rsidR="00672210" w:rsidRPr="00CF2858" w:rsidRDefault="009E0937" w:rsidP="00672210">
      <w:pPr>
        <w:pStyle w:val="Nadpis1"/>
      </w:pPr>
      <w:r w:rsidRPr="00CF2858">
        <w:t xml:space="preserve"> </w:t>
      </w:r>
      <w:r w:rsidR="00672210">
        <w:t>P</w:t>
      </w:r>
      <w:r w:rsidR="00672210" w:rsidRPr="00CF2858">
        <w:t>ráva a povinnosti smluvních stran</w:t>
      </w:r>
    </w:p>
    <w:p w14:paraId="2405C645" w14:textId="77777777" w:rsidR="00672210" w:rsidRPr="00CF2858" w:rsidRDefault="00672210" w:rsidP="00672210">
      <w:pPr>
        <w:spacing w:after="120"/>
        <w:rPr>
          <w:rFonts w:asciiTheme="minorHAnsi" w:hAnsiTheme="minorHAnsi" w:cstheme="minorHAnsi"/>
        </w:rPr>
      </w:pPr>
      <w:r w:rsidRPr="00CF2858">
        <w:rPr>
          <w:rFonts w:asciiTheme="minorHAnsi" w:hAnsiTheme="minorHAnsi" w:cstheme="minorHAnsi"/>
        </w:rPr>
        <w:t>Smluvní strany si sjednávají následující podmínky poskytnutí a užívání testovacího prostředí:</w:t>
      </w:r>
    </w:p>
    <w:p w14:paraId="276FF31B" w14:textId="77777777" w:rsidR="00672210" w:rsidRPr="00CF2858" w:rsidRDefault="00672210" w:rsidP="00672210">
      <w:pPr>
        <w:pStyle w:val="Nadpis2"/>
      </w:pPr>
      <w:r w:rsidRPr="00CF2858">
        <w:t>Dodavatel poskytuje Odběrateli testovací prostředí výhradně za účelem:</w:t>
      </w:r>
    </w:p>
    <w:p w14:paraId="0CCE0E9B" w14:textId="77777777" w:rsidR="00672210" w:rsidRPr="00CF2858" w:rsidRDefault="00672210" w:rsidP="00672210">
      <w:pPr>
        <w:pStyle w:val="Nadpis3"/>
      </w:pPr>
      <w:r w:rsidRPr="00CF2858">
        <w:t xml:space="preserve">Vyzkoušení/otestování procesu migrace na iNUVIO a výsledku migrace (tedy vč. následné kontroly veškerých operací, jejich funkčnosti a proveditelnosti), a to zejména s ohledem na tzv. externí akce (již realizované dovývoje/úpravy dle požadavků Odběratele). </w:t>
      </w:r>
    </w:p>
    <w:p w14:paraId="581301D6" w14:textId="77777777" w:rsidR="00672210" w:rsidRPr="00CF2858" w:rsidRDefault="00672210" w:rsidP="00672210">
      <w:pPr>
        <w:pStyle w:val="Nadpis3"/>
        <w:numPr>
          <w:ilvl w:val="0"/>
          <w:numId w:val="0"/>
        </w:numPr>
        <w:ind w:left="1418"/>
        <w:rPr>
          <w:b/>
        </w:rPr>
      </w:pPr>
      <w:r w:rsidRPr="00CF2858">
        <w:rPr>
          <w:b/>
        </w:rPr>
        <w:t>Dodavatel Odběrateli důrazně doporučuje toto testování provést.</w:t>
      </w:r>
    </w:p>
    <w:p w14:paraId="6C3A4B0D" w14:textId="77777777" w:rsidR="00672210" w:rsidRPr="00CF2858" w:rsidRDefault="00672210" w:rsidP="00672210">
      <w:pPr>
        <w:pStyle w:val="Nadpis3"/>
      </w:pPr>
      <w:r w:rsidRPr="00CF2858">
        <w:t xml:space="preserve">Seznámení Odběratele s novým uživatelským prostředím. </w:t>
      </w:r>
    </w:p>
    <w:p w14:paraId="135E2989" w14:textId="0359C573" w:rsidR="00672210" w:rsidRPr="00CF2858" w:rsidRDefault="00672210" w:rsidP="00657967">
      <w:pPr>
        <w:pStyle w:val="Nadpis2"/>
      </w:pPr>
      <w:r w:rsidRPr="00CF2858">
        <w:t>Pokud se v </w:t>
      </w:r>
      <w:r w:rsidR="0095329C">
        <w:t xml:space="preserve">průběhu testování vyskytne Vada, </w:t>
      </w:r>
      <w:r w:rsidRPr="00CF2858">
        <w:t>je Odběratel povinen Dodavatele o tomto prokazatelně informovat, a to nejpozději do pěti (5) kalendářních dnů ode dne zjištění Vady.</w:t>
      </w:r>
    </w:p>
    <w:p w14:paraId="1669B137" w14:textId="13A50DF4" w:rsidR="00457ABB" w:rsidRDefault="00457ABB" w:rsidP="00657967">
      <w:pPr>
        <w:pStyle w:val="Nadpis2"/>
        <w:numPr>
          <w:ilvl w:val="0"/>
          <w:numId w:val="0"/>
        </w:numPr>
        <w:ind w:left="540"/>
      </w:pPr>
      <w:r>
        <w:t xml:space="preserve">Pro vyloučení pochybností smluvní strany konstatují, že: </w:t>
      </w:r>
    </w:p>
    <w:p w14:paraId="37B44184" w14:textId="77777777" w:rsidR="00457ABB" w:rsidRDefault="00457ABB" w:rsidP="00457ABB">
      <w:pPr>
        <w:pStyle w:val="Nadpis3"/>
      </w:pPr>
      <w:r>
        <w:t>Dodavatel není povinen řešit Vady v poskytnutém testovacím prostředí.</w:t>
      </w:r>
      <w:r w:rsidR="00672210" w:rsidRPr="00CF2858">
        <w:t> </w:t>
      </w:r>
    </w:p>
    <w:p w14:paraId="08605C73" w14:textId="158C53CE" w:rsidR="00457ABB" w:rsidRDefault="00C13272" w:rsidP="00457ABB">
      <w:pPr>
        <w:pStyle w:val="Nadpis3"/>
      </w:pPr>
      <w:r>
        <w:t>v</w:t>
      </w:r>
      <w:r w:rsidR="00457ABB">
        <w:t xml:space="preserve"> </w:t>
      </w:r>
      <w:r w:rsidR="00672210" w:rsidRPr="00CF2858">
        <w:t>případě, že se vyskytnutá Vada týká části APV HELIOS, která nespadá pod pravidelnou paušální platbu Maintenance (typicky se může jednat o některé externí akce), je</w:t>
      </w:r>
      <w:r w:rsidR="00457ABB">
        <w:t xml:space="preserve"> následné</w:t>
      </w:r>
      <w:r w:rsidR="00672210" w:rsidRPr="00CF2858">
        <w:t xml:space="preserve"> řešení těchto Vad </w:t>
      </w:r>
      <w:r w:rsidR="00457ABB">
        <w:t xml:space="preserve">v iNUVIO </w:t>
      </w:r>
      <w:r w:rsidR="00672210" w:rsidRPr="00CF2858">
        <w:t>Dodavatelem zpoplatněno, a to dle platného ceníku služeb</w:t>
      </w:r>
      <w:r w:rsidR="00FD3A27">
        <w:t xml:space="preserve">, jenž je specifikován </w:t>
      </w:r>
      <w:r w:rsidR="00E90A58">
        <w:t>ve smlouvě (ve znění jejích dodatků) uvedené v odst. 1.1. této dohody.</w:t>
      </w:r>
    </w:p>
    <w:p w14:paraId="37AD4513" w14:textId="77777777" w:rsidR="00672210" w:rsidRPr="00513309" w:rsidRDefault="00672210" w:rsidP="00FD3A27">
      <w:pPr>
        <w:pStyle w:val="Nadpis2"/>
      </w:pPr>
      <w:r w:rsidRPr="00513309">
        <w:t>K Datu ukončení testovacího provozu pozbývá Odběratel právo k užití testovacího prostředí. Odběratel je povinen zajistit, aby již po tomto datu testovací prostředí nevyužíval.</w:t>
      </w:r>
    </w:p>
    <w:p w14:paraId="0D3FB06A" w14:textId="4E0476F3" w:rsidR="00672210" w:rsidRPr="008708B7" w:rsidRDefault="00672210" w:rsidP="00FD3A27">
      <w:pPr>
        <w:pStyle w:val="Nadpis2"/>
        <w:numPr>
          <w:ilvl w:val="0"/>
          <w:numId w:val="0"/>
        </w:numPr>
        <w:ind w:left="540"/>
      </w:pPr>
      <w:r w:rsidRPr="008708B7">
        <w:t xml:space="preserve">Porušení tohoto ustanovení se považuje za podstatné porušení Smlouvy. V případě porušení tohoto ustanovení, na které byl Odběratel prokazatelně upozorněn a nezjednal nápravu ani v dodatečně poskytnuté lhůtě ne kratší než čtyři (4) pracovní dny ode dne upozornění, je Dodavatel oprávněn požadovat po Odběrateli </w:t>
      </w:r>
      <w:r w:rsidRPr="0095329C">
        <w:t xml:space="preserve">pokutu ve výši </w:t>
      </w:r>
      <w:r w:rsidR="001C26EA">
        <w:t xml:space="preserve">5 000,-Kč </w:t>
      </w:r>
      <w:r w:rsidR="00033776" w:rsidRPr="0095329C">
        <w:t>za každý započatý den po Datu ukončení testovacího provozu.</w:t>
      </w:r>
    </w:p>
    <w:p w14:paraId="5F5F830F" w14:textId="77777777" w:rsidR="00672210" w:rsidRPr="008708B7" w:rsidRDefault="00672210" w:rsidP="00FD3A27">
      <w:pPr>
        <w:pStyle w:val="Nadpis2"/>
        <w:numPr>
          <w:ilvl w:val="0"/>
          <w:numId w:val="0"/>
        </w:numPr>
        <w:ind w:left="540"/>
      </w:pPr>
      <w:r w:rsidRPr="008708B7">
        <w:t>Dodavatel je rovněž oprávněn podniknout kroky vedoucí k zamezení dalšího používání testovacího prostředí, např.:</w:t>
      </w:r>
      <w:bookmarkStart w:id="8" w:name="_GoBack"/>
      <w:bookmarkEnd w:id="8"/>
    </w:p>
    <w:p w14:paraId="6E33CB43" w14:textId="77777777" w:rsidR="00672210" w:rsidRPr="008708B7" w:rsidRDefault="00672210" w:rsidP="00672210">
      <w:pPr>
        <w:pStyle w:val="Odstavecseseznamem"/>
        <w:numPr>
          <w:ilvl w:val="0"/>
          <w:numId w:val="23"/>
        </w:numPr>
        <w:spacing w:after="120" w:line="240" w:lineRule="auto"/>
        <w:contextualSpacing w:val="0"/>
      </w:pPr>
      <w:r>
        <w:lastRenderedPageBreak/>
        <w:t>t</w:t>
      </w:r>
      <w:r w:rsidRPr="008708B7">
        <w:t>estovací prostředí odinstalovat, a to k </w:t>
      </w:r>
      <w:r>
        <w:t>Datu ukončení testovacího provozu</w:t>
      </w:r>
      <w:r w:rsidRPr="008708B7">
        <w:t xml:space="preserve"> nebo v následujícím období dle časových a organizačních možností Dodavatele. Odběratel se zavazuje poskytnout za tímto účelem Dodavateli veškerou součinnost.</w:t>
      </w:r>
    </w:p>
    <w:p w14:paraId="5409A9FF" w14:textId="77777777" w:rsidR="00672210" w:rsidRPr="008708B7" w:rsidRDefault="00672210" w:rsidP="00672210">
      <w:pPr>
        <w:pStyle w:val="Odstavecseseznamem"/>
        <w:spacing w:after="120"/>
        <w:ind w:left="1440"/>
      </w:pPr>
      <w:r w:rsidRPr="008708B7">
        <w:t>Odběratel bere na vědomí, že odinstalováním testovacího prostředí dojde ke ztrátě veškerých dat v něm uložených. Dodavatel nemá povinnost vytvořit zálohu dat.</w:t>
      </w:r>
    </w:p>
    <w:p w14:paraId="11CB81C4" w14:textId="77777777" w:rsidR="00672210" w:rsidRPr="0095329C" w:rsidRDefault="00672210" w:rsidP="00672210">
      <w:pPr>
        <w:pStyle w:val="Odstavecseseznamem"/>
        <w:numPr>
          <w:ilvl w:val="0"/>
          <w:numId w:val="23"/>
        </w:numPr>
        <w:spacing w:after="120" w:line="240" w:lineRule="auto"/>
        <w:contextualSpacing w:val="0"/>
      </w:pPr>
      <w:r w:rsidRPr="0095329C">
        <w:t>nastavit pro testovací prostředí časové omezení.</w:t>
      </w:r>
    </w:p>
    <w:p w14:paraId="473E05C8" w14:textId="77777777" w:rsidR="00672210" w:rsidRPr="00CF2858" w:rsidRDefault="00672210" w:rsidP="00FD3A27">
      <w:pPr>
        <w:pStyle w:val="Nadpis2"/>
      </w:pPr>
      <w:r w:rsidRPr="00CF2858">
        <w:t xml:space="preserve">Odběratel je povinen Dodavatele bez zbytečného odkladu informovat v případě, že nestihl (případně je zřejmé, že nestihne) provést kompletní testování do sjednaného Data ukončení testovacího provozu. </w:t>
      </w:r>
    </w:p>
    <w:p w14:paraId="194C798C" w14:textId="557E7E37" w:rsidR="009E0937" w:rsidRPr="00CF2858" w:rsidRDefault="00672210" w:rsidP="00B87415">
      <w:pPr>
        <w:pStyle w:val="Nadpis2"/>
        <w:ind w:left="540" w:hanging="540"/>
      </w:pPr>
      <w:r w:rsidRPr="006D553E">
        <w:t xml:space="preserve">Dodavatel není povinen prodloužit termín Data ukončení testovacího provozu. </w:t>
      </w:r>
    </w:p>
    <w:p w14:paraId="0777E1D9" w14:textId="77777777" w:rsidR="009E0937" w:rsidRPr="00CF2858" w:rsidRDefault="009E0937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5DA85FF5" w14:textId="77777777" w:rsidR="00E92393" w:rsidRPr="00CF2858" w:rsidRDefault="00E92393" w:rsidP="00D73563">
      <w:pPr>
        <w:pStyle w:val="Nadpis1"/>
        <w:rPr>
          <w:bCs/>
        </w:rPr>
      </w:pPr>
      <w:r w:rsidRPr="00CF2858">
        <w:t>Závěrečná ustanovení</w:t>
      </w:r>
    </w:p>
    <w:p w14:paraId="7A58703C" w14:textId="24540BD0" w:rsidR="00CB4482" w:rsidRPr="00F41767" w:rsidRDefault="00CB4482" w:rsidP="00CB4482">
      <w:pPr>
        <w:pStyle w:val="Nadpis2"/>
      </w:pPr>
      <w:r w:rsidRPr="00F41767">
        <w:t xml:space="preserve">Smluvní strany činí nesporným, že jakékoli změny či doplnění této </w:t>
      </w:r>
      <w:r>
        <w:t>dohody</w:t>
      </w:r>
      <w:r w:rsidRPr="00F41767">
        <w:t xml:space="preserve"> mohou být provedeny pouze po vzájemném projednání formou písemných číslovaných dodatků signovaných smluvními stranami.</w:t>
      </w:r>
    </w:p>
    <w:p w14:paraId="2DD6B56B" w14:textId="24A2108D" w:rsidR="00CB4482" w:rsidRPr="00CB4482" w:rsidRDefault="00CB4482" w:rsidP="00CB4482">
      <w:pPr>
        <w:pStyle w:val="Nadpis2"/>
        <w:rPr>
          <w:rStyle w:val="Hypertextovodkaz"/>
          <w:rFonts w:asciiTheme="minorHAnsi" w:hAnsiTheme="minorHAnsi"/>
          <w:color w:val="auto"/>
        </w:rPr>
      </w:pPr>
      <w:r w:rsidRPr="00CB4482">
        <w:t xml:space="preserve">Vše, co není upraveno v této dohodě, se řídí nejaktuálnějším zněním Všeobecných obchodních podmínek Dodavatele (dále jen „VOP“) platným v době uzavření této </w:t>
      </w:r>
      <w:r>
        <w:t>dohody</w:t>
      </w:r>
      <w:r w:rsidRPr="00CB4482">
        <w:t xml:space="preserve">, jež je dostupné ve veřejně přístupné části webových stránek Dodavatele (na </w:t>
      </w:r>
      <w:hyperlink r:id="rId8" w:history="1">
        <w:r w:rsidRPr="00CB4482">
          <w:rPr>
            <w:rStyle w:val="Hypertextovodkaz"/>
            <w:rFonts w:asciiTheme="minorHAnsi" w:hAnsiTheme="minorHAnsi"/>
            <w:color w:val="00B0F0"/>
          </w:rPr>
          <w:t>www.helios.eu</w:t>
        </w:r>
      </w:hyperlink>
      <w:r w:rsidRPr="00CB4482">
        <w:rPr>
          <w:rStyle w:val="Hypertextovodkaz"/>
          <w:rFonts w:asciiTheme="minorHAnsi" w:hAnsiTheme="minorHAnsi"/>
          <w:color w:val="auto"/>
        </w:rPr>
        <w:t>).</w:t>
      </w:r>
    </w:p>
    <w:p w14:paraId="20FA9B05" w14:textId="3185117F" w:rsidR="00CB4482" w:rsidRPr="00F41767" w:rsidRDefault="00CB4482" w:rsidP="00CB4482">
      <w:pPr>
        <w:pStyle w:val="Nadpis2"/>
      </w:pPr>
      <w:r w:rsidRPr="00F41767">
        <w:t xml:space="preserve">V případě rozporu mezi zněním této </w:t>
      </w:r>
      <w:r>
        <w:t>dohody</w:t>
      </w:r>
      <w:r w:rsidRPr="00F41767">
        <w:t xml:space="preserve"> a Všeobecných obchodních podmínek platí ustanovení této </w:t>
      </w:r>
      <w:r>
        <w:t>dohody</w:t>
      </w:r>
      <w:r w:rsidRPr="00F41767">
        <w:t>.</w:t>
      </w:r>
    </w:p>
    <w:p w14:paraId="4919DDCA" w14:textId="5F2E3B34" w:rsidR="00CB4482" w:rsidRPr="00C10090" w:rsidRDefault="00CB4482" w:rsidP="00CB4482">
      <w:pPr>
        <w:pStyle w:val="Nadpis2"/>
      </w:pPr>
      <w:r w:rsidRPr="00C10090">
        <w:t>Tato dohoda nabývá své platnosti a účinnosti dnem podpisu oběma smluvními stranami a se uzavírá na dobu určitou, a sice do Data ukončení testovacího provozu</w:t>
      </w:r>
      <w:r w:rsidR="00C10090">
        <w:t xml:space="preserve">. Relevantní ustanovení zůstávají v platnosti i po ukončení této dohody, zejména ustanovení odst. </w:t>
      </w:r>
      <w:r w:rsidR="000C6BE0">
        <w:t>4.3.</w:t>
      </w:r>
    </w:p>
    <w:p w14:paraId="005E7976" w14:textId="06DDD18D" w:rsidR="00CB4482" w:rsidRPr="00F41767" w:rsidRDefault="00CB4482" w:rsidP="00CB4482">
      <w:pPr>
        <w:pStyle w:val="Nadpis2"/>
      </w:pPr>
      <w:r w:rsidRPr="00F41767">
        <w:t xml:space="preserve">Tato </w:t>
      </w:r>
      <w:r>
        <w:t>dohoda</w:t>
      </w:r>
      <w:r w:rsidRPr="00F41767">
        <w:t xml:space="preserve"> se vyhot</w:t>
      </w:r>
      <w:r w:rsidRPr="001C26EA">
        <w:t>ovuje ve dvou exemplářích, z nichž každá smluvní strana obdrží po jednom vyhotovení.</w:t>
      </w:r>
    </w:p>
    <w:p w14:paraId="436646A2" w14:textId="5BA5E28B" w:rsidR="00CB4482" w:rsidRPr="00F41767" w:rsidRDefault="00CB4482" w:rsidP="00CB4482">
      <w:pPr>
        <w:pStyle w:val="Nadpis2"/>
      </w:pPr>
      <w:r w:rsidRPr="00F41767">
        <w:t xml:space="preserve">Smluvní strany prohlašují a svým vlastnoručním podpisem stvrzují, že si celou tuto </w:t>
      </w:r>
      <w:r>
        <w:t>dohodu</w:t>
      </w:r>
      <w:r w:rsidRPr="00F41767">
        <w:t xml:space="preserve"> před jejím podpisem řádně přečetly, jejímu obsahu rozumí a na důkaz správnosti shora uvedeného a své pravé, svobodné a vážné vůle připojují své vlastnoruční podpisy.</w:t>
      </w:r>
    </w:p>
    <w:p w14:paraId="47E6BFC9" w14:textId="77777777" w:rsidR="00CB4482" w:rsidRPr="00CF2858" w:rsidRDefault="00CB4482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CF2858" w14:paraId="66C1DD4B" w14:textId="77777777" w:rsidTr="002B0AD2">
        <w:tc>
          <w:tcPr>
            <w:tcW w:w="4860" w:type="dxa"/>
          </w:tcPr>
          <w:p w14:paraId="76B41FCC" w14:textId="6FE92748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CF2858">
              <w:rPr>
                <w:rFonts w:asciiTheme="minorHAnsi" w:hAnsiTheme="minorHAnsi" w:cstheme="minorHAnsi"/>
              </w:rPr>
              <w:t xml:space="preserve">V Praze dne </w:t>
            </w:r>
            <w:r w:rsidR="00EC25EA" w:rsidRPr="00F0637B">
              <w:rPr>
                <w:rFonts w:cs="Arial"/>
              </w:rPr>
              <w:t>23.7.2019</w:t>
            </w:r>
          </w:p>
          <w:p w14:paraId="3FE85B65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007083C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CF2858">
              <w:rPr>
                <w:rFonts w:asciiTheme="minorHAnsi" w:hAnsiTheme="minorHAnsi" w:cstheme="minorHAnsi"/>
              </w:rPr>
              <w:t>Za Asseco Solutions, a.s.</w:t>
            </w:r>
          </w:p>
          <w:p w14:paraId="38D3B7C5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D3DCF78" w14:textId="77777777" w:rsidR="00E92393" w:rsidRPr="000B647E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4CEC56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D136C7F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D360208" w14:textId="77777777" w:rsidR="00E92393" w:rsidRPr="00CF2858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CF285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6D19572" w14:textId="77777777" w:rsidR="00BD2326" w:rsidRDefault="00BD2326" w:rsidP="00BD2326">
            <w:pPr>
              <w:widowControl w:val="0"/>
              <w:tabs>
                <w:tab w:val="center" w:pos="2552"/>
                <w:tab w:val="center" w:pos="6804"/>
              </w:tabs>
            </w:pPr>
            <w:r>
              <w:t xml:space="preserve">Ing. Petr Hampl </w:t>
            </w:r>
          </w:p>
          <w:p w14:paraId="3C615EF2" w14:textId="0C0CE518" w:rsidR="00E92393" w:rsidRPr="00BD2326" w:rsidRDefault="00BD2326" w:rsidP="00BD2326">
            <w:r>
              <w:t>člen představenstva</w:t>
            </w:r>
          </w:p>
        </w:tc>
        <w:tc>
          <w:tcPr>
            <w:tcW w:w="4860" w:type="dxa"/>
          </w:tcPr>
          <w:p w14:paraId="7E8445D9" w14:textId="416C577C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CF2858">
              <w:rPr>
                <w:rFonts w:asciiTheme="minorHAnsi" w:hAnsiTheme="minorHAnsi" w:cstheme="minorHAnsi"/>
              </w:rPr>
              <w:t xml:space="preserve">V </w:t>
            </w:r>
            <w:r w:rsidR="001C26EA" w:rsidRPr="00CF2858">
              <w:rPr>
                <w:rFonts w:asciiTheme="minorHAnsi" w:hAnsiTheme="minorHAnsi" w:cstheme="minorHAnsi"/>
              </w:rPr>
              <w:t xml:space="preserve">Praze dne </w:t>
            </w:r>
            <w:r w:rsidR="00EC25EA" w:rsidRPr="00F0637B">
              <w:rPr>
                <w:rFonts w:cs="Arial"/>
              </w:rPr>
              <w:t>23.7.2019</w:t>
            </w:r>
          </w:p>
          <w:p w14:paraId="3365D180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6422DBC9" w14:textId="768A93C7" w:rsidR="00E92393" w:rsidRPr="00CF2858" w:rsidRDefault="00E92393" w:rsidP="002B0AD2">
            <w:pPr>
              <w:tabs>
                <w:tab w:val="center" w:pos="4535"/>
              </w:tabs>
              <w:rPr>
                <w:rFonts w:asciiTheme="minorHAnsi" w:hAnsiTheme="minorHAnsi" w:cstheme="minorHAnsi"/>
                <w:highlight w:val="yellow"/>
              </w:rPr>
            </w:pPr>
            <w:r w:rsidRPr="001C26EA">
              <w:rPr>
                <w:rFonts w:asciiTheme="minorHAnsi" w:hAnsiTheme="minorHAnsi" w:cstheme="minorHAnsi"/>
              </w:rPr>
              <w:t xml:space="preserve">Za </w:t>
            </w:r>
            <w:r w:rsidR="00EC25EA" w:rsidRPr="00F0637B">
              <w:t>Centrum pro regionální rozvoj České republiky</w:t>
            </w:r>
          </w:p>
          <w:p w14:paraId="2856A861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F865C78" w14:textId="77777777" w:rsidR="00E92393" w:rsidRPr="000B647E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962929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BB5BAE6" w14:textId="77777777" w:rsidR="00E92393" w:rsidRPr="00CF285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5CFDB74" w14:textId="77777777" w:rsidR="007D6D29" w:rsidRPr="00CF2858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CF285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7A0EED49" w14:textId="77777777" w:rsidR="00EC25EA" w:rsidRPr="00F0637B" w:rsidRDefault="00EC25EA" w:rsidP="00EC25EA">
            <w:pPr>
              <w:widowControl w:val="0"/>
              <w:tabs>
                <w:tab w:val="center" w:pos="2552"/>
                <w:tab w:val="center" w:pos="6804"/>
              </w:tabs>
            </w:pPr>
            <w:r w:rsidRPr="00F0637B">
              <w:t>Ing. Zdeněk Vašák</w:t>
            </w:r>
          </w:p>
          <w:p w14:paraId="7ADC0BE9" w14:textId="29B20C6C" w:rsidR="007D6D29" w:rsidRPr="00CF2858" w:rsidRDefault="00EC25EA" w:rsidP="00EC25EA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F0637B">
              <w:t>generální ředitel organizace</w:t>
            </w:r>
          </w:p>
        </w:tc>
      </w:tr>
    </w:tbl>
    <w:p w14:paraId="0F380FD3" w14:textId="17CBF76B" w:rsidR="002F384E" w:rsidRPr="00CF2858" w:rsidRDefault="002F384E" w:rsidP="000B647E">
      <w:pPr>
        <w:rPr>
          <w:rFonts w:asciiTheme="minorHAnsi" w:hAnsiTheme="minorHAnsi" w:cstheme="minorHAnsi"/>
        </w:rPr>
      </w:pPr>
    </w:p>
    <w:sectPr w:rsidR="002F384E" w:rsidRPr="00CF2858" w:rsidSect="000B647E">
      <w:headerReference w:type="default" r:id="rId9"/>
      <w:footerReference w:type="default" r:id="rId10"/>
      <w:pgSz w:w="11906" w:h="16838" w:code="9"/>
      <w:pgMar w:top="2268" w:right="1247" w:bottom="1247" w:left="124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6675" w14:textId="77777777" w:rsidR="00462E73" w:rsidRDefault="00462E73">
      <w:r>
        <w:separator/>
      </w:r>
    </w:p>
  </w:endnote>
  <w:endnote w:type="continuationSeparator" w:id="0">
    <w:p w14:paraId="0F8EA635" w14:textId="77777777" w:rsidR="00462E73" w:rsidRDefault="004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4D5B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6C8A4419" w14:textId="77777777" w:rsidTr="006C2713">
      <w:trPr>
        <w:trHeight w:val="80"/>
      </w:trPr>
      <w:tc>
        <w:tcPr>
          <w:tcW w:w="5281" w:type="dxa"/>
          <w:gridSpan w:val="2"/>
        </w:tcPr>
        <w:p w14:paraId="7589673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74229117" w14:textId="77777777" w:rsidR="00754D4B" w:rsidRPr="00754D4B" w:rsidRDefault="00754D4B" w:rsidP="00450F37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6D2508ED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39AE3DEB" w14:textId="6C689D89" w:rsidR="00754D4B" w:rsidRPr="00754D4B" w:rsidRDefault="00754D4B" w:rsidP="00450F37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</w:p>
      </w:tc>
    </w:tr>
    <w:tr w:rsidR="00754D4B" w:rsidRPr="00754D4B" w14:paraId="283BA92A" w14:textId="77777777" w:rsidTr="006C2713">
      <w:tc>
        <w:tcPr>
          <w:tcW w:w="5281" w:type="dxa"/>
          <w:gridSpan w:val="2"/>
        </w:tcPr>
        <w:p w14:paraId="0F636A3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73EEB8FD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75B7EDFA" w14:textId="77777777" w:rsidTr="006C2713">
      <w:trPr>
        <w:trHeight w:val="185"/>
      </w:trPr>
      <w:tc>
        <w:tcPr>
          <w:tcW w:w="3832" w:type="dxa"/>
        </w:tcPr>
        <w:p w14:paraId="13D56F6D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7E2060CA" w14:textId="7F62CCBF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0F37">
            <w:rPr>
              <w:noProof/>
              <w:sz w:val="16"/>
              <w:szCs w:val="16"/>
            </w:rPr>
            <w:t>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0F37">
            <w:rPr>
              <w:noProof/>
              <w:sz w:val="16"/>
              <w:szCs w:val="16"/>
            </w:rPr>
            <w:t>3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B2E2E6D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2C317C9E" w14:textId="77777777" w:rsidR="004A0C7D" w:rsidRPr="00754D4B" w:rsidRDefault="004A0C7D" w:rsidP="00754D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21942" w14:textId="77777777" w:rsidR="00462E73" w:rsidRDefault="00462E73">
      <w:r>
        <w:separator/>
      </w:r>
    </w:p>
  </w:footnote>
  <w:footnote w:type="continuationSeparator" w:id="0">
    <w:p w14:paraId="05CCFD95" w14:textId="77777777" w:rsidR="00462E73" w:rsidRDefault="0046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53E9" w14:textId="77777777" w:rsidR="00754D4B" w:rsidRPr="00B84D10" w:rsidRDefault="00754D4B" w:rsidP="00754D4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6541AB" wp14:editId="38951251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C750F" wp14:editId="0F538CCE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AA8C" w14:textId="77777777" w:rsidR="00754D4B" w:rsidRPr="00127D40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127D40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3375185B" w14:textId="13F7631E" w:rsidR="003400B7" w:rsidRPr="00FA4861" w:rsidRDefault="004222CC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Dohoda o poskytnutí testovacího prostředí</w:t>
                          </w:r>
                          <w:r w:rsidR="00D3218E">
                            <w:rPr>
                              <w:i/>
                              <w:sz w:val="20"/>
                            </w:rPr>
                            <w:t xml:space="preserve"> k iNUVIO</w:t>
                          </w:r>
                        </w:p>
                        <w:p w14:paraId="2E341DD2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EC750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" stroked="f">
              <v:textbox inset="0,0,0,0">
                <w:txbxContent>
                  <w:p w14:paraId="44AEAA8C" w14:textId="77777777" w:rsidR="00754D4B" w:rsidRPr="00127D40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127D40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3375185B" w14:textId="13F7631E" w:rsidR="003400B7" w:rsidRPr="00FA4861" w:rsidRDefault="004222CC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Dohoda o poskytnutí testovacího prostředí</w:t>
                    </w:r>
                    <w:r w:rsidR="00D3218E">
                      <w:rPr>
                        <w:i/>
                        <w:sz w:val="20"/>
                      </w:rPr>
                      <w:t xml:space="preserve"> k </w:t>
                    </w:r>
                    <w:proofErr w:type="spellStart"/>
                    <w:r w:rsidR="00D3218E">
                      <w:rPr>
                        <w:i/>
                        <w:sz w:val="20"/>
                      </w:rPr>
                      <w:t>iNUVIO</w:t>
                    </w:r>
                    <w:proofErr w:type="spellEnd"/>
                  </w:p>
                  <w:p w14:paraId="2E341DD2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1501F47A" w14:textId="77777777" w:rsidR="00754D4B" w:rsidRPr="00EB7276" w:rsidRDefault="00754D4B" w:rsidP="00754D4B">
    <w:pPr>
      <w:pStyle w:val="Zhlav"/>
    </w:pPr>
  </w:p>
  <w:p w14:paraId="070CB634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761CC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00706DE5"/>
    <w:multiLevelType w:val="hybridMultilevel"/>
    <w:tmpl w:val="3DE62A8E"/>
    <w:lvl w:ilvl="0" w:tplc="1A02FD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1E1"/>
    <w:multiLevelType w:val="hybridMultilevel"/>
    <w:tmpl w:val="4FEA4EC6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9B3"/>
    <w:multiLevelType w:val="hybridMultilevel"/>
    <w:tmpl w:val="C8724A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1FB84062">
      <w:start w:val="1"/>
      <w:numFmt w:val="lowerLetter"/>
      <w:pStyle w:val="slovanseznam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808FA"/>
    <w:multiLevelType w:val="multilevel"/>
    <w:tmpl w:val="04050025"/>
    <w:numStyleLink w:val="Styl1"/>
  </w:abstractNum>
  <w:abstractNum w:abstractNumId="5" w15:restartNumberingAfterBreak="0">
    <w:nsid w:val="216D04DD"/>
    <w:multiLevelType w:val="hybridMultilevel"/>
    <w:tmpl w:val="A7DAF76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CD66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FA7A9B"/>
    <w:multiLevelType w:val="hybridMultilevel"/>
    <w:tmpl w:val="9E628460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212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0" w15:restartNumberingAfterBreak="0">
    <w:nsid w:val="496A35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C1604"/>
    <w:multiLevelType w:val="multilevel"/>
    <w:tmpl w:val="45DA346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CC1F25"/>
    <w:multiLevelType w:val="hybridMultilevel"/>
    <w:tmpl w:val="04A0E4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60CB9"/>
    <w:multiLevelType w:val="hybridMultilevel"/>
    <w:tmpl w:val="A7DAF76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EBC4F57"/>
    <w:multiLevelType w:val="multilevel"/>
    <w:tmpl w:val="C35C1D4E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11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3"/>
  </w:num>
  <w:num w:numId="12">
    <w:abstractNumId w:val="3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6"/>
  </w:num>
  <w:num w:numId="22">
    <w:abstractNumId w:val="5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D"/>
    <w:rsid w:val="00002C12"/>
    <w:rsid w:val="00011C06"/>
    <w:rsid w:val="00011D1E"/>
    <w:rsid w:val="0002140D"/>
    <w:rsid w:val="00022973"/>
    <w:rsid w:val="00023C6D"/>
    <w:rsid w:val="00024035"/>
    <w:rsid w:val="00026BC0"/>
    <w:rsid w:val="00027D7E"/>
    <w:rsid w:val="00030C87"/>
    <w:rsid w:val="00031A59"/>
    <w:rsid w:val="00033776"/>
    <w:rsid w:val="00045E70"/>
    <w:rsid w:val="00047A5E"/>
    <w:rsid w:val="000522DE"/>
    <w:rsid w:val="00054CE6"/>
    <w:rsid w:val="000552C9"/>
    <w:rsid w:val="00061490"/>
    <w:rsid w:val="00063261"/>
    <w:rsid w:val="00083054"/>
    <w:rsid w:val="00083146"/>
    <w:rsid w:val="00095E14"/>
    <w:rsid w:val="00097254"/>
    <w:rsid w:val="000A4738"/>
    <w:rsid w:val="000A4EE8"/>
    <w:rsid w:val="000A7723"/>
    <w:rsid w:val="000B647E"/>
    <w:rsid w:val="000C3921"/>
    <w:rsid w:val="000C6BE0"/>
    <w:rsid w:val="000D10BE"/>
    <w:rsid w:val="000D2710"/>
    <w:rsid w:val="000D6A96"/>
    <w:rsid w:val="000D7A4B"/>
    <w:rsid w:val="000E52F6"/>
    <w:rsid w:val="000F5A4D"/>
    <w:rsid w:val="00111434"/>
    <w:rsid w:val="00111E1C"/>
    <w:rsid w:val="00122FA3"/>
    <w:rsid w:val="00127D40"/>
    <w:rsid w:val="00131441"/>
    <w:rsid w:val="00175B6B"/>
    <w:rsid w:val="001763CB"/>
    <w:rsid w:val="00184698"/>
    <w:rsid w:val="0018489C"/>
    <w:rsid w:val="00186ACB"/>
    <w:rsid w:val="00191F40"/>
    <w:rsid w:val="001A4C71"/>
    <w:rsid w:val="001B01FC"/>
    <w:rsid w:val="001C1919"/>
    <w:rsid w:val="001C202D"/>
    <w:rsid w:val="001C26EA"/>
    <w:rsid w:val="001C2B9C"/>
    <w:rsid w:val="001D5F15"/>
    <w:rsid w:val="001F2C3D"/>
    <w:rsid w:val="00202FDA"/>
    <w:rsid w:val="0020527F"/>
    <w:rsid w:val="0020582C"/>
    <w:rsid w:val="00220543"/>
    <w:rsid w:val="00222812"/>
    <w:rsid w:val="00231520"/>
    <w:rsid w:val="002329EE"/>
    <w:rsid w:val="0023337E"/>
    <w:rsid w:val="0023702E"/>
    <w:rsid w:val="00241A67"/>
    <w:rsid w:val="00246536"/>
    <w:rsid w:val="0025614D"/>
    <w:rsid w:val="00267DEB"/>
    <w:rsid w:val="002778BB"/>
    <w:rsid w:val="00280B5E"/>
    <w:rsid w:val="0028233E"/>
    <w:rsid w:val="002A4266"/>
    <w:rsid w:val="002A70A1"/>
    <w:rsid w:val="002B0D80"/>
    <w:rsid w:val="002C0D6A"/>
    <w:rsid w:val="002C1291"/>
    <w:rsid w:val="002C3D28"/>
    <w:rsid w:val="002D7E8E"/>
    <w:rsid w:val="002F004A"/>
    <w:rsid w:val="002F384E"/>
    <w:rsid w:val="00307179"/>
    <w:rsid w:val="00322A16"/>
    <w:rsid w:val="00331D6E"/>
    <w:rsid w:val="003340B6"/>
    <w:rsid w:val="00334E47"/>
    <w:rsid w:val="003361CC"/>
    <w:rsid w:val="003400B7"/>
    <w:rsid w:val="0034199F"/>
    <w:rsid w:val="00343ECB"/>
    <w:rsid w:val="00344419"/>
    <w:rsid w:val="00356E86"/>
    <w:rsid w:val="0035737B"/>
    <w:rsid w:val="00366835"/>
    <w:rsid w:val="003677F6"/>
    <w:rsid w:val="00385211"/>
    <w:rsid w:val="003872AD"/>
    <w:rsid w:val="003A1DB0"/>
    <w:rsid w:val="003A693F"/>
    <w:rsid w:val="003A76C3"/>
    <w:rsid w:val="003B34CF"/>
    <w:rsid w:val="003B3AE1"/>
    <w:rsid w:val="003B4873"/>
    <w:rsid w:val="003B671E"/>
    <w:rsid w:val="003C18D5"/>
    <w:rsid w:val="003C33BD"/>
    <w:rsid w:val="003C48B6"/>
    <w:rsid w:val="003C5B54"/>
    <w:rsid w:val="003E3CD4"/>
    <w:rsid w:val="003F4952"/>
    <w:rsid w:val="003F592E"/>
    <w:rsid w:val="003F5C91"/>
    <w:rsid w:val="003F6648"/>
    <w:rsid w:val="0040454A"/>
    <w:rsid w:val="00411326"/>
    <w:rsid w:val="004222CC"/>
    <w:rsid w:val="00423FE0"/>
    <w:rsid w:val="0042548C"/>
    <w:rsid w:val="00430D0D"/>
    <w:rsid w:val="0043425F"/>
    <w:rsid w:val="00435BD8"/>
    <w:rsid w:val="00443E9A"/>
    <w:rsid w:val="00450F37"/>
    <w:rsid w:val="00451039"/>
    <w:rsid w:val="00451FB8"/>
    <w:rsid w:val="00452155"/>
    <w:rsid w:val="00457ABB"/>
    <w:rsid w:val="00462D3A"/>
    <w:rsid w:val="00462E73"/>
    <w:rsid w:val="0047022B"/>
    <w:rsid w:val="00481C29"/>
    <w:rsid w:val="00482B52"/>
    <w:rsid w:val="004938AE"/>
    <w:rsid w:val="004966C2"/>
    <w:rsid w:val="004A0C7D"/>
    <w:rsid w:val="004B1205"/>
    <w:rsid w:val="004B2F69"/>
    <w:rsid w:val="004B42CB"/>
    <w:rsid w:val="004B512B"/>
    <w:rsid w:val="004B6736"/>
    <w:rsid w:val="004C0FB1"/>
    <w:rsid w:val="004C376E"/>
    <w:rsid w:val="004C3C75"/>
    <w:rsid w:val="004C6BB0"/>
    <w:rsid w:val="004D1818"/>
    <w:rsid w:val="004D56B6"/>
    <w:rsid w:val="004E0027"/>
    <w:rsid w:val="004E0801"/>
    <w:rsid w:val="004E49E8"/>
    <w:rsid w:val="004F2161"/>
    <w:rsid w:val="004F68D3"/>
    <w:rsid w:val="004F6D3D"/>
    <w:rsid w:val="004F7CD9"/>
    <w:rsid w:val="0051174B"/>
    <w:rsid w:val="00523BC8"/>
    <w:rsid w:val="0052453A"/>
    <w:rsid w:val="00527D8B"/>
    <w:rsid w:val="00527F66"/>
    <w:rsid w:val="0054057F"/>
    <w:rsid w:val="00541F99"/>
    <w:rsid w:val="00543445"/>
    <w:rsid w:val="00543D7A"/>
    <w:rsid w:val="00551F9E"/>
    <w:rsid w:val="00553D24"/>
    <w:rsid w:val="005571FB"/>
    <w:rsid w:val="005610C1"/>
    <w:rsid w:val="00566DE9"/>
    <w:rsid w:val="00572405"/>
    <w:rsid w:val="00573317"/>
    <w:rsid w:val="00593D34"/>
    <w:rsid w:val="00597489"/>
    <w:rsid w:val="005A3443"/>
    <w:rsid w:val="005B0627"/>
    <w:rsid w:val="005B5A70"/>
    <w:rsid w:val="005C58BD"/>
    <w:rsid w:val="005E7095"/>
    <w:rsid w:val="005E75BF"/>
    <w:rsid w:val="005F2F67"/>
    <w:rsid w:val="0060406C"/>
    <w:rsid w:val="00607C64"/>
    <w:rsid w:val="006119FC"/>
    <w:rsid w:val="00613F74"/>
    <w:rsid w:val="00617B8D"/>
    <w:rsid w:val="00621D26"/>
    <w:rsid w:val="00622118"/>
    <w:rsid w:val="00623D9B"/>
    <w:rsid w:val="00624006"/>
    <w:rsid w:val="00626A5A"/>
    <w:rsid w:val="006315B8"/>
    <w:rsid w:val="00635FD5"/>
    <w:rsid w:val="00642C06"/>
    <w:rsid w:val="00647D10"/>
    <w:rsid w:val="0065732F"/>
    <w:rsid w:val="00657967"/>
    <w:rsid w:val="0066009D"/>
    <w:rsid w:val="006639B0"/>
    <w:rsid w:val="00665822"/>
    <w:rsid w:val="00672210"/>
    <w:rsid w:val="006728FD"/>
    <w:rsid w:val="00673A73"/>
    <w:rsid w:val="006750F0"/>
    <w:rsid w:val="0067676E"/>
    <w:rsid w:val="00677D7E"/>
    <w:rsid w:val="006815FB"/>
    <w:rsid w:val="006836F1"/>
    <w:rsid w:val="00687C48"/>
    <w:rsid w:val="006958B7"/>
    <w:rsid w:val="006A0C6B"/>
    <w:rsid w:val="006A168E"/>
    <w:rsid w:val="006A1EDF"/>
    <w:rsid w:val="006A6F40"/>
    <w:rsid w:val="006A7C8F"/>
    <w:rsid w:val="006C1D56"/>
    <w:rsid w:val="006C2713"/>
    <w:rsid w:val="006C662E"/>
    <w:rsid w:val="006D0B4E"/>
    <w:rsid w:val="006D18EC"/>
    <w:rsid w:val="006D553E"/>
    <w:rsid w:val="006F0AC9"/>
    <w:rsid w:val="006F65E0"/>
    <w:rsid w:val="007018AE"/>
    <w:rsid w:val="007123A7"/>
    <w:rsid w:val="007148C7"/>
    <w:rsid w:val="00720A08"/>
    <w:rsid w:val="007311BC"/>
    <w:rsid w:val="007326BD"/>
    <w:rsid w:val="00742CC2"/>
    <w:rsid w:val="00745537"/>
    <w:rsid w:val="00747657"/>
    <w:rsid w:val="00754D4B"/>
    <w:rsid w:val="007554EC"/>
    <w:rsid w:val="007606A5"/>
    <w:rsid w:val="00764C5D"/>
    <w:rsid w:val="00765CB0"/>
    <w:rsid w:val="00766363"/>
    <w:rsid w:val="00767B1B"/>
    <w:rsid w:val="00780752"/>
    <w:rsid w:val="007868DD"/>
    <w:rsid w:val="007875CC"/>
    <w:rsid w:val="007932FF"/>
    <w:rsid w:val="00797CF7"/>
    <w:rsid w:val="007A5AFD"/>
    <w:rsid w:val="007B1319"/>
    <w:rsid w:val="007B4737"/>
    <w:rsid w:val="007C3451"/>
    <w:rsid w:val="007C3CD5"/>
    <w:rsid w:val="007D28A7"/>
    <w:rsid w:val="007D6D29"/>
    <w:rsid w:val="007F4677"/>
    <w:rsid w:val="00803F0D"/>
    <w:rsid w:val="008134CF"/>
    <w:rsid w:val="00817E70"/>
    <w:rsid w:val="00820866"/>
    <w:rsid w:val="00823782"/>
    <w:rsid w:val="00831E0D"/>
    <w:rsid w:val="00834971"/>
    <w:rsid w:val="00845CC6"/>
    <w:rsid w:val="00854F86"/>
    <w:rsid w:val="00862984"/>
    <w:rsid w:val="008661DE"/>
    <w:rsid w:val="00876531"/>
    <w:rsid w:val="00881DE6"/>
    <w:rsid w:val="00882CB9"/>
    <w:rsid w:val="00894224"/>
    <w:rsid w:val="008942A0"/>
    <w:rsid w:val="00897AE8"/>
    <w:rsid w:val="008A0E9B"/>
    <w:rsid w:val="008A2584"/>
    <w:rsid w:val="008A5BE8"/>
    <w:rsid w:val="008B2CD5"/>
    <w:rsid w:val="008C1C05"/>
    <w:rsid w:val="008D44B7"/>
    <w:rsid w:val="008D567A"/>
    <w:rsid w:val="008D6F9B"/>
    <w:rsid w:val="008D779D"/>
    <w:rsid w:val="008E4A05"/>
    <w:rsid w:val="008E6EBE"/>
    <w:rsid w:val="008F00F1"/>
    <w:rsid w:val="008F09AA"/>
    <w:rsid w:val="008F4D81"/>
    <w:rsid w:val="00900F33"/>
    <w:rsid w:val="00913F6D"/>
    <w:rsid w:val="00920A12"/>
    <w:rsid w:val="0092267C"/>
    <w:rsid w:val="00930880"/>
    <w:rsid w:val="00934B33"/>
    <w:rsid w:val="00944167"/>
    <w:rsid w:val="0095329C"/>
    <w:rsid w:val="00953E0F"/>
    <w:rsid w:val="00962ABC"/>
    <w:rsid w:val="00972A5F"/>
    <w:rsid w:val="0097457B"/>
    <w:rsid w:val="00992929"/>
    <w:rsid w:val="00993E0E"/>
    <w:rsid w:val="009A27E5"/>
    <w:rsid w:val="009A5D05"/>
    <w:rsid w:val="009B1471"/>
    <w:rsid w:val="009C1C1C"/>
    <w:rsid w:val="009C1E3C"/>
    <w:rsid w:val="009C6559"/>
    <w:rsid w:val="009C7ADA"/>
    <w:rsid w:val="009E0937"/>
    <w:rsid w:val="009E14F8"/>
    <w:rsid w:val="009E27C9"/>
    <w:rsid w:val="009F76B1"/>
    <w:rsid w:val="00A02EBF"/>
    <w:rsid w:val="00A10DEA"/>
    <w:rsid w:val="00A12A4A"/>
    <w:rsid w:val="00A203ED"/>
    <w:rsid w:val="00A30FA4"/>
    <w:rsid w:val="00A32491"/>
    <w:rsid w:val="00A3724A"/>
    <w:rsid w:val="00A37A64"/>
    <w:rsid w:val="00A440B0"/>
    <w:rsid w:val="00A542D0"/>
    <w:rsid w:val="00A62F0B"/>
    <w:rsid w:val="00A6318E"/>
    <w:rsid w:val="00A67492"/>
    <w:rsid w:val="00A93F66"/>
    <w:rsid w:val="00AB3C29"/>
    <w:rsid w:val="00AC5379"/>
    <w:rsid w:val="00AD233A"/>
    <w:rsid w:val="00AD4106"/>
    <w:rsid w:val="00AE4229"/>
    <w:rsid w:val="00AF47F0"/>
    <w:rsid w:val="00B04149"/>
    <w:rsid w:val="00B06667"/>
    <w:rsid w:val="00B12C3A"/>
    <w:rsid w:val="00B30740"/>
    <w:rsid w:val="00B36DF3"/>
    <w:rsid w:val="00B459B7"/>
    <w:rsid w:val="00B51974"/>
    <w:rsid w:val="00B51988"/>
    <w:rsid w:val="00B52140"/>
    <w:rsid w:val="00B52FD7"/>
    <w:rsid w:val="00B53ADE"/>
    <w:rsid w:val="00B56892"/>
    <w:rsid w:val="00B60BB4"/>
    <w:rsid w:val="00B76F52"/>
    <w:rsid w:val="00B80371"/>
    <w:rsid w:val="00B813EB"/>
    <w:rsid w:val="00B87415"/>
    <w:rsid w:val="00B92A08"/>
    <w:rsid w:val="00B96773"/>
    <w:rsid w:val="00BA4CB3"/>
    <w:rsid w:val="00BB1D18"/>
    <w:rsid w:val="00BB2D58"/>
    <w:rsid w:val="00BD2326"/>
    <w:rsid w:val="00BD4231"/>
    <w:rsid w:val="00C10090"/>
    <w:rsid w:val="00C13272"/>
    <w:rsid w:val="00C31084"/>
    <w:rsid w:val="00C34803"/>
    <w:rsid w:val="00C34BCD"/>
    <w:rsid w:val="00C36FC0"/>
    <w:rsid w:val="00C45684"/>
    <w:rsid w:val="00C4595A"/>
    <w:rsid w:val="00C502D3"/>
    <w:rsid w:val="00C6178A"/>
    <w:rsid w:val="00C64400"/>
    <w:rsid w:val="00C64FD4"/>
    <w:rsid w:val="00C7172B"/>
    <w:rsid w:val="00C76A91"/>
    <w:rsid w:val="00C84B70"/>
    <w:rsid w:val="00C87162"/>
    <w:rsid w:val="00C8738B"/>
    <w:rsid w:val="00C87BE8"/>
    <w:rsid w:val="00C92E11"/>
    <w:rsid w:val="00C931E9"/>
    <w:rsid w:val="00C9371A"/>
    <w:rsid w:val="00C978C8"/>
    <w:rsid w:val="00CA13B5"/>
    <w:rsid w:val="00CA33B9"/>
    <w:rsid w:val="00CA541D"/>
    <w:rsid w:val="00CA59F7"/>
    <w:rsid w:val="00CB122F"/>
    <w:rsid w:val="00CB324D"/>
    <w:rsid w:val="00CB4482"/>
    <w:rsid w:val="00CB4B92"/>
    <w:rsid w:val="00CB546C"/>
    <w:rsid w:val="00CB5777"/>
    <w:rsid w:val="00CC3497"/>
    <w:rsid w:val="00CC6D0D"/>
    <w:rsid w:val="00CC7413"/>
    <w:rsid w:val="00CC744C"/>
    <w:rsid w:val="00CD20D3"/>
    <w:rsid w:val="00CD3A14"/>
    <w:rsid w:val="00CF0348"/>
    <w:rsid w:val="00CF2858"/>
    <w:rsid w:val="00CF483B"/>
    <w:rsid w:val="00CF74A0"/>
    <w:rsid w:val="00D03076"/>
    <w:rsid w:val="00D109F5"/>
    <w:rsid w:val="00D10AD6"/>
    <w:rsid w:val="00D144BE"/>
    <w:rsid w:val="00D14AED"/>
    <w:rsid w:val="00D2658D"/>
    <w:rsid w:val="00D3218E"/>
    <w:rsid w:val="00D3656D"/>
    <w:rsid w:val="00D406AA"/>
    <w:rsid w:val="00D41B4F"/>
    <w:rsid w:val="00D41EE4"/>
    <w:rsid w:val="00D44AEA"/>
    <w:rsid w:val="00D45F0A"/>
    <w:rsid w:val="00D4608C"/>
    <w:rsid w:val="00D50F08"/>
    <w:rsid w:val="00D541A3"/>
    <w:rsid w:val="00D57166"/>
    <w:rsid w:val="00D60EAF"/>
    <w:rsid w:val="00D71C1B"/>
    <w:rsid w:val="00D73563"/>
    <w:rsid w:val="00D760FC"/>
    <w:rsid w:val="00D80C9F"/>
    <w:rsid w:val="00D822AC"/>
    <w:rsid w:val="00D87AF9"/>
    <w:rsid w:val="00D87B80"/>
    <w:rsid w:val="00D94DC7"/>
    <w:rsid w:val="00DA0169"/>
    <w:rsid w:val="00DA0F93"/>
    <w:rsid w:val="00DA4DE0"/>
    <w:rsid w:val="00DD4379"/>
    <w:rsid w:val="00DD6BAF"/>
    <w:rsid w:val="00DE5B7F"/>
    <w:rsid w:val="00DF404A"/>
    <w:rsid w:val="00DF7AC5"/>
    <w:rsid w:val="00E050AF"/>
    <w:rsid w:val="00E06EE4"/>
    <w:rsid w:val="00E1018B"/>
    <w:rsid w:val="00E104F8"/>
    <w:rsid w:val="00E14117"/>
    <w:rsid w:val="00E14491"/>
    <w:rsid w:val="00E14751"/>
    <w:rsid w:val="00E17FAB"/>
    <w:rsid w:val="00E21533"/>
    <w:rsid w:val="00E272BA"/>
    <w:rsid w:val="00E27415"/>
    <w:rsid w:val="00E31644"/>
    <w:rsid w:val="00E35236"/>
    <w:rsid w:val="00E4523C"/>
    <w:rsid w:val="00E6452F"/>
    <w:rsid w:val="00E6730D"/>
    <w:rsid w:val="00E7626A"/>
    <w:rsid w:val="00E83D8B"/>
    <w:rsid w:val="00E90A58"/>
    <w:rsid w:val="00E92393"/>
    <w:rsid w:val="00E952E7"/>
    <w:rsid w:val="00EA2F62"/>
    <w:rsid w:val="00EA488F"/>
    <w:rsid w:val="00EA797B"/>
    <w:rsid w:val="00EC1D48"/>
    <w:rsid w:val="00EC25EA"/>
    <w:rsid w:val="00EC5011"/>
    <w:rsid w:val="00ED429E"/>
    <w:rsid w:val="00EE1DC0"/>
    <w:rsid w:val="00EE5233"/>
    <w:rsid w:val="00F10315"/>
    <w:rsid w:val="00F110C9"/>
    <w:rsid w:val="00F20750"/>
    <w:rsid w:val="00F2243B"/>
    <w:rsid w:val="00F23775"/>
    <w:rsid w:val="00F23B66"/>
    <w:rsid w:val="00F40399"/>
    <w:rsid w:val="00F42060"/>
    <w:rsid w:val="00F47415"/>
    <w:rsid w:val="00F56D33"/>
    <w:rsid w:val="00F603A8"/>
    <w:rsid w:val="00F62C7B"/>
    <w:rsid w:val="00F66D94"/>
    <w:rsid w:val="00F7449D"/>
    <w:rsid w:val="00F8388C"/>
    <w:rsid w:val="00F84C96"/>
    <w:rsid w:val="00FA2090"/>
    <w:rsid w:val="00FA7C61"/>
    <w:rsid w:val="00FB4209"/>
    <w:rsid w:val="00FC0F2A"/>
    <w:rsid w:val="00FC1752"/>
    <w:rsid w:val="00FC4BA9"/>
    <w:rsid w:val="00FD3A27"/>
    <w:rsid w:val="00FD64F8"/>
    <w:rsid w:val="00FE12AE"/>
    <w:rsid w:val="00FE204B"/>
    <w:rsid w:val="00FF2CFB"/>
    <w:rsid w:val="00FF394B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78EAD3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Smlouvy"/>
    <w:qFormat/>
    <w:rsid w:val="002D7E8E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B87415"/>
    <w:pPr>
      <w:numPr>
        <w:numId w:val="6"/>
      </w:numPr>
      <w:spacing w:after="180"/>
      <w:ind w:left="357" w:hanging="357"/>
      <w:jc w:val="center"/>
      <w:outlineLvl w:val="0"/>
    </w:pPr>
    <w:rPr>
      <w:rFonts w:asciiTheme="minorHAnsi" w:hAnsiTheme="minorHAnsi" w:cstheme="minorHAnsi"/>
      <w:b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B87415"/>
    <w:pPr>
      <w:numPr>
        <w:ilvl w:val="1"/>
        <w:numId w:val="6"/>
      </w:numPr>
      <w:spacing w:after="180"/>
      <w:ind w:left="539" w:hanging="539"/>
      <w:outlineLvl w:val="1"/>
    </w:pPr>
    <w:rPr>
      <w:rFonts w:asciiTheme="minorHAnsi" w:hAnsiTheme="minorHAnsi" w:cstheme="minorHAnsi"/>
    </w:r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4C0FB1"/>
    <w:pPr>
      <w:numPr>
        <w:ilvl w:val="2"/>
        <w:numId w:val="6"/>
      </w:numPr>
      <w:spacing w:after="120"/>
      <w:ind w:left="1418" w:hanging="851"/>
      <w:outlineLvl w:val="2"/>
    </w:pPr>
    <w:rPr>
      <w:rFonts w:asciiTheme="minorHAnsi" w:hAnsiTheme="minorHAnsi" w:cstheme="minorHAns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4C0FB1"/>
    <w:rPr>
      <w:rFonts w:asciiTheme="minorHAnsi" w:hAnsiTheme="minorHAnsi" w:cstheme="minorHAns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Smlouvaodstavec"/>
    <w:uiPriority w:val="1"/>
    <w:qFormat/>
    <w:rsid w:val="0040454A"/>
    <w:pPr>
      <w:numPr>
        <w:ilvl w:val="1"/>
        <w:numId w:val="12"/>
      </w:numPr>
      <w:spacing w:after="180"/>
      <w:ind w:left="1276"/>
    </w:pPr>
    <w:rPr>
      <w:rFonts w:ascii="Calibri" w:hAnsi="Calibri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8D6F9B"/>
    <w:pPr>
      <w:spacing w:after="40"/>
      <w:ind w:left="1843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8D6F9B"/>
    <w:rPr>
      <w:rFonts w:ascii="Arial" w:eastAsia="Calibri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459F-3726-49F4-A58F-8E7BC5BD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5614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Hlušičková Zdeňka</cp:lastModifiedBy>
  <cp:revision>2</cp:revision>
  <cp:lastPrinted>2016-09-08T10:25:00Z</cp:lastPrinted>
  <dcterms:created xsi:type="dcterms:W3CDTF">2019-08-15T05:25:00Z</dcterms:created>
  <dcterms:modified xsi:type="dcterms:W3CDTF">2019-08-15T05:25:00Z</dcterms:modified>
</cp:coreProperties>
</file>