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9B3F" w14:textId="77777777" w:rsidR="00E92393" w:rsidRPr="00FB28C4" w:rsidRDefault="00E92393" w:rsidP="00E92393">
      <w:pPr>
        <w:widowControl w:val="0"/>
        <w:rPr>
          <w:rFonts w:cs="Calibri"/>
          <w:b/>
        </w:rPr>
      </w:pPr>
      <w:r w:rsidRPr="00FB28C4">
        <w:rPr>
          <w:rFonts w:cs="Calibri"/>
          <w:b/>
        </w:rPr>
        <w:t>Asseco Solutions, a.s.</w:t>
      </w:r>
    </w:p>
    <w:p w14:paraId="19F3B2FB" w14:textId="77777777" w:rsidR="00E92393" w:rsidRPr="00FB28C4" w:rsidRDefault="00E92393" w:rsidP="00E92393">
      <w:pPr>
        <w:pStyle w:val="Identifikace"/>
        <w:widowControl w:val="0"/>
        <w:rPr>
          <w:rFonts w:ascii="Calibri" w:hAnsi="Calibri" w:cs="Calibri"/>
          <w:szCs w:val="22"/>
        </w:rPr>
      </w:pPr>
      <w:r w:rsidRPr="00FB28C4">
        <w:rPr>
          <w:rFonts w:ascii="Calibri" w:hAnsi="Calibri" w:cs="Calibri"/>
          <w:szCs w:val="22"/>
        </w:rPr>
        <w:t>se sídlem Praha 4, Zelený pruh 1560/99, PSČ 140 02</w:t>
      </w:r>
    </w:p>
    <w:p w14:paraId="3525FAA9" w14:textId="77777777" w:rsidR="00E92393" w:rsidRPr="00FB28C4" w:rsidRDefault="00E92393" w:rsidP="00E92393">
      <w:pPr>
        <w:pStyle w:val="Identifikace"/>
        <w:widowControl w:val="0"/>
        <w:rPr>
          <w:rFonts w:ascii="Calibri" w:hAnsi="Calibri" w:cs="Calibri"/>
          <w:szCs w:val="22"/>
        </w:rPr>
      </w:pPr>
      <w:r w:rsidRPr="00FB28C4">
        <w:rPr>
          <w:rFonts w:ascii="Calibri" w:hAnsi="Calibri" w:cs="Calibri"/>
          <w:szCs w:val="22"/>
        </w:rPr>
        <w:t>IČ: 64949541</w:t>
      </w:r>
    </w:p>
    <w:p w14:paraId="0D0DF712" w14:textId="77777777" w:rsidR="00E92393" w:rsidRPr="00FB28C4" w:rsidRDefault="00E92393" w:rsidP="00E92393">
      <w:pPr>
        <w:pStyle w:val="Identifikace"/>
        <w:widowControl w:val="0"/>
        <w:rPr>
          <w:rFonts w:ascii="Calibri" w:hAnsi="Calibri" w:cs="Calibri"/>
          <w:szCs w:val="22"/>
        </w:rPr>
      </w:pPr>
      <w:r w:rsidRPr="00FB28C4">
        <w:rPr>
          <w:rFonts w:ascii="Calibri" w:hAnsi="Calibri" w:cs="Calibri"/>
          <w:szCs w:val="22"/>
        </w:rPr>
        <w:t>Zapsaná v obchodním rejstříku vedeném Městským soudem v Praze, oddíl B, vložka 3771</w:t>
      </w:r>
    </w:p>
    <w:p w14:paraId="6BCC2090" w14:textId="6A001594" w:rsidR="00E92393" w:rsidRPr="00FB28C4" w:rsidRDefault="00E92393" w:rsidP="00E92393">
      <w:pPr>
        <w:pStyle w:val="Identifikace"/>
        <w:widowControl w:val="0"/>
        <w:rPr>
          <w:rFonts w:ascii="Calibri" w:hAnsi="Calibri" w:cs="Calibri"/>
          <w:szCs w:val="22"/>
        </w:rPr>
      </w:pPr>
      <w:r w:rsidRPr="00FB28C4">
        <w:rPr>
          <w:rFonts w:ascii="Calibri" w:hAnsi="Calibri" w:cs="Calibri"/>
          <w:szCs w:val="22"/>
        </w:rPr>
        <w:t xml:space="preserve">Zastoupena </w:t>
      </w:r>
      <w:r w:rsidR="00AC521E">
        <w:rPr>
          <w:rFonts w:ascii="Calibri" w:hAnsi="Calibri" w:cs="Calibri"/>
          <w:szCs w:val="22"/>
        </w:rPr>
        <w:t>členem</w:t>
      </w:r>
      <w:r w:rsidRPr="00FB28C4">
        <w:rPr>
          <w:rFonts w:ascii="Calibri" w:hAnsi="Calibri" w:cs="Calibri"/>
          <w:szCs w:val="22"/>
        </w:rPr>
        <w:t xml:space="preserve"> představenstva </w:t>
      </w:r>
      <w:r w:rsidR="00FD2176">
        <w:rPr>
          <w:rFonts w:ascii="Calibri" w:hAnsi="Calibri" w:cs="Calibri"/>
          <w:szCs w:val="22"/>
        </w:rPr>
        <w:t>xxxxxxxxxxxxxxx</w:t>
      </w:r>
    </w:p>
    <w:p w14:paraId="110A28E7" w14:textId="77777777" w:rsidR="00E92393" w:rsidRPr="00FB28C4" w:rsidRDefault="00E92393" w:rsidP="00E92393">
      <w:pPr>
        <w:pStyle w:val="Identifikace"/>
        <w:widowControl w:val="0"/>
        <w:rPr>
          <w:rFonts w:ascii="Calibri" w:hAnsi="Calibri" w:cs="Calibri"/>
          <w:szCs w:val="22"/>
        </w:rPr>
      </w:pPr>
      <w:r w:rsidRPr="00FB28C4">
        <w:rPr>
          <w:rFonts w:ascii="Calibri" w:hAnsi="Calibri" w:cs="Calibri"/>
          <w:szCs w:val="22"/>
        </w:rPr>
        <w:t>dále jen „Dodavatel“</w:t>
      </w:r>
    </w:p>
    <w:p w14:paraId="4DCFF1AC" w14:textId="77777777" w:rsidR="00E92393" w:rsidRPr="00FB28C4" w:rsidRDefault="00E92393" w:rsidP="00E92393">
      <w:pPr>
        <w:widowControl w:val="0"/>
        <w:rPr>
          <w:rFonts w:cs="Calibri"/>
        </w:rPr>
      </w:pPr>
    </w:p>
    <w:p w14:paraId="3D771F76" w14:textId="77777777" w:rsidR="00E92393" w:rsidRPr="00FB28C4" w:rsidRDefault="00E92393" w:rsidP="00E92393">
      <w:pPr>
        <w:widowControl w:val="0"/>
        <w:rPr>
          <w:rFonts w:cs="Calibri"/>
        </w:rPr>
      </w:pPr>
      <w:r w:rsidRPr="00FB28C4">
        <w:rPr>
          <w:rFonts w:cs="Calibri"/>
          <w:bCs/>
        </w:rPr>
        <w:t>a</w:t>
      </w:r>
    </w:p>
    <w:p w14:paraId="1DFED2C0" w14:textId="77777777" w:rsidR="00E92393" w:rsidRPr="00FB28C4" w:rsidRDefault="00E92393" w:rsidP="00E92393">
      <w:pPr>
        <w:widowControl w:val="0"/>
        <w:rPr>
          <w:rFonts w:cs="Calibri"/>
        </w:rPr>
      </w:pPr>
    </w:p>
    <w:p w14:paraId="5F59DF9A" w14:textId="77777777" w:rsidR="00212776" w:rsidRPr="00F0637B" w:rsidRDefault="00212776" w:rsidP="00212776">
      <w:pPr>
        <w:tabs>
          <w:tab w:val="center" w:pos="4535"/>
        </w:tabs>
        <w:rPr>
          <w:rFonts w:cs="Arial"/>
          <w:b/>
        </w:rPr>
      </w:pPr>
      <w:r w:rsidRPr="00F0637B">
        <w:rPr>
          <w:rFonts w:cs="Arial"/>
          <w:b/>
        </w:rPr>
        <w:t>Centrum pro regionální rozvoj České republiky</w:t>
      </w:r>
    </w:p>
    <w:p w14:paraId="15E40611" w14:textId="77777777" w:rsidR="00212776" w:rsidRPr="00355002" w:rsidRDefault="00212776" w:rsidP="00212776">
      <w:pPr>
        <w:tabs>
          <w:tab w:val="center" w:pos="4535"/>
        </w:tabs>
      </w:pPr>
      <w:r w:rsidRPr="00355002">
        <w:t xml:space="preserve">se sídlem </w:t>
      </w:r>
      <w:r w:rsidRPr="00F0637B">
        <w:rPr>
          <w:rFonts w:cs="Arial"/>
        </w:rPr>
        <w:t>Praha 3, U Nákladového nádraží 3144/4, PSČ 130 00</w:t>
      </w:r>
    </w:p>
    <w:p w14:paraId="67C97BF6" w14:textId="77777777" w:rsidR="00212776" w:rsidRPr="00355002" w:rsidRDefault="00212776" w:rsidP="00212776">
      <w:r w:rsidRPr="00355002">
        <w:t xml:space="preserve">IČ: </w:t>
      </w:r>
      <w:r w:rsidRPr="00F0637B">
        <w:rPr>
          <w:rFonts w:cs="Arial"/>
        </w:rPr>
        <w:t>04095316</w:t>
      </w:r>
    </w:p>
    <w:p w14:paraId="37A578A4" w14:textId="1F59555C" w:rsidR="00212776" w:rsidRPr="00FD2176" w:rsidRDefault="00212776" w:rsidP="00212776">
      <w:pPr>
        <w:rPr>
          <w:rFonts w:cs="Arial"/>
        </w:rPr>
      </w:pPr>
      <w:r w:rsidRPr="00F0637B">
        <w:rPr>
          <w:rFonts w:cs="Arial"/>
        </w:rPr>
        <w:t xml:space="preserve">bankovní spojení: </w:t>
      </w:r>
      <w:r w:rsidR="00FD2176">
        <w:rPr>
          <w:rFonts w:cs="Arial"/>
        </w:rPr>
        <w:t>xxxxxxxxxxxxxxxxxx</w:t>
      </w:r>
    </w:p>
    <w:p w14:paraId="6211F11C" w14:textId="606857B7" w:rsidR="00212776" w:rsidRPr="00355002" w:rsidRDefault="00212776" w:rsidP="00212776">
      <w:r w:rsidRPr="00355002">
        <w:t xml:space="preserve">Zastoupena </w:t>
      </w:r>
      <w:r w:rsidRPr="00F0637B">
        <w:rPr>
          <w:rFonts w:cs="Arial"/>
        </w:rPr>
        <w:t xml:space="preserve">generálním ředitelem organizace </w:t>
      </w:r>
      <w:r w:rsidR="00FD2176">
        <w:rPr>
          <w:rFonts w:cs="Arial"/>
        </w:rPr>
        <w:t>xxxxxxxxxxxxxxxxxxx</w:t>
      </w:r>
    </w:p>
    <w:p w14:paraId="655203BC" w14:textId="77777777" w:rsidR="00E92393" w:rsidRDefault="00E92393" w:rsidP="00E92393">
      <w:pPr>
        <w:widowControl w:val="0"/>
        <w:rPr>
          <w:rFonts w:cs="Calibri"/>
        </w:rPr>
      </w:pPr>
      <w:r w:rsidRPr="00FB28C4">
        <w:rPr>
          <w:rFonts w:cs="Calibri"/>
        </w:rPr>
        <w:t>dále jen „Odběratel“</w:t>
      </w:r>
    </w:p>
    <w:p w14:paraId="16663976" w14:textId="77777777" w:rsidR="00E92393" w:rsidRDefault="00E92393" w:rsidP="00E92393">
      <w:pPr>
        <w:widowControl w:val="0"/>
        <w:rPr>
          <w:rFonts w:cs="Calibri"/>
        </w:rPr>
      </w:pPr>
    </w:p>
    <w:p w14:paraId="6AB72880" w14:textId="77777777" w:rsidR="00E92393" w:rsidRDefault="00E92393" w:rsidP="00E92393">
      <w:pPr>
        <w:widowControl w:val="0"/>
        <w:rPr>
          <w:rFonts w:cs="Calibri"/>
        </w:rPr>
      </w:pPr>
    </w:p>
    <w:p w14:paraId="0F999F07" w14:textId="46C92EC1" w:rsidR="00E92393" w:rsidRDefault="00E92393" w:rsidP="00E92393">
      <w:pPr>
        <w:widowControl w:val="0"/>
        <w:rPr>
          <w:rFonts w:cs="Calibri"/>
        </w:rPr>
      </w:pPr>
      <w:r>
        <w:rPr>
          <w:rFonts w:cs="Calibri"/>
        </w:rPr>
        <w:t>uzavírají tento</w:t>
      </w:r>
    </w:p>
    <w:p w14:paraId="137691EF" w14:textId="77777777" w:rsidR="00E92393" w:rsidRPr="00FB28C4" w:rsidRDefault="00E92393" w:rsidP="00E92393">
      <w:pPr>
        <w:widowControl w:val="0"/>
        <w:rPr>
          <w:rFonts w:cs="Calibri"/>
        </w:rPr>
      </w:pPr>
    </w:p>
    <w:p w14:paraId="06A89E49" w14:textId="327351B2" w:rsidR="00212776" w:rsidRPr="00212776" w:rsidRDefault="00E92393" w:rsidP="00212776">
      <w:pPr>
        <w:jc w:val="center"/>
        <w:rPr>
          <w:rFonts w:asciiTheme="minorHAnsi" w:hAnsiTheme="minorHAnsi" w:cstheme="minorHAnsi"/>
          <w:b/>
          <w:sz w:val="36"/>
          <w:szCs w:val="36"/>
        </w:rPr>
      </w:pPr>
      <w:r w:rsidRPr="00E92393">
        <w:rPr>
          <w:rFonts w:asciiTheme="minorHAnsi" w:hAnsiTheme="minorHAnsi" w:cstheme="minorHAnsi"/>
          <w:b/>
          <w:sz w:val="36"/>
          <w:szCs w:val="36"/>
        </w:rPr>
        <w:t xml:space="preserve">Dodatek č. </w:t>
      </w:r>
      <w:r w:rsidR="00212776" w:rsidRPr="00212776">
        <w:rPr>
          <w:rFonts w:asciiTheme="minorHAnsi" w:hAnsiTheme="minorHAnsi" w:cstheme="minorHAnsi"/>
          <w:b/>
          <w:sz w:val="36"/>
          <w:szCs w:val="36"/>
        </w:rPr>
        <w:t>1</w:t>
      </w:r>
      <w:r w:rsidRPr="00212776">
        <w:rPr>
          <w:rFonts w:asciiTheme="minorHAnsi" w:hAnsiTheme="minorHAnsi" w:cstheme="minorHAnsi"/>
          <w:b/>
          <w:sz w:val="36"/>
          <w:szCs w:val="36"/>
        </w:rPr>
        <w:t xml:space="preserve"> k </w:t>
      </w:r>
      <w:r w:rsidR="00212776" w:rsidRPr="00212776">
        <w:rPr>
          <w:rFonts w:asciiTheme="minorHAnsi" w:hAnsiTheme="minorHAnsi" w:cstheme="minorHAnsi"/>
          <w:b/>
          <w:sz w:val="36"/>
          <w:szCs w:val="36"/>
        </w:rPr>
        <w:t>Licenční smlouvě a smlouvě o Maintenance</w:t>
      </w:r>
    </w:p>
    <w:p w14:paraId="67F63EE3" w14:textId="1614FAAA" w:rsidR="00E92393" w:rsidRPr="00E92393" w:rsidRDefault="00212776" w:rsidP="00212776">
      <w:pPr>
        <w:jc w:val="center"/>
        <w:rPr>
          <w:rFonts w:asciiTheme="minorHAnsi" w:hAnsiTheme="minorHAnsi" w:cstheme="minorHAnsi"/>
          <w:sz w:val="36"/>
          <w:szCs w:val="36"/>
        </w:rPr>
      </w:pPr>
      <w:r w:rsidRPr="00212776">
        <w:rPr>
          <w:rFonts w:asciiTheme="minorHAnsi" w:hAnsiTheme="minorHAnsi" w:cstheme="minorHAnsi"/>
          <w:b/>
          <w:sz w:val="36"/>
          <w:szCs w:val="36"/>
        </w:rPr>
        <w:t>(migrační smlouva iNUVIO)</w:t>
      </w:r>
      <w:r>
        <w:rPr>
          <w:rFonts w:asciiTheme="minorHAnsi" w:hAnsiTheme="minorHAnsi" w:cstheme="minorHAnsi"/>
          <w:b/>
          <w:sz w:val="36"/>
          <w:szCs w:val="36"/>
        </w:rPr>
        <w:t xml:space="preserve"> </w:t>
      </w:r>
      <w:r w:rsidR="00E92393" w:rsidRPr="00E92393">
        <w:rPr>
          <w:rFonts w:asciiTheme="minorHAnsi" w:hAnsiTheme="minorHAnsi" w:cstheme="minorHAnsi"/>
          <w:b/>
          <w:sz w:val="36"/>
          <w:szCs w:val="36"/>
        </w:rPr>
        <w:t xml:space="preserve">č. </w:t>
      </w:r>
      <w:r w:rsidR="00FD2176">
        <w:rPr>
          <w:rFonts w:asciiTheme="minorHAnsi" w:hAnsiTheme="minorHAnsi" w:cstheme="minorHAnsi"/>
          <w:b/>
          <w:sz w:val="36"/>
          <w:szCs w:val="36"/>
        </w:rPr>
        <w:t>xxxxxxxxxxxxxx</w:t>
      </w:r>
      <w:r w:rsidRPr="00212776">
        <w:rPr>
          <w:rFonts w:asciiTheme="minorHAnsi" w:hAnsiTheme="minorHAnsi" w:cstheme="minorHAnsi"/>
          <w:b/>
          <w:sz w:val="36"/>
          <w:szCs w:val="36"/>
        </w:rPr>
        <w:t xml:space="preserve"> </w:t>
      </w:r>
      <w:r w:rsidR="00E92393" w:rsidRPr="00E92393">
        <w:rPr>
          <w:rFonts w:asciiTheme="minorHAnsi" w:hAnsiTheme="minorHAnsi" w:cstheme="minorHAnsi"/>
          <w:b/>
          <w:sz w:val="36"/>
          <w:szCs w:val="36"/>
        </w:rPr>
        <w:t xml:space="preserve">ze dne </w:t>
      </w:r>
      <w:r w:rsidR="00A57636">
        <w:rPr>
          <w:rFonts w:asciiTheme="minorHAnsi" w:hAnsiTheme="minorHAnsi" w:cstheme="minorHAnsi"/>
          <w:b/>
          <w:sz w:val="36"/>
          <w:szCs w:val="36"/>
        </w:rPr>
        <w:t>23.7.2019</w:t>
      </w:r>
    </w:p>
    <w:p w14:paraId="6CD780ED" w14:textId="77777777" w:rsidR="00E92393" w:rsidRDefault="00E92393" w:rsidP="00B80371">
      <w:pPr>
        <w:ind w:left="360" w:hanging="360"/>
        <w:rPr>
          <w:rFonts w:asciiTheme="minorHAnsi" w:hAnsiTheme="minorHAnsi" w:cstheme="minorHAnsi"/>
        </w:rPr>
      </w:pPr>
    </w:p>
    <w:p w14:paraId="7C332EA5" w14:textId="77777777" w:rsidR="00B80371" w:rsidRDefault="00B80371" w:rsidP="00B80371">
      <w:pPr>
        <w:ind w:left="360" w:hanging="360"/>
        <w:rPr>
          <w:rFonts w:asciiTheme="minorHAnsi" w:hAnsiTheme="minorHAnsi" w:cstheme="minorHAnsi"/>
        </w:rPr>
      </w:pPr>
    </w:p>
    <w:p w14:paraId="771FEC37" w14:textId="67830329" w:rsidR="00D57166" w:rsidRDefault="00D57166" w:rsidP="00E92393">
      <w:pPr>
        <w:ind w:left="360" w:hanging="360"/>
        <w:jc w:val="center"/>
        <w:rPr>
          <w:rFonts w:asciiTheme="minorHAnsi" w:hAnsiTheme="minorHAnsi" w:cstheme="minorHAnsi"/>
        </w:rPr>
      </w:pPr>
    </w:p>
    <w:p w14:paraId="281D34E8" w14:textId="77777777" w:rsidR="00EF6E71" w:rsidRPr="00E92393" w:rsidRDefault="00EF6E71" w:rsidP="00E92393">
      <w:pPr>
        <w:ind w:left="360" w:hanging="360"/>
        <w:jc w:val="center"/>
        <w:rPr>
          <w:rFonts w:asciiTheme="minorHAnsi" w:hAnsiTheme="minorHAnsi" w:cstheme="minorHAnsi"/>
        </w:rPr>
      </w:pPr>
    </w:p>
    <w:p w14:paraId="3943E65A" w14:textId="77777777" w:rsidR="00E92393" w:rsidRPr="00607C64" w:rsidRDefault="00E92393" w:rsidP="00111E1C">
      <w:pPr>
        <w:numPr>
          <w:ilvl w:val="0"/>
          <w:numId w:val="6"/>
        </w:numPr>
        <w:spacing w:after="120"/>
        <w:jc w:val="center"/>
        <w:rPr>
          <w:rFonts w:asciiTheme="minorHAnsi" w:hAnsiTheme="minorHAnsi" w:cstheme="minorHAnsi"/>
          <w:b/>
          <w:bCs/>
          <w:sz w:val="24"/>
          <w:szCs w:val="24"/>
        </w:rPr>
      </w:pPr>
      <w:r w:rsidRPr="00607C64">
        <w:rPr>
          <w:rFonts w:asciiTheme="minorHAnsi" w:hAnsiTheme="minorHAnsi" w:cstheme="minorHAnsi"/>
          <w:b/>
          <w:sz w:val="24"/>
          <w:szCs w:val="24"/>
        </w:rPr>
        <w:t>Předmět dodatku</w:t>
      </w:r>
    </w:p>
    <w:p w14:paraId="00DD1FE5" w14:textId="7A9B5EC0" w:rsidR="0097457B" w:rsidRDefault="0097457B" w:rsidP="00212776">
      <w:pPr>
        <w:pStyle w:val="Nadpis2"/>
      </w:pPr>
      <w:r w:rsidRPr="00DD5BB3">
        <w:t xml:space="preserve">Smluvní strany se po vzájemném projednání věci dohodly na úpravě </w:t>
      </w:r>
      <w:r w:rsidR="00212776">
        <w:t>Licenční smlouvy a smlouvy o Maintenance (migrační smlouva iNUVIO)</w:t>
      </w:r>
      <w:r w:rsidR="00C35FDE">
        <w:t xml:space="preserve"> č. </w:t>
      </w:r>
      <w:r w:rsidR="00FD2176">
        <w:t>xxxxxxxxxxxxxxxxxxxxxxxxx</w:t>
      </w:r>
      <w:r w:rsidR="00212776" w:rsidRPr="00212776">
        <w:t xml:space="preserve"> </w:t>
      </w:r>
      <w:r>
        <w:t xml:space="preserve">ze dne </w:t>
      </w:r>
      <w:r w:rsidR="00A57636">
        <w:t>23.7.2019</w:t>
      </w:r>
      <w:r>
        <w:t xml:space="preserve"> </w:t>
      </w:r>
      <w:r w:rsidRPr="00DD5BB3">
        <w:t>(dále jen „</w:t>
      </w:r>
      <w:r w:rsidRPr="00EB4CF3">
        <w:rPr>
          <w:b/>
        </w:rPr>
        <w:t>Smlouva</w:t>
      </w:r>
      <w:r w:rsidRPr="00DD5BB3">
        <w:t>“)</w:t>
      </w:r>
      <w:r>
        <w:t>, a to následovně:</w:t>
      </w:r>
    </w:p>
    <w:p w14:paraId="17960D57" w14:textId="12C16911" w:rsidR="00F53B8C" w:rsidRDefault="00F53B8C" w:rsidP="00F53B8C">
      <w:pPr>
        <w:pStyle w:val="Nadpis3"/>
      </w:pPr>
      <w:r>
        <w:t xml:space="preserve">Stávající odstavec </w:t>
      </w:r>
      <w:r w:rsidR="00212776">
        <w:t>2</w:t>
      </w:r>
      <w:r>
        <w:t xml:space="preserve">.2. Smlouvy </w:t>
      </w:r>
      <w:r w:rsidR="00212776" w:rsidRPr="0042548C">
        <w:t>se nahrazuje následujícím zněním</w:t>
      </w:r>
      <w:r>
        <w:t>:</w:t>
      </w:r>
    </w:p>
    <w:p w14:paraId="72C05867" w14:textId="4533AF54" w:rsidR="00F53B8C" w:rsidRDefault="00F53B8C" w:rsidP="00F53B8C">
      <w:pPr>
        <w:pStyle w:val="Nadpis3"/>
        <w:numPr>
          <w:ilvl w:val="0"/>
          <w:numId w:val="0"/>
        </w:numPr>
        <w:ind w:left="1588"/>
      </w:pPr>
      <w:r>
        <w:t>„</w:t>
      </w:r>
      <w:r w:rsidR="00212776" w:rsidRPr="00F0637B">
        <w:rPr>
          <w:rFonts w:cs="Arial"/>
        </w:rPr>
        <w:t xml:space="preserve">Předmětem licenční smlouvy je závazek Dodavatele poskytnout Odběrateli nevýhradní a časově </w:t>
      </w:r>
      <w:r w:rsidR="00212776" w:rsidRPr="000B3D1C">
        <w:rPr>
          <w:rFonts w:cs="Arial"/>
          <w:b/>
        </w:rPr>
        <w:t>místně</w:t>
      </w:r>
      <w:r w:rsidR="00212776" w:rsidRPr="00F0637B">
        <w:rPr>
          <w:rFonts w:cs="Arial"/>
        </w:rPr>
        <w:t xml:space="preserve"> neomezené oprávnění k užití (tj. licenci) APV HELIOS, a to pouze pro vlastní potřebu s tím, že odběratel je oprávněn používat APV HELIOS pouze na jednom PC </w:t>
      </w:r>
      <w:r w:rsidR="00212776" w:rsidRPr="000B3D1C">
        <w:rPr>
          <w:rFonts w:cs="Arial"/>
          <w:b/>
        </w:rPr>
        <w:t>nebo</w:t>
      </w:r>
      <w:r w:rsidR="00212776" w:rsidRPr="00F0637B">
        <w:rPr>
          <w:rFonts w:cs="Arial"/>
        </w:rPr>
        <w:t xml:space="preserve"> na jedné lokální počítačové síti nebo v rámci jedné vnitropodnikové sítě, a to </w:t>
      </w:r>
      <w:r w:rsidR="00212776" w:rsidRPr="000B3D1C">
        <w:rPr>
          <w:rFonts w:cs="Arial"/>
          <w:b/>
        </w:rPr>
        <w:t>v počtu uživatelů a zpracovávaných subjektů</w:t>
      </w:r>
      <w:r w:rsidR="00212776" w:rsidRPr="00F0637B">
        <w:rPr>
          <w:rFonts w:cs="Arial"/>
        </w:rPr>
        <w:t xml:space="preserve"> (co do počtu bez konkrétního určení) specifikovaném v příloze č.1. V souvislosti s tím je Odběratel oprávněn pořizovat kopie tohoto díla v zájmu ochrany pro vlastní archivní účely a k nahrazení oprávněně získaného APV HELIOS, který byl ztracen, zničen nebo jinak znehodnocen. </w:t>
      </w:r>
      <w:r w:rsidR="00212776" w:rsidRPr="00F0637B">
        <w:t>A dále je Odběratel oprávněn pořídit kopii tohoto díla pro účely testování APV HELIOS ve vlastním prostředí Odběratele za účelem splnění předmětu této smlouvy, příp. příslušné smlouvy o implementaci</w:t>
      </w:r>
      <w:r>
        <w:t>.“</w:t>
      </w:r>
    </w:p>
    <w:p w14:paraId="6ADA097F" w14:textId="49AB4120" w:rsidR="00825A42" w:rsidRDefault="00825A42" w:rsidP="00825A42"/>
    <w:p w14:paraId="49EE495B" w14:textId="77435293" w:rsidR="00825A42" w:rsidRDefault="00825A42" w:rsidP="00825A42"/>
    <w:p w14:paraId="6CC3D8CC" w14:textId="77777777" w:rsidR="00825A42" w:rsidRPr="00825A42" w:rsidRDefault="00825A42" w:rsidP="00825A42"/>
    <w:p w14:paraId="771149AA" w14:textId="269BA4B5" w:rsidR="00B36B8E" w:rsidRPr="0042548C" w:rsidRDefault="00B36B8E" w:rsidP="00B36B8E">
      <w:pPr>
        <w:pStyle w:val="Nadpis3"/>
      </w:pPr>
      <w:bookmarkStart w:id="0" w:name="_Ref495001819"/>
      <w:bookmarkStart w:id="1" w:name="_Hlk523330134"/>
      <w:r w:rsidRPr="0042548C">
        <w:lastRenderedPageBreak/>
        <w:t xml:space="preserve">Stávající odstavec </w:t>
      </w:r>
      <w:r w:rsidR="00212776">
        <w:t>2</w:t>
      </w:r>
      <w:r w:rsidRPr="0042548C">
        <w:t>.</w:t>
      </w:r>
      <w:r w:rsidR="00212776">
        <w:t>7</w:t>
      </w:r>
      <w:r w:rsidRPr="0042548C">
        <w:t>. Smlouvy se nahrazuje následujícím zněním:</w:t>
      </w:r>
      <w:bookmarkEnd w:id="0"/>
    </w:p>
    <w:bookmarkEnd w:id="1"/>
    <w:p w14:paraId="58DA6A0C" w14:textId="22D8A390" w:rsidR="00212776" w:rsidRDefault="00212776" w:rsidP="00212776">
      <w:pPr>
        <w:spacing w:after="120"/>
        <w:ind w:left="1560"/>
        <w:rPr>
          <w:rFonts w:asciiTheme="minorHAnsi" w:hAnsiTheme="minorHAnsi" w:cstheme="minorHAnsi"/>
        </w:rPr>
      </w:pPr>
      <w:r>
        <w:rPr>
          <w:rFonts w:asciiTheme="minorHAnsi" w:hAnsiTheme="minorHAnsi" w:cstheme="minorHAnsi"/>
        </w:rPr>
        <w:t>„</w:t>
      </w:r>
      <w:r w:rsidR="000B3D1C" w:rsidRPr="000B3D1C">
        <w:rPr>
          <w:rFonts w:asciiTheme="minorHAnsi" w:hAnsiTheme="minorHAnsi" w:cstheme="minorHAnsi"/>
          <w:b/>
        </w:rPr>
        <w:t xml:space="preserve">Po nabytí účinnosti této Smlouvy a po řádném </w:t>
      </w:r>
      <w:r w:rsidR="000B3D1C" w:rsidRPr="000B3D1C">
        <w:rPr>
          <w:rFonts w:asciiTheme="minorHAnsi" w:hAnsiTheme="minorHAnsi" w:cstheme="minorHAnsi"/>
        </w:rPr>
        <w:t xml:space="preserve">dodání APV HELIOS </w:t>
      </w:r>
      <w:r w:rsidR="000B3D1C" w:rsidRPr="000B3D1C">
        <w:rPr>
          <w:rFonts w:asciiTheme="minorHAnsi" w:hAnsiTheme="minorHAnsi" w:cstheme="minorHAnsi"/>
          <w:b/>
        </w:rPr>
        <w:t>a řádné a úplné provedení migrace</w:t>
      </w:r>
      <w:r w:rsidR="000B3D1C" w:rsidRPr="000B3D1C">
        <w:rPr>
          <w:rFonts w:asciiTheme="minorHAnsi" w:hAnsiTheme="minorHAnsi" w:cstheme="minorHAnsi"/>
        </w:rPr>
        <w:t xml:space="preserve"> dle této Smlouvy pozbývá Odběratel právo k užití Původní licence. Odběratel je povinen zajistit, aby již po tomto datu Původní licenci nevyužíval.</w:t>
      </w:r>
    </w:p>
    <w:p w14:paraId="14DB2073" w14:textId="77777777" w:rsidR="00212776" w:rsidRPr="00212776" w:rsidRDefault="00212776" w:rsidP="00212776">
      <w:pPr>
        <w:spacing w:after="120"/>
        <w:ind w:left="1560"/>
        <w:rPr>
          <w:rFonts w:asciiTheme="minorHAnsi" w:hAnsiTheme="minorHAnsi" w:cstheme="minorHAnsi"/>
        </w:rPr>
      </w:pPr>
      <w:r w:rsidRPr="00212776">
        <w:rPr>
          <w:rFonts w:asciiTheme="minorHAnsi" w:hAnsiTheme="minorHAnsi" w:cstheme="minorHAnsi"/>
        </w:rPr>
        <w:t xml:space="preserve">Porušení tohoto ustanovení se považuje za podstatné porušení této Smlouvy. V případě porušení tohoto ustanovení, na které byl Odběratel prokazatelně </w:t>
      </w:r>
      <w:r w:rsidRPr="000B3D1C">
        <w:rPr>
          <w:rFonts w:asciiTheme="minorHAnsi" w:hAnsiTheme="minorHAnsi" w:cstheme="minorHAnsi"/>
          <w:b/>
        </w:rPr>
        <w:t>písemně</w:t>
      </w:r>
      <w:r w:rsidRPr="00212776">
        <w:rPr>
          <w:rFonts w:asciiTheme="minorHAnsi" w:hAnsiTheme="minorHAnsi" w:cstheme="minorHAnsi"/>
        </w:rPr>
        <w:t xml:space="preserve"> upozorněn a nezjednal nápravu ani v dodatečně poskytnuté lhůtě ne kratší než čtyři (4) pracovní dny ode dne upozornění, je Dodavatel oprávněn požadovat po Odběrateli pokutu ve výši dvojnásobku poplatku za migrační balíček dle odst. 4.1. této Smlouvy.</w:t>
      </w:r>
    </w:p>
    <w:p w14:paraId="35788F07" w14:textId="77777777" w:rsidR="00212776" w:rsidRPr="00212776" w:rsidRDefault="00212776" w:rsidP="00212776">
      <w:pPr>
        <w:spacing w:after="120"/>
        <w:ind w:left="1560"/>
        <w:rPr>
          <w:rFonts w:asciiTheme="minorHAnsi" w:hAnsiTheme="minorHAnsi" w:cstheme="minorHAnsi"/>
        </w:rPr>
      </w:pPr>
      <w:r w:rsidRPr="00212776">
        <w:rPr>
          <w:rFonts w:asciiTheme="minorHAnsi" w:hAnsiTheme="minorHAnsi" w:cstheme="minorHAnsi"/>
        </w:rPr>
        <w:t>Dodavatel je rovněž oprávněn podniknout kroky vedoucí k zamezení dalšího používání Původní licence, např.:</w:t>
      </w:r>
    </w:p>
    <w:p w14:paraId="6D13E2AC" w14:textId="77777777" w:rsidR="00212776" w:rsidRPr="00212776" w:rsidRDefault="00212776" w:rsidP="000B3D1C">
      <w:pPr>
        <w:spacing w:after="120"/>
        <w:ind w:left="2552" w:hanging="425"/>
        <w:rPr>
          <w:rFonts w:asciiTheme="minorHAnsi" w:hAnsiTheme="minorHAnsi" w:cstheme="minorHAnsi"/>
        </w:rPr>
      </w:pPr>
      <w:r w:rsidRPr="00212776">
        <w:rPr>
          <w:rFonts w:asciiTheme="minorHAnsi" w:hAnsiTheme="minorHAnsi" w:cstheme="minorHAnsi"/>
        </w:rPr>
        <w:t>a)</w:t>
      </w:r>
      <w:r w:rsidRPr="00212776">
        <w:rPr>
          <w:rFonts w:asciiTheme="minorHAnsi" w:hAnsiTheme="minorHAnsi" w:cstheme="minorHAnsi"/>
        </w:rPr>
        <w:tab/>
        <w:t>Původní licenci odinstalovat, a to ke dni dodání APV HELIOS nebo v následujícím období dle časových a organizačních možností Dodavatele. Odběratel se zavazuje poskytnout za tímto účelem Dodavateli veškerou součinnost.</w:t>
      </w:r>
    </w:p>
    <w:p w14:paraId="2EEBC63D" w14:textId="77777777" w:rsidR="00212776" w:rsidRPr="00212776" w:rsidRDefault="00212776" w:rsidP="000B3D1C">
      <w:pPr>
        <w:spacing w:after="120"/>
        <w:ind w:left="2552"/>
        <w:rPr>
          <w:rFonts w:asciiTheme="minorHAnsi" w:hAnsiTheme="minorHAnsi" w:cstheme="minorHAnsi"/>
        </w:rPr>
      </w:pPr>
      <w:r w:rsidRPr="00212776">
        <w:rPr>
          <w:rFonts w:asciiTheme="minorHAnsi" w:hAnsiTheme="minorHAnsi" w:cstheme="minorHAnsi"/>
        </w:rPr>
        <w:t>Odběratel bere na vědomí, že odinstalováním Původní licence dojde ke ztrátě veškerých dat v ní uložených. Dodavatel nemá povinnost vytvořit zálohu dat.</w:t>
      </w:r>
    </w:p>
    <w:p w14:paraId="7B2BFA4B" w14:textId="0B999221" w:rsidR="00212776" w:rsidRDefault="00212776" w:rsidP="000B3D1C">
      <w:pPr>
        <w:spacing w:after="120"/>
        <w:ind w:left="2552" w:hanging="425"/>
        <w:rPr>
          <w:rFonts w:asciiTheme="minorHAnsi" w:hAnsiTheme="minorHAnsi" w:cstheme="minorHAnsi"/>
        </w:rPr>
      </w:pPr>
      <w:r w:rsidRPr="00212776">
        <w:rPr>
          <w:rFonts w:asciiTheme="minorHAnsi" w:hAnsiTheme="minorHAnsi" w:cstheme="minorHAnsi"/>
        </w:rPr>
        <w:t>b)</w:t>
      </w:r>
      <w:r w:rsidRPr="00212776">
        <w:rPr>
          <w:rFonts w:asciiTheme="minorHAnsi" w:hAnsiTheme="minorHAnsi" w:cstheme="minorHAnsi"/>
        </w:rPr>
        <w:tab/>
        <w:t>zablokovat Původní licenci vůči dalšímu využívání služeb Maintenance</w:t>
      </w:r>
      <w:r>
        <w:rPr>
          <w:rFonts w:asciiTheme="minorHAnsi" w:hAnsiTheme="minorHAnsi" w:cstheme="minorHAnsi"/>
        </w:rPr>
        <w:t>“</w:t>
      </w:r>
    </w:p>
    <w:p w14:paraId="0CAD91D2" w14:textId="2DA71A32" w:rsidR="00212776" w:rsidRPr="0042548C" w:rsidRDefault="00212776" w:rsidP="00212776">
      <w:pPr>
        <w:pStyle w:val="Nadpis3"/>
      </w:pPr>
      <w:r w:rsidRPr="0042548C">
        <w:t xml:space="preserve">Stávající odstavec </w:t>
      </w:r>
      <w:r>
        <w:t>4</w:t>
      </w:r>
      <w:r w:rsidRPr="0042548C">
        <w:t>.</w:t>
      </w:r>
      <w:r>
        <w:t>1</w:t>
      </w:r>
      <w:r w:rsidRPr="0042548C">
        <w:t>. Smlouvy se nahrazuje následujícím zněním:</w:t>
      </w:r>
    </w:p>
    <w:p w14:paraId="7D107A41" w14:textId="30BB7733" w:rsidR="00212776" w:rsidRPr="00212776" w:rsidRDefault="00212776" w:rsidP="00212776">
      <w:pPr>
        <w:spacing w:after="120"/>
        <w:ind w:left="1560"/>
        <w:rPr>
          <w:rFonts w:asciiTheme="minorHAnsi" w:hAnsiTheme="minorHAnsi" w:cstheme="minorHAnsi"/>
        </w:rPr>
      </w:pPr>
      <w:r>
        <w:rPr>
          <w:rFonts w:asciiTheme="minorHAnsi" w:hAnsiTheme="minorHAnsi" w:cstheme="minorHAnsi"/>
        </w:rPr>
        <w:t xml:space="preserve">„S </w:t>
      </w:r>
      <w:r w:rsidRPr="00212776">
        <w:rPr>
          <w:rFonts w:asciiTheme="minorHAnsi" w:hAnsiTheme="minorHAnsi" w:cstheme="minorHAnsi"/>
        </w:rPr>
        <w:t xml:space="preserve">ohledem na migraci poskytuje Dodavatel Odběrateli na poskytnutí licence APV HELIOS slevu, resp.  Odběratel hradí pouze tzv. migrační balíček, </w:t>
      </w:r>
      <w:r w:rsidRPr="006428BA">
        <w:rPr>
          <w:rFonts w:asciiTheme="minorHAnsi" w:hAnsiTheme="minorHAnsi" w:cstheme="minorHAnsi"/>
          <w:b/>
        </w:rPr>
        <w:t>v jehož ceně je obsažena i odměna za poskytnutí licence APV HELIOS podle této Smlouvy</w:t>
      </w:r>
      <w:r w:rsidRPr="00212776">
        <w:rPr>
          <w:rFonts w:asciiTheme="minorHAnsi" w:hAnsiTheme="minorHAnsi" w:cstheme="minorHAnsi"/>
        </w:rPr>
        <w:t>. Smluvní strany sjednávají, že cena za migrační balíček činí částku ve výši</w:t>
      </w:r>
      <w:r>
        <w:rPr>
          <w:rFonts w:asciiTheme="minorHAnsi" w:hAnsiTheme="minorHAnsi" w:cstheme="minorHAnsi"/>
        </w:rPr>
        <w:t xml:space="preserve"> </w:t>
      </w:r>
      <w:r w:rsidRPr="00212776">
        <w:rPr>
          <w:rFonts w:asciiTheme="minorHAnsi" w:hAnsiTheme="minorHAnsi" w:cstheme="minorHAnsi"/>
          <w:b/>
        </w:rPr>
        <w:t>140 476,29 Kč</w:t>
      </w:r>
      <w:r w:rsidRPr="00212776">
        <w:rPr>
          <w:rFonts w:asciiTheme="minorHAnsi" w:hAnsiTheme="minorHAnsi" w:cstheme="minorHAnsi"/>
        </w:rPr>
        <w:t xml:space="preserve"> bez DPH, </w:t>
      </w:r>
      <w:r w:rsidRPr="006428BA">
        <w:rPr>
          <w:rFonts w:asciiTheme="minorHAnsi" w:hAnsiTheme="minorHAnsi" w:cstheme="minorHAnsi"/>
          <w:b/>
        </w:rPr>
        <w:t xml:space="preserve">tato částka bude navýšena </w:t>
      </w:r>
      <w:r w:rsidRPr="00212776">
        <w:rPr>
          <w:rFonts w:asciiTheme="minorHAnsi" w:hAnsiTheme="minorHAnsi" w:cstheme="minorHAnsi"/>
        </w:rPr>
        <w:t xml:space="preserve">o zákonnou sazbu DPH. </w:t>
      </w:r>
      <w:r w:rsidRPr="006428BA">
        <w:rPr>
          <w:rFonts w:asciiTheme="minorHAnsi" w:hAnsiTheme="minorHAnsi" w:cstheme="minorHAnsi"/>
          <w:b/>
        </w:rPr>
        <w:t>Tato cena je konečná.</w:t>
      </w:r>
    </w:p>
    <w:p w14:paraId="3157B453" w14:textId="1B6A09F5" w:rsidR="00212776" w:rsidRDefault="00212776" w:rsidP="00212776">
      <w:pPr>
        <w:spacing w:after="120"/>
        <w:ind w:left="1560"/>
        <w:rPr>
          <w:rFonts w:asciiTheme="minorHAnsi" w:hAnsiTheme="minorHAnsi" w:cstheme="minorHAnsi"/>
        </w:rPr>
      </w:pPr>
      <w:r w:rsidRPr="00212776">
        <w:rPr>
          <w:rFonts w:asciiTheme="minorHAnsi" w:hAnsiTheme="minorHAnsi" w:cstheme="minorHAnsi"/>
        </w:rPr>
        <w:t xml:space="preserve">Celková </w:t>
      </w:r>
      <w:r w:rsidRPr="006428BA">
        <w:rPr>
          <w:rFonts w:asciiTheme="minorHAnsi" w:hAnsiTheme="minorHAnsi" w:cstheme="minorHAnsi"/>
          <w:b/>
        </w:rPr>
        <w:t>tržní</w:t>
      </w:r>
      <w:r w:rsidRPr="00212776">
        <w:rPr>
          <w:rFonts w:asciiTheme="minorHAnsi" w:hAnsiTheme="minorHAnsi" w:cstheme="minorHAnsi"/>
        </w:rPr>
        <w:t xml:space="preserve"> hodnota licence (tj. bez </w:t>
      </w:r>
      <w:r w:rsidRPr="006428BA">
        <w:rPr>
          <w:rFonts w:asciiTheme="minorHAnsi" w:hAnsiTheme="minorHAnsi" w:cstheme="minorHAnsi"/>
          <w:b/>
        </w:rPr>
        <w:t>poskytnuté</w:t>
      </w:r>
      <w:r w:rsidRPr="00212776">
        <w:rPr>
          <w:rFonts w:asciiTheme="minorHAnsi" w:hAnsiTheme="minorHAnsi" w:cstheme="minorHAnsi"/>
        </w:rPr>
        <w:t xml:space="preserve"> slevy), která se uplatňuje pro výpočet poplatku za Maintenance, je uvedena v příloze č. 1 této Smlouvy. </w:t>
      </w:r>
      <w:r w:rsidRPr="006428BA">
        <w:rPr>
          <w:rFonts w:asciiTheme="minorHAnsi" w:hAnsiTheme="minorHAnsi" w:cstheme="minorHAnsi"/>
          <w:b/>
        </w:rPr>
        <w:t>Pro vyloučení pochybností smluvní strany prohlašují, že Odběratel není povinen Dodavateli hradit hodnotu licence APV HELIOS uvedenou v příloze č. 1 této Smlouvy.</w:t>
      </w:r>
      <w:r w:rsidR="003D10BF" w:rsidRPr="004923E5">
        <w:rPr>
          <w:rFonts w:asciiTheme="minorHAnsi" w:hAnsiTheme="minorHAnsi" w:cstheme="minorHAnsi"/>
        </w:rPr>
        <w:t>“</w:t>
      </w:r>
    </w:p>
    <w:p w14:paraId="00680088" w14:textId="7626D28D" w:rsidR="00422F5D" w:rsidRPr="0042548C" w:rsidRDefault="00422F5D" w:rsidP="00422F5D">
      <w:pPr>
        <w:pStyle w:val="Nadpis3"/>
      </w:pPr>
      <w:r w:rsidRPr="0042548C">
        <w:t xml:space="preserve">Stávající odstavec </w:t>
      </w:r>
      <w:r>
        <w:t>4</w:t>
      </w:r>
      <w:r w:rsidRPr="0042548C">
        <w:t>.</w:t>
      </w:r>
      <w:r>
        <w:t>2</w:t>
      </w:r>
      <w:r w:rsidRPr="0042548C">
        <w:t>. Smlouvy se nahrazuje následujícím zněním:</w:t>
      </w:r>
    </w:p>
    <w:p w14:paraId="637FB990" w14:textId="0F89E427" w:rsidR="00422F5D" w:rsidRDefault="00422F5D" w:rsidP="00212776">
      <w:pPr>
        <w:spacing w:after="120"/>
        <w:ind w:left="1560"/>
      </w:pPr>
      <w:r>
        <w:rPr>
          <w:rFonts w:cs="Arial"/>
        </w:rPr>
        <w:t>„</w:t>
      </w:r>
      <w:r w:rsidRPr="00F0637B">
        <w:rPr>
          <w:rFonts w:cs="Arial"/>
        </w:rPr>
        <w:t xml:space="preserve">Cena za implementační služby ve smyslu odst. 2.3. této Smlouvy byla Dodavatelem kvalifikovaně odhadnuta na částku </w:t>
      </w:r>
      <w:r w:rsidRPr="00F0637B">
        <w:rPr>
          <w:rFonts w:cs="Arial"/>
          <w:b/>
        </w:rPr>
        <w:t>6 600,- Kč</w:t>
      </w:r>
      <w:r w:rsidRPr="00F0637B">
        <w:rPr>
          <w:rFonts w:cs="Arial"/>
        </w:rPr>
        <w:t xml:space="preserve"> bez DPH, viz specifikace v příloze č. 4 této Smlouvy. Tyto implementační služby budou odběrateli fakturovány </w:t>
      </w:r>
      <w:r w:rsidRPr="004923E5">
        <w:rPr>
          <w:rFonts w:cs="Arial"/>
          <w:b/>
        </w:rPr>
        <w:t>podle skutečně poskytnutých služeb, a to</w:t>
      </w:r>
      <w:r w:rsidRPr="00F0637B">
        <w:rPr>
          <w:rFonts w:cs="Arial"/>
        </w:rPr>
        <w:t xml:space="preserve"> v průběhu jejich čerpání na základě odběratelem potvrzených protokolů o provedené práci</w:t>
      </w:r>
      <w:r>
        <w:rPr>
          <w:rFonts w:cs="Arial"/>
        </w:rPr>
        <w:t>.</w:t>
      </w:r>
    </w:p>
    <w:p w14:paraId="2D206223" w14:textId="2A19369B" w:rsidR="00422F5D" w:rsidRPr="00422F5D" w:rsidRDefault="00422F5D" w:rsidP="00422F5D">
      <w:pPr>
        <w:spacing w:after="120"/>
        <w:ind w:left="1560"/>
      </w:pPr>
      <w:r>
        <w:fldChar w:fldCharType="begin">
          <w:ffData>
            <w:name w:val=""/>
            <w:enabled/>
            <w:calcOnExit w:val="0"/>
            <w:checkBox>
              <w:size w:val="22"/>
              <w:default w:val="1"/>
            </w:checkBox>
          </w:ffData>
        </w:fldChar>
      </w:r>
      <w:r>
        <w:instrText xml:space="preserve"> FORMCHECKBOX </w:instrText>
      </w:r>
      <w:r w:rsidR="00FD2176">
        <w:fldChar w:fldCharType="separate"/>
      </w:r>
      <w:r>
        <w:fldChar w:fldCharType="end"/>
      </w:r>
      <w:r w:rsidRPr="00422F5D">
        <w:t xml:space="preserve"> ANO (smluvní strany toto ustanovení akceptují)</w:t>
      </w:r>
    </w:p>
    <w:p w14:paraId="4E61910F" w14:textId="286610CE" w:rsidR="00422F5D" w:rsidRPr="00422F5D" w:rsidRDefault="00422F5D" w:rsidP="00422F5D">
      <w:pPr>
        <w:spacing w:after="120"/>
        <w:ind w:left="1560"/>
      </w:pPr>
      <w:r>
        <w:fldChar w:fldCharType="begin">
          <w:ffData>
            <w:name w:val=""/>
            <w:enabled/>
            <w:calcOnExit w:val="0"/>
            <w:checkBox>
              <w:size w:val="22"/>
              <w:default w:val="0"/>
            </w:checkBox>
          </w:ffData>
        </w:fldChar>
      </w:r>
      <w:r>
        <w:instrText xml:space="preserve"> FORMCHECKBOX </w:instrText>
      </w:r>
      <w:r w:rsidR="00FD2176">
        <w:fldChar w:fldCharType="separate"/>
      </w:r>
      <w:r>
        <w:fldChar w:fldCharType="end"/>
      </w:r>
      <w:r w:rsidRPr="00422F5D">
        <w:t xml:space="preserve"> NE (smluvní strany toto ustanovení neakceptují)</w:t>
      </w:r>
      <w:r>
        <w:t>“</w:t>
      </w:r>
    </w:p>
    <w:p w14:paraId="26880CDD" w14:textId="2369C8DB" w:rsidR="003404FE" w:rsidRDefault="003404FE" w:rsidP="00212776">
      <w:pPr>
        <w:spacing w:after="120"/>
        <w:ind w:left="1560"/>
      </w:pPr>
    </w:p>
    <w:p w14:paraId="2C4B48C2" w14:textId="3D8B0FCD" w:rsidR="00825A42" w:rsidRDefault="00825A42" w:rsidP="00212776">
      <w:pPr>
        <w:spacing w:after="120"/>
        <w:ind w:left="1560"/>
      </w:pPr>
    </w:p>
    <w:p w14:paraId="1AE9F894" w14:textId="77777777" w:rsidR="00825A42" w:rsidRDefault="00825A42" w:rsidP="00212776">
      <w:pPr>
        <w:spacing w:after="120"/>
        <w:ind w:left="1560"/>
      </w:pPr>
    </w:p>
    <w:p w14:paraId="48336488" w14:textId="3F1D56A0" w:rsidR="003404FE" w:rsidRPr="0042548C" w:rsidRDefault="003404FE" w:rsidP="003404FE">
      <w:pPr>
        <w:pStyle w:val="Nadpis3"/>
      </w:pPr>
      <w:r w:rsidRPr="0042548C">
        <w:lastRenderedPageBreak/>
        <w:t xml:space="preserve">Stávající odstavec </w:t>
      </w:r>
      <w:r>
        <w:t>4</w:t>
      </w:r>
      <w:r w:rsidRPr="0042548C">
        <w:t>.</w:t>
      </w:r>
      <w:r>
        <w:t>4</w:t>
      </w:r>
      <w:r w:rsidRPr="0042548C">
        <w:t>. Smlouvy se nahrazuje následujícím zněním:</w:t>
      </w:r>
    </w:p>
    <w:p w14:paraId="76B63C47" w14:textId="5615E2AB" w:rsidR="003404FE" w:rsidRDefault="003404FE" w:rsidP="00212776">
      <w:pPr>
        <w:spacing w:after="120"/>
        <w:ind w:left="1560"/>
      </w:pPr>
      <w:r>
        <w:t>„</w:t>
      </w:r>
      <w:r w:rsidRPr="00F0637B">
        <w:t xml:space="preserve">Odběratel se zavazuje finanční plnění specifikovaná v odstavcích 4.1., 4.2. a 4.3. uhradit bezhotovostním převodem na základě daňových dokladů (faktur) vystavených Dodavatelem ve splatnosti </w:t>
      </w:r>
      <w:r w:rsidRPr="00CD221E">
        <w:rPr>
          <w:b/>
        </w:rPr>
        <w:t>30 dnů od jejího doručení Odběrateli. Pokud faktura nebude obsahovat všechny zákonem stanovené náležitosti, je Odběratel oprávněn ji do data splatnosti vrátit s tím, že Dodavatel je povinen vystavit novou fakturu s novým termínem splatnosti. V takovém případě není Odběratel v prodlení s úhradou.</w:t>
      </w:r>
      <w:r>
        <w:t>“</w:t>
      </w:r>
    </w:p>
    <w:p w14:paraId="20456143" w14:textId="438C8846" w:rsidR="00065014" w:rsidRPr="0042548C" w:rsidRDefault="00065014" w:rsidP="00065014">
      <w:pPr>
        <w:pStyle w:val="Nadpis3"/>
      </w:pPr>
      <w:r w:rsidRPr="0042548C">
        <w:t xml:space="preserve">Stávající odstavec </w:t>
      </w:r>
      <w:r>
        <w:t>4</w:t>
      </w:r>
      <w:r w:rsidRPr="0042548C">
        <w:t>.</w:t>
      </w:r>
      <w:r>
        <w:t>5</w:t>
      </w:r>
      <w:r w:rsidRPr="0042548C">
        <w:t>. Smlouvy se nahrazuje následujícím zněním:</w:t>
      </w:r>
    </w:p>
    <w:p w14:paraId="1CAEC67D" w14:textId="6E650736" w:rsidR="00065014" w:rsidRDefault="00065014" w:rsidP="00065014">
      <w:pPr>
        <w:spacing w:after="120"/>
        <w:ind w:left="1560"/>
      </w:pPr>
      <w:r>
        <w:t>„V rámci smlouvy o Maintenance ve smyslu odstavce 2.5. se Odběratel zavazuje za takto poskytované služby hradit Dodavateli roční paušální poplatek, a to následovně:</w:t>
      </w:r>
    </w:p>
    <w:p w14:paraId="78016A5F" w14:textId="197E6638" w:rsidR="00065014" w:rsidRDefault="00065014" w:rsidP="004923E5">
      <w:pPr>
        <w:spacing w:after="120"/>
        <w:ind w:left="2127" w:hanging="426"/>
      </w:pPr>
      <w:r>
        <w:t>a)</w:t>
      </w:r>
      <w:r>
        <w:tab/>
        <w:t xml:space="preserve">za období </w:t>
      </w:r>
      <w:r w:rsidRPr="00CD221E">
        <w:rPr>
          <w:b/>
        </w:rPr>
        <w:t>ode dne účinnosti této smlouvy</w:t>
      </w:r>
      <w:r>
        <w:t xml:space="preserve"> do 5.12.2019 v alikvótní výši </w:t>
      </w:r>
      <w:r w:rsidR="00341A37" w:rsidRPr="00341A37">
        <w:rPr>
          <w:b/>
        </w:rPr>
        <w:t>7 816,91</w:t>
      </w:r>
      <w:r w:rsidR="00341A37">
        <w:t xml:space="preserve"> </w:t>
      </w:r>
      <w:r>
        <w:t xml:space="preserve">Kč bez DPH, </w:t>
      </w:r>
      <w:r w:rsidRPr="00CD221E">
        <w:rPr>
          <w:b/>
        </w:rPr>
        <w:t>tato částka bude navýšena</w:t>
      </w:r>
      <w:r>
        <w:t xml:space="preserve"> o zákonnou sazbu DPH. </w:t>
      </w:r>
    </w:p>
    <w:p w14:paraId="5CB42066" w14:textId="6AE17D41" w:rsidR="003404FE" w:rsidRDefault="00065014" w:rsidP="004923E5">
      <w:pPr>
        <w:spacing w:after="120"/>
        <w:ind w:left="2127" w:hanging="426"/>
      </w:pPr>
      <w:r>
        <w:t>b)</w:t>
      </w:r>
      <w:r>
        <w:tab/>
        <w:t xml:space="preserve">po uplynutí doby dle předchozího bodu a) ve výši </w:t>
      </w:r>
      <w:r w:rsidRPr="0076247A">
        <w:rPr>
          <w:b/>
        </w:rPr>
        <w:t>135 223,96</w:t>
      </w:r>
      <w:r>
        <w:t xml:space="preserve"> Kč DPH </w:t>
      </w:r>
      <w:r w:rsidRPr="00CD221E">
        <w:rPr>
          <w:b/>
        </w:rPr>
        <w:t>za každých dvanáct (12) měsíců poskytování Maintenance, tato částka bude navýšena</w:t>
      </w:r>
      <w:r>
        <w:t xml:space="preserve"> o zákonnou sazbu DPH, a to po celou dobu </w:t>
      </w:r>
      <w:r w:rsidRPr="00CD221E">
        <w:rPr>
          <w:b/>
        </w:rPr>
        <w:t>poskytování Maintenance</w:t>
      </w:r>
      <w:r>
        <w:t xml:space="preserve"> na základě daňového dokladu (faktury) vystaveného Dodavatelem, a sice vždy dopředu na období dvanácti (12) měsíců.</w:t>
      </w:r>
      <w:r w:rsidR="0076247A">
        <w:t>“</w:t>
      </w:r>
      <w:r>
        <w:t xml:space="preserve">                   </w:t>
      </w:r>
    </w:p>
    <w:p w14:paraId="71ECDF98" w14:textId="2951613A" w:rsidR="0076247A" w:rsidRPr="0042548C" w:rsidRDefault="0076247A" w:rsidP="0076247A">
      <w:pPr>
        <w:pStyle w:val="Nadpis3"/>
      </w:pPr>
      <w:r w:rsidRPr="0042548C">
        <w:t xml:space="preserve">Stávající odstavec </w:t>
      </w:r>
      <w:r>
        <w:t>6</w:t>
      </w:r>
      <w:r w:rsidRPr="0042548C">
        <w:t>.</w:t>
      </w:r>
      <w:r>
        <w:t>2</w:t>
      </w:r>
      <w:r w:rsidRPr="0042548C">
        <w:t>. Smlouvy se nahrazuje následujícím zněním:</w:t>
      </w:r>
    </w:p>
    <w:p w14:paraId="4EA63E46" w14:textId="0F0FFF19" w:rsidR="003404FE" w:rsidRDefault="00825A42" w:rsidP="00212776">
      <w:pPr>
        <w:spacing w:after="120"/>
        <w:ind w:left="1560"/>
      </w:pPr>
      <w:r>
        <w:t>„</w:t>
      </w:r>
      <w:r w:rsidR="0076247A" w:rsidRPr="0076247A">
        <w:t xml:space="preserve">Vše, co není upraveno v této Smlouvě, se řídí nejaktuálnějším zněním Všeobecných obchodních podmínek Dodavatele (dále jen „VOP“) platným v době uzavření této Smlouvy, jež je dostupné ve veřejně přístupné části webových stránek Dodavatele (na www.helios.eu). </w:t>
      </w:r>
      <w:r w:rsidR="0076247A" w:rsidRPr="00EB4CF3">
        <w:rPr>
          <w:b/>
        </w:rPr>
        <w:t>Aktuální VOP tvoří přílohu č. 7 této Smlouvy.</w:t>
      </w:r>
      <w:r>
        <w:t>“</w:t>
      </w:r>
    </w:p>
    <w:p w14:paraId="20AC4B1C" w14:textId="473988EF" w:rsidR="00825A42" w:rsidRPr="0042548C" w:rsidRDefault="00825A42" w:rsidP="00825A42">
      <w:pPr>
        <w:pStyle w:val="Nadpis3"/>
      </w:pPr>
      <w:r w:rsidRPr="0042548C">
        <w:t xml:space="preserve">Stávající odstavec </w:t>
      </w:r>
      <w:r>
        <w:t>6</w:t>
      </w:r>
      <w:r w:rsidRPr="0042548C">
        <w:t>.</w:t>
      </w:r>
      <w:r>
        <w:t>4</w:t>
      </w:r>
      <w:r w:rsidRPr="0042548C">
        <w:t>. Smlouvy se nahrazuje následujícím zněním:</w:t>
      </w:r>
    </w:p>
    <w:p w14:paraId="3C1D9272" w14:textId="7BF01F7E" w:rsidR="000640DA" w:rsidRDefault="00EB4CF3" w:rsidP="00EB4CF3">
      <w:pPr>
        <w:spacing w:after="120"/>
        <w:ind w:left="1560"/>
      </w:pPr>
      <w:r w:rsidRPr="00EB4CF3">
        <w:t>„</w:t>
      </w:r>
      <w:r w:rsidRPr="00EB4CF3">
        <w:rPr>
          <w:b/>
        </w:rPr>
        <w:t>Smluvní strany berou na vědomí, že tato Smlouva ke své účinnosti vyžaduje uveřejnění v registru smluv podle zákona č. 340/2015 Sb., o zvláštních podmínkách účinnosti některých smluv, uveřejňování těchto smluv a o registru smluv (zákon o registru smluv) a s tímto uveřejněním souhlasí. Tato Smlouva nabývá platnosti dnem podpisu poslední smluvní strany a účinnosti dnem uveřejnění v registru smluv podle zákona o registru smluv.</w:t>
      </w:r>
      <w:r w:rsidRPr="00EB4CF3">
        <w:t xml:space="preserve"> Licenční smlouva se uzavírá na dobu trvání majetkových práv, smlouva o Maintenance se uzavírá na dobu neurčitou.</w:t>
      </w:r>
    </w:p>
    <w:p w14:paraId="520BDCA8" w14:textId="7C792A08" w:rsidR="00EB4CF3" w:rsidRPr="00EB4CF3" w:rsidRDefault="000640DA" w:rsidP="000640DA">
      <w:pPr>
        <w:pStyle w:val="Nadpis3"/>
        <w:numPr>
          <w:ilvl w:val="0"/>
          <w:numId w:val="0"/>
        </w:numPr>
        <w:ind w:left="1588"/>
      </w:pPr>
      <w:r w:rsidRPr="000640DA">
        <w:rPr>
          <w:b/>
        </w:rPr>
        <w:t>Obě smluvní strany jsou oprávněny smlouvu o Maintenance vypovědět kdykoliv i bez uvedení důvodu. Výpovědní lhůta činí v případě výpovědi ze strany Odběratele tři (3) měsíce, v případě výpovědi ze strany Dodavatele šest (6) měsíců a počíná běžet dnem následujícím po dni prokazatelného doručení písemné výpovědi druhé smluvní straně. Po dobu výpovědní lhůty trvají všechna práva a povinnosti smluvních stran touto Smlouvou založené. Dodavatel je povinen plnit předmět této Smlouvy v rozsahu dohodnutém s Odběratelem do uplynutí výpovědní doby, není-li ve výpovědi stanoveno jinak. Odběratel je povinen cenu za takovéto plnění předmětu této Smlouvy poskytnuté v souladu s touto Smlouvou Dodavateli zaplatit.</w:t>
      </w:r>
      <w:r w:rsidR="00EB4CF3">
        <w:t>“</w:t>
      </w:r>
      <w:r w:rsidR="00EB4CF3" w:rsidRPr="00EB4CF3">
        <w:t xml:space="preserve"> </w:t>
      </w:r>
    </w:p>
    <w:p w14:paraId="213511EB" w14:textId="67C965E0" w:rsidR="000640DA" w:rsidRPr="00B858F6" w:rsidRDefault="000640DA" w:rsidP="000640DA">
      <w:pPr>
        <w:pStyle w:val="Nadpis3"/>
      </w:pPr>
      <w:r w:rsidRPr="000640DA">
        <w:t xml:space="preserve">Spolu </w:t>
      </w:r>
      <w:r>
        <w:t xml:space="preserve">se Smlouvou </w:t>
      </w:r>
      <w:r w:rsidRPr="000640DA">
        <w:t>uzavřely smluvní strany vedlejší ujednání, v kterém se smluvní strany dohodly na úpravě práv a povinností</w:t>
      </w:r>
      <w:r w:rsidRPr="00B858F6">
        <w:t xml:space="preserve"> z oblasti ochrany osobních údajů.</w:t>
      </w:r>
    </w:p>
    <w:p w14:paraId="13BEFE79" w14:textId="77777777" w:rsidR="000640DA" w:rsidRDefault="000640DA" w:rsidP="00EB4CF3">
      <w:pPr>
        <w:spacing w:after="120"/>
        <w:ind w:left="1560"/>
        <w:rPr>
          <w:rFonts w:cs="Arial"/>
        </w:rPr>
      </w:pPr>
    </w:p>
    <w:p w14:paraId="32B3520F" w14:textId="1FFFBB26" w:rsidR="0097457B" w:rsidRPr="000640DA" w:rsidRDefault="0097457B" w:rsidP="0097457B">
      <w:pPr>
        <w:pStyle w:val="Nadpis3"/>
      </w:pPr>
      <w:r w:rsidRPr="000640DA">
        <w:t xml:space="preserve">Smlouva se doplňuje o </w:t>
      </w:r>
      <w:r w:rsidR="00C35FDE" w:rsidRPr="000640DA">
        <w:t xml:space="preserve">novou </w:t>
      </w:r>
      <w:r w:rsidRPr="000640DA">
        <w:t>přílohu</w:t>
      </w:r>
      <w:r w:rsidR="00C35FDE" w:rsidRPr="000640DA">
        <w:t xml:space="preserve"> č. </w:t>
      </w:r>
      <w:r w:rsidR="000640DA" w:rsidRPr="000640DA">
        <w:t>7</w:t>
      </w:r>
      <w:r w:rsidRPr="000640DA">
        <w:t xml:space="preserve"> „</w:t>
      </w:r>
      <w:r w:rsidR="000640DA" w:rsidRPr="000640DA">
        <w:t>Všeobecné obchodní podmínky Dodavatele</w:t>
      </w:r>
      <w:r w:rsidRPr="000640DA">
        <w:t xml:space="preserve">“, jejíž znění je součástí tohoto dodatku jako příloha č. </w:t>
      </w:r>
      <w:r w:rsidR="000640DA" w:rsidRPr="000640DA">
        <w:t>1</w:t>
      </w:r>
      <w:r w:rsidRPr="000640DA">
        <w:t>.</w:t>
      </w:r>
    </w:p>
    <w:p w14:paraId="236B1927" w14:textId="77777777" w:rsidR="00F62C7B" w:rsidRPr="00E92393" w:rsidRDefault="00F62C7B" w:rsidP="00023C6D">
      <w:pPr>
        <w:spacing w:after="120"/>
        <w:rPr>
          <w:rFonts w:asciiTheme="minorHAnsi" w:hAnsiTheme="minorHAnsi" w:cstheme="minorHAnsi"/>
          <w:color w:val="FF0000"/>
        </w:rPr>
      </w:pPr>
    </w:p>
    <w:p w14:paraId="04071908" w14:textId="77777777" w:rsidR="00E92393" w:rsidRPr="00607C64" w:rsidRDefault="00E92393" w:rsidP="00111E1C">
      <w:pPr>
        <w:numPr>
          <w:ilvl w:val="0"/>
          <w:numId w:val="6"/>
        </w:numPr>
        <w:spacing w:after="120"/>
        <w:jc w:val="center"/>
        <w:rPr>
          <w:rFonts w:asciiTheme="minorHAnsi" w:hAnsiTheme="minorHAnsi" w:cstheme="minorHAnsi"/>
          <w:b/>
          <w:bCs/>
          <w:sz w:val="24"/>
          <w:szCs w:val="24"/>
        </w:rPr>
      </w:pPr>
      <w:r w:rsidRPr="00607C64">
        <w:rPr>
          <w:rFonts w:asciiTheme="minorHAnsi" w:hAnsiTheme="minorHAnsi" w:cstheme="minorHAnsi"/>
          <w:b/>
          <w:sz w:val="24"/>
          <w:szCs w:val="24"/>
        </w:rPr>
        <w:t>Závěrečná ustanovení</w:t>
      </w:r>
    </w:p>
    <w:p w14:paraId="4F40C51E" w14:textId="48887570" w:rsidR="00FD64F8" w:rsidRPr="001D6E82" w:rsidRDefault="00FD64F8" w:rsidP="00111E1C">
      <w:pPr>
        <w:numPr>
          <w:ilvl w:val="1"/>
          <w:numId w:val="6"/>
        </w:numPr>
        <w:spacing w:after="120"/>
        <w:ind w:left="540" w:hanging="540"/>
        <w:rPr>
          <w:rFonts w:asciiTheme="minorHAnsi" w:hAnsiTheme="minorHAnsi" w:cstheme="minorHAnsi"/>
          <w:bCs/>
        </w:rPr>
      </w:pPr>
      <w:r w:rsidRPr="001D6E82">
        <w:rPr>
          <w:rFonts w:asciiTheme="minorHAnsi" w:hAnsiTheme="minorHAnsi" w:cstheme="minorHAnsi"/>
        </w:rPr>
        <w:t xml:space="preserve">Tento dodatek </w:t>
      </w:r>
      <w:r w:rsidR="00E92393" w:rsidRPr="001D6E82">
        <w:rPr>
          <w:rFonts w:asciiTheme="minorHAnsi" w:hAnsiTheme="minorHAnsi" w:cstheme="minorHAnsi"/>
        </w:rPr>
        <w:t xml:space="preserve">nabývá své platnosti a účinnosti dnem podpisu </w:t>
      </w:r>
      <w:r w:rsidRPr="001D6E82">
        <w:rPr>
          <w:rFonts w:asciiTheme="minorHAnsi" w:hAnsiTheme="minorHAnsi" w:cstheme="minorHAnsi"/>
        </w:rPr>
        <w:t>o</w:t>
      </w:r>
      <w:r w:rsidR="002C1291" w:rsidRPr="001D6E82">
        <w:rPr>
          <w:rFonts w:asciiTheme="minorHAnsi" w:hAnsiTheme="minorHAnsi" w:cstheme="minorHAnsi"/>
        </w:rPr>
        <w:t>běma smluvními stranami</w:t>
      </w:r>
    </w:p>
    <w:p w14:paraId="1F57F0BF" w14:textId="6241E9C5" w:rsidR="00E92393" w:rsidRPr="001D6E82" w:rsidRDefault="00FD64F8" w:rsidP="00111E1C">
      <w:pPr>
        <w:numPr>
          <w:ilvl w:val="1"/>
          <w:numId w:val="6"/>
        </w:numPr>
        <w:spacing w:after="120"/>
        <w:ind w:left="540" w:hanging="540"/>
        <w:rPr>
          <w:rFonts w:asciiTheme="minorHAnsi" w:hAnsiTheme="minorHAnsi" w:cstheme="minorHAnsi"/>
          <w:bCs/>
        </w:rPr>
      </w:pPr>
      <w:r w:rsidRPr="001D6E82">
        <w:rPr>
          <w:rFonts w:asciiTheme="minorHAnsi" w:hAnsiTheme="minorHAnsi" w:cstheme="minorHAnsi"/>
        </w:rPr>
        <w:t xml:space="preserve">Tento dodatek </w:t>
      </w:r>
      <w:r w:rsidRPr="001D6E82">
        <w:rPr>
          <w:rFonts w:cs="Arial"/>
        </w:rPr>
        <w:t>je</w:t>
      </w:r>
      <w:r w:rsidR="00E92393" w:rsidRPr="001D6E82">
        <w:rPr>
          <w:rFonts w:asciiTheme="minorHAnsi" w:hAnsiTheme="minorHAnsi" w:cstheme="minorHAnsi"/>
        </w:rPr>
        <w:t xml:space="preserve"> vyhotoven ve dvou exemplářích, z nichž každá ze smluvních stran obdrží po jednom </w:t>
      </w:r>
      <w:r w:rsidRPr="001D6E82">
        <w:rPr>
          <w:rFonts w:asciiTheme="minorHAnsi" w:hAnsiTheme="minorHAnsi" w:cstheme="minorHAnsi"/>
        </w:rPr>
        <w:t>vyhotovení</w:t>
      </w:r>
      <w:r w:rsidR="00E92393" w:rsidRPr="001D6E82">
        <w:rPr>
          <w:rFonts w:asciiTheme="minorHAnsi" w:hAnsiTheme="minorHAnsi" w:cstheme="minorHAnsi"/>
        </w:rPr>
        <w:t>.</w:t>
      </w:r>
    </w:p>
    <w:p w14:paraId="0BBB82A4" w14:textId="77777777" w:rsidR="00E92393" w:rsidRPr="001D6E82" w:rsidRDefault="00E92393" w:rsidP="00111E1C">
      <w:pPr>
        <w:numPr>
          <w:ilvl w:val="1"/>
          <w:numId w:val="6"/>
        </w:numPr>
        <w:spacing w:after="120"/>
        <w:ind w:left="540" w:hanging="540"/>
        <w:rPr>
          <w:rFonts w:asciiTheme="minorHAnsi" w:hAnsiTheme="minorHAnsi" w:cstheme="minorHAnsi"/>
          <w:bCs/>
        </w:rPr>
      </w:pPr>
      <w:r w:rsidRPr="001D6E82">
        <w:rPr>
          <w:rFonts w:asciiTheme="minorHAnsi" w:hAnsiTheme="minorHAnsi" w:cstheme="minorHAnsi"/>
        </w:rPr>
        <w:t>Smluvní strany prohlašují, že si tento dodatek před jeho podpisem přečetly, s jeho obsahem souhlasí, a že byl uzavřen po vzájemném projednání podle jejich pravé a svobodné vůle, přičemž jeho autentičnost stvrzují svými níže uvedenými podpisy.</w:t>
      </w:r>
    </w:p>
    <w:p w14:paraId="338F8A59" w14:textId="799D8CE0" w:rsidR="00E92393" w:rsidRDefault="00E92393" w:rsidP="00E92393">
      <w:pPr>
        <w:rPr>
          <w:rFonts w:asciiTheme="minorHAnsi" w:hAnsiTheme="minorHAnsi" w:cstheme="minorHAnsi"/>
        </w:rPr>
      </w:pPr>
    </w:p>
    <w:p w14:paraId="2C326B2E" w14:textId="72826478" w:rsidR="000640DA" w:rsidRPr="000640DA" w:rsidRDefault="000640DA" w:rsidP="00E92393">
      <w:pPr>
        <w:rPr>
          <w:rFonts w:asciiTheme="minorHAnsi" w:hAnsiTheme="minorHAnsi" w:cstheme="minorHAnsi"/>
          <w:u w:val="single"/>
        </w:rPr>
      </w:pPr>
      <w:r w:rsidRPr="000640DA">
        <w:rPr>
          <w:rFonts w:asciiTheme="minorHAnsi" w:hAnsiTheme="minorHAnsi" w:cstheme="minorHAnsi"/>
          <w:u w:val="single"/>
        </w:rPr>
        <w:t>Seznam příloh, které tvoří nedílnou součást tohoto dodatku:</w:t>
      </w:r>
    </w:p>
    <w:p w14:paraId="0F5540F7" w14:textId="4F3EAA4D" w:rsidR="000640DA" w:rsidRPr="001D6E82" w:rsidRDefault="000640DA" w:rsidP="00E92393">
      <w:pPr>
        <w:rPr>
          <w:rFonts w:asciiTheme="minorHAnsi" w:hAnsiTheme="minorHAnsi" w:cstheme="minorHAnsi"/>
        </w:rPr>
      </w:pPr>
      <w:r>
        <w:rPr>
          <w:rFonts w:asciiTheme="minorHAnsi" w:hAnsiTheme="minorHAnsi" w:cstheme="minorHAnsi"/>
        </w:rPr>
        <w:t xml:space="preserve">Příloha č. 1 - </w:t>
      </w:r>
      <w:r w:rsidRPr="000640DA">
        <w:t>Všeobecné obchodní podmínky Dodavatele</w:t>
      </w:r>
    </w:p>
    <w:p w14:paraId="7E20D804" w14:textId="77777777" w:rsidR="00E92393" w:rsidRPr="001D6E82" w:rsidRDefault="00E92393" w:rsidP="00E92393">
      <w:pPr>
        <w:rPr>
          <w:rFonts w:asciiTheme="minorHAnsi" w:hAnsiTheme="minorHAnsi" w:cstheme="minorHAnsi"/>
        </w:rPr>
      </w:pPr>
    </w:p>
    <w:p w14:paraId="4D0C0D29" w14:textId="77777777" w:rsidR="00E92393" w:rsidRPr="001D6E82" w:rsidRDefault="00E92393" w:rsidP="00E92393">
      <w:pPr>
        <w:rPr>
          <w:rFonts w:asciiTheme="minorHAnsi" w:hAnsiTheme="minorHAnsi" w:cstheme="minorHAnsi"/>
        </w:rPr>
      </w:pPr>
    </w:p>
    <w:p w14:paraId="4779812B" w14:textId="77777777" w:rsidR="00D57166" w:rsidRPr="001D6E82" w:rsidRDefault="00D57166" w:rsidP="00E92393">
      <w:pPr>
        <w:rPr>
          <w:rFonts w:asciiTheme="minorHAnsi" w:hAnsiTheme="minorHAnsi" w:cstheme="minorHAnsi"/>
        </w:rPr>
      </w:pPr>
    </w:p>
    <w:tbl>
      <w:tblPr>
        <w:tblW w:w="9720" w:type="dxa"/>
        <w:tblLayout w:type="fixed"/>
        <w:tblCellMar>
          <w:left w:w="0" w:type="dxa"/>
          <w:right w:w="0" w:type="dxa"/>
        </w:tblCellMar>
        <w:tblLook w:val="01E0" w:firstRow="1" w:lastRow="1" w:firstColumn="1" w:lastColumn="1" w:noHBand="0" w:noVBand="0"/>
      </w:tblPr>
      <w:tblGrid>
        <w:gridCol w:w="4860"/>
        <w:gridCol w:w="4860"/>
      </w:tblGrid>
      <w:tr w:rsidR="00E92393" w:rsidRPr="00E92393" w14:paraId="3D5FC542" w14:textId="77777777" w:rsidTr="002B0AD2">
        <w:tc>
          <w:tcPr>
            <w:tcW w:w="4860" w:type="dxa"/>
          </w:tcPr>
          <w:p w14:paraId="6261B389" w14:textId="358EF35F" w:rsidR="00E92393" w:rsidRPr="001D6E82" w:rsidRDefault="00E92393" w:rsidP="002B0AD2">
            <w:pPr>
              <w:tabs>
                <w:tab w:val="center" w:pos="2127"/>
                <w:tab w:val="center" w:pos="6379"/>
              </w:tabs>
              <w:rPr>
                <w:rFonts w:asciiTheme="minorHAnsi" w:hAnsiTheme="minorHAnsi" w:cstheme="minorHAnsi"/>
              </w:rPr>
            </w:pPr>
            <w:r w:rsidRPr="001D6E82">
              <w:rPr>
                <w:rFonts w:asciiTheme="minorHAnsi" w:hAnsiTheme="minorHAnsi" w:cstheme="minorHAnsi"/>
              </w:rPr>
              <w:t xml:space="preserve">V Praze dne </w:t>
            </w:r>
          </w:p>
          <w:p w14:paraId="59318036" w14:textId="77777777" w:rsidR="00E92393" w:rsidRPr="001D6E82" w:rsidRDefault="00E92393" w:rsidP="002B0AD2">
            <w:pPr>
              <w:tabs>
                <w:tab w:val="center" w:pos="2127"/>
                <w:tab w:val="center" w:pos="6379"/>
              </w:tabs>
              <w:rPr>
                <w:rFonts w:asciiTheme="minorHAnsi" w:hAnsiTheme="minorHAnsi" w:cstheme="minorHAnsi"/>
              </w:rPr>
            </w:pPr>
          </w:p>
          <w:p w14:paraId="5B10719B" w14:textId="77777777" w:rsidR="00E92393" w:rsidRPr="001D6E82" w:rsidRDefault="00E92393" w:rsidP="002B0AD2">
            <w:pPr>
              <w:tabs>
                <w:tab w:val="center" w:pos="2127"/>
                <w:tab w:val="center" w:pos="6379"/>
              </w:tabs>
              <w:rPr>
                <w:rFonts w:asciiTheme="minorHAnsi" w:hAnsiTheme="minorHAnsi" w:cstheme="minorHAnsi"/>
              </w:rPr>
            </w:pPr>
          </w:p>
          <w:p w14:paraId="20E326EB" w14:textId="77777777" w:rsidR="00E92393" w:rsidRPr="001D6E82" w:rsidRDefault="00E92393" w:rsidP="002B0AD2">
            <w:pPr>
              <w:tabs>
                <w:tab w:val="center" w:pos="2127"/>
                <w:tab w:val="center" w:pos="6379"/>
              </w:tabs>
              <w:rPr>
                <w:rFonts w:asciiTheme="minorHAnsi" w:hAnsiTheme="minorHAnsi" w:cstheme="minorHAnsi"/>
              </w:rPr>
            </w:pPr>
            <w:r w:rsidRPr="001D6E82">
              <w:rPr>
                <w:rFonts w:asciiTheme="minorHAnsi" w:hAnsiTheme="minorHAnsi" w:cstheme="minorHAnsi"/>
              </w:rPr>
              <w:t>Za Asseco Solutions, a.s.</w:t>
            </w:r>
          </w:p>
          <w:p w14:paraId="4558D685" w14:textId="77777777" w:rsidR="00E92393" w:rsidRPr="001D6E82" w:rsidRDefault="00E92393" w:rsidP="002B0AD2">
            <w:pPr>
              <w:tabs>
                <w:tab w:val="center" w:pos="2127"/>
                <w:tab w:val="center" w:pos="6379"/>
              </w:tabs>
              <w:rPr>
                <w:rFonts w:asciiTheme="minorHAnsi" w:hAnsiTheme="minorHAnsi" w:cstheme="minorHAnsi"/>
              </w:rPr>
            </w:pPr>
          </w:p>
          <w:p w14:paraId="7C2A7B4A" w14:textId="77777777" w:rsidR="00E92393" w:rsidRPr="001D6E82" w:rsidRDefault="00E92393" w:rsidP="002B0AD2">
            <w:pPr>
              <w:tabs>
                <w:tab w:val="center" w:pos="2127"/>
                <w:tab w:val="center" w:pos="6379"/>
              </w:tabs>
              <w:rPr>
                <w:rFonts w:asciiTheme="minorHAnsi" w:hAnsiTheme="minorHAnsi" w:cstheme="minorHAnsi"/>
              </w:rPr>
            </w:pPr>
          </w:p>
          <w:p w14:paraId="04C8B0F6" w14:textId="77777777" w:rsidR="00E92393" w:rsidRPr="001D6E82" w:rsidRDefault="00E92393" w:rsidP="002B0AD2">
            <w:pPr>
              <w:tabs>
                <w:tab w:val="center" w:pos="2127"/>
                <w:tab w:val="center" w:pos="6379"/>
              </w:tabs>
              <w:rPr>
                <w:rFonts w:asciiTheme="minorHAnsi" w:hAnsiTheme="minorHAnsi" w:cstheme="minorHAnsi"/>
              </w:rPr>
            </w:pPr>
          </w:p>
          <w:p w14:paraId="22397036" w14:textId="77777777" w:rsidR="00E92393" w:rsidRPr="001D6E82" w:rsidRDefault="00E92393" w:rsidP="002B0AD2">
            <w:pPr>
              <w:tabs>
                <w:tab w:val="center" w:pos="2127"/>
                <w:tab w:val="center" w:pos="6379"/>
              </w:tabs>
              <w:rPr>
                <w:rFonts w:asciiTheme="minorHAnsi" w:hAnsiTheme="minorHAnsi" w:cstheme="minorHAnsi"/>
              </w:rPr>
            </w:pPr>
          </w:p>
          <w:p w14:paraId="10928CDB" w14:textId="77777777" w:rsidR="00E92393" w:rsidRPr="001D6E82" w:rsidRDefault="00E92393" w:rsidP="002B0AD2">
            <w:pPr>
              <w:keepLines/>
              <w:tabs>
                <w:tab w:val="center" w:pos="2552"/>
                <w:tab w:val="center" w:pos="6804"/>
              </w:tabs>
              <w:rPr>
                <w:rFonts w:asciiTheme="minorHAnsi" w:hAnsiTheme="minorHAnsi" w:cstheme="minorHAnsi"/>
              </w:rPr>
            </w:pPr>
            <w:r w:rsidRPr="001D6E82">
              <w:rPr>
                <w:rFonts w:asciiTheme="minorHAnsi" w:hAnsiTheme="minorHAnsi" w:cstheme="minorHAnsi"/>
              </w:rPr>
              <w:t>…………………………………………………</w:t>
            </w:r>
          </w:p>
          <w:p w14:paraId="61325ABD" w14:textId="177A4F39" w:rsidR="00E92393" w:rsidRPr="001D6E82" w:rsidRDefault="00FD2176" w:rsidP="002B0AD2">
            <w:pPr>
              <w:keepLines/>
              <w:tabs>
                <w:tab w:val="center" w:pos="2552"/>
                <w:tab w:val="center" w:pos="6804"/>
              </w:tabs>
              <w:rPr>
                <w:rFonts w:asciiTheme="minorHAnsi" w:hAnsiTheme="minorHAnsi" w:cstheme="minorHAnsi"/>
              </w:rPr>
            </w:pPr>
            <w:r>
              <w:rPr>
                <w:rFonts w:asciiTheme="minorHAnsi" w:hAnsiTheme="minorHAnsi" w:cstheme="minorHAnsi"/>
              </w:rPr>
              <w:t>xxxxxxxxxx</w:t>
            </w:r>
          </w:p>
          <w:p w14:paraId="63CFF2CE" w14:textId="05EFB13A" w:rsidR="00E92393" w:rsidRPr="001D6E82" w:rsidRDefault="00AC521E" w:rsidP="002B0AD2">
            <w:pPr>
              <w:keepLines/>
              <w:tabs>
                <w:tab w:val="center" w:pos="2552"/>
                <w:tab w:val="center" w:pos="6804"/>
              </w:tabs>
              <w:rPr>
                <w:rFonts w:asciiTheme="minorHAnsi" w:hAnsiTheme="minorHAnsi" w:cstheme="minorHAnsi"/>
              </w:rPr>
            </w:pPr>
            <w:r w:rsidRPr="001D6E82">
              <w:rPr>
                <w:rFonts w:asciiTheme="minorHAnsi" w:hAnsiTheme="minorHAnsi" w:cstheme="minorHAnsi"/>
              </w:rPr>
              <w:t>člen</w:t>
            </w:r>
            <w:r w:rsidR="00E92393" w:rsidRPr="001D6E82">
              <w:rPr>
                <w:rFonts w:asciiTheme="minorHAnsi" w:hAnsiTheme="minorHAnsi" w:cstheme="minorHAnsi"/>
              </w:rPr>
              <w:t xml:space="preserve"> představenstva</w:t>
            </w:r>
          </w:p>
        </w:tc>
        <w:tc>
          <w:tcPr>
            <w:tcW w:w="4860" w:type="dxa"/>
          </w:tcPr>
          <w:p w14:paraId="3BA2A320" w14:textId="481B54A9" w:rsidR="00E92393" w:rsidRPr="001D6E82" w:rsidRDefault="00E92393" w:rsidP="002B0AD2">
            <w:pPr>
              <w:tabs>
                <w:tab w:val="center" w:pos="2127"/>
                <w:tab w:val="center" w:pos="6379"/>
              </w:tabs>
              <w:rPr>
                <w:rFonts w:asciiTheme="minorHAnsi" w:hAnsiTheme="minorHAnsi" w:cstheme="minorHAnsi"/>
              </w:rPr>
            </w:pPr>
            <w:r w:rsidRPr="001D6E82">
              <w:rPr>
                <w:rFonts w:asciiTheme="minorHAnsi" w:hAnsiTheme="minorHAnsi" w:cstheme="minorHAnsi"/>
              </w:rPr>
              <w:t>V</w:t>
            </w:r>
            <w:r w:rsidR="00341A37">
              <w:rPr>
                <w:rFonts w:asciiTheme="minorHAnsi" w:hAnsiTheme="minorHAnsi" w:cstheme="minorHAnsi"/>
              </w:rPr>
              <w:t xml:space="preserve"> Praze </w:t>
            </w:r>
            <w:r w:rsidRPr="001D6E82">
              <w:rPr>
                <w:rFonts w:asciiTheme="minorHAnsi" w:hAnsiTheme="minorHAnsi" w:cstheme="minorHAnsi"/>
              </w:rPr>
              <w:t xml:space="preserve">dne </w:t>
            </w:r>
          </w:p>
          <w:p w14:paraId="6958D7BE" w14:textId="77777777" w:rsidR="00E92393" w:rsidRPr="001D6E82" w:rsidRDefault="00E92393" w:rsidP="002B0AD2">
            <w:pPr>
              <w:tabs>
                <w:tab w:val="center" w:pos="2127"/>
                <w:tab w:val="center" w:pos="6379"/>
              </w:tabs>
              <w:rPr>
                <w:rFonts w:asciiTheme="minorHAnsi" w:hAnsiTheme="minorHAnsi" w:cstheme="minorHAnsi"/>
              </w:rPr>
            </w:pPr>
          </w:p>
          <w:p w14:paraId="10597B0E" w14:textId="77777777" w:rsidR="00E92393" w:rsidRPr="001D6E82" w:rsidRDefault="00E92393" w:rsidP="002B0AD2">
            <w:pPr>
              <w:tabs>
                <w:tab w:val="center" w:pos="2127"/>
                <w:tab w:val="center" w:pos="6379"/>
              </w:tabs>
              <w:rPr>
                <w:rFonts w:asciiTheme="minorHAnsi" w:hAnsiTheme="minorHAnsi" w:cstheme="minorHAnsi"/>
              </w:rPr>
            </w:pPr>
          </w:p>
          <w:p w14:paraId="53D27232" w14:textId="30352453" w:rsidR="00E92393" w:rsidRPr="001D6E82" w:rsidRDefault="00E92393" w:rsidP="002B0AD2">
            <w:pPr>
              <w:tabs>
                <w:tab w:val="center" w:pos="4535"/>
              </w:tabs>
              <w:rPr>
                <w:rFonts w:asciiTheme="minorHAnsi" w:hAnsiTheme="minorHAnsi" w:cstheme="minorHAnsi"/>
              </w:rPr>
            </w:pPr>
            <w:r w:rsidRPr="001D6E82">
              <w:rPr>
                <w:rFonts w:asciiTheme="minorHAnsi" w:hAnsiTheme="minorHAnsi" w:cstheme="minorHAnsi"/>
              </w:rPr>
              <w:t xml:space="preserve">Za </w:t>
            </w:r>
            <w:r w:rsidR="001D6E82" w:rsidRPr="001D6E82">
              <w:t>Centrum pro regionální rozvoj České republiky</w:t>
            </w:r>
          </w:p>
          <w:p w14:paraId="4B73C526" w14:textId="77777777" w:rsidR="00E92393" w:rsidRPr="001D6E82" w:rsidRDefault="00E92393" w:rsidP="002B0AD2">
            <w:pPr>
              <w:tabs>
                <w:tab w:val="center" w:pos="2127"/>
                <w:tab w:val="center" w:pos="6379"/>
              </w:tabs>
              <w:rPr>
                <w:rFonts w:asciiTheme="minorHAnsi" w:hAnsiTheme="minorHAnsi" w:cstheme="minorHAnsi"/>
              </w:rPr>
            </w:pPr>
          </w:p>
          <w:p w14:paraId="335F2C9B" w14:textId="77777777" w:rsidR="00E92393" w:rsidRPr="001D6E82" w:rsidRDefault="00E92393" w:rsidP="002B0AD2">
            <w:pPr>
              <w:tabs>
                <w:tab w:val="center" w:pos="2127"/>
                <w:tab w:val="center" w:pos="6379"/>
              </w:tabs>
              <w:rPr>
                <w:rFonts w:asciiTheme="minorHAnsi" w:hAnsiTheme="minorHAnsi" w:cstheme="minorHAnsi"/>
              </w:rPr>
            </w:pPr>
          </w:p>
          <w:p w14:paraId="653EFC11" w14:textId="77777777" w:rsidR="00E92393" w:rsidRPr="001D6E82" w:rsidRDefault="00E92393" w:rsidP="002B0AD2">
            <w:pPr>
              <w:tabs>
                <w:tab w:val="center" w:pos="2127"/>
                <w:tab w:val="center" w:pos="6379"/>
              </w:tabs>
              <w:rPr>
                <w:rFonts w:asciiTheme="minorHAnsi" w:hAnsiTheme="minorHAnsi" w:cstheme="minorHAnsi"/>
              </w:rPr>
            </w:pPr>
          </w:p>
          <w:p w14:paraId="3C58F623" w14:textId="77777777" w:rsidR="00E92393" w:rsidRPr="001D6E82" w:rsidRDefault="00E92393" w:rsidP="002B0AD2">
            <w:pPr>
              <w:tabs>
                <w:tab w:val="center" w:pos="2127"/>
                <w:tab w:val="center" w:pos="6379"/>
              </w:tabs>
              <w:rPr>
                <w:rFonts w:asciiTheme="minorHAnsi" w:hAnsiTheme="minorHAnsi" w:cstheme="minorHAnsi"/>
              </w:rPr>
            </w:pPr>
          </w:p>
          <w:p w14:paraId="4680354E" w14:textId="77777777" w:rsidR="007D6D29" w:rsidRPr="001D6E82" w:rsidRDefault="007D6D29" w:rsidP="007D6D29">
            <w:pPr>
              <w:keepLines/>
              <w:tabs>
                <w:tab w:val="center" w:pos="2552"/>
                <w:tab w:val="center" w:pos="6804"/>
              </w:tabs>
              <w:rPr>
                <w:rFonts w:asciiTheme="minorHAnsi" w:hAnsiTheme="minorHAnsi" w:cstheme="minorHAnsi"/>
              </w:rPr>
            </w:pPr>
            <w:r w:rsidRPr="001D6E82">
              <w:rPr>
                <w:rFonts w:asciiTheme="minorHAnsi" w:hAnsiTheme="minorHAnsi" w:cstheme="minorHAnsi"/>
              </w:rPr>
              <w:t>…………………………………………………</w:t>
            </w:r>
          </w:p>
          <w:p w14:paraId="228CB767" w14:textId="4899245F" w:rsidR="001D6E82" w:rsidRPr="001D6E82" w:rsidRDefault="00FD2176" w:rsidP="001D6E82">
            <w:pPr>
              <w:widowControl w:val="0"/>
              <w:tabs>
                <w:tab w:val="center" w:pos="2552"/>
                <w:tab w:val="center" w:pos="6804"/>
              </w:tabs>
            </w:pPr>
            <w:r>
              <w:t>xxxxxxxxxxxxxxx</w:t>
            </w:r>
          </w:p>
          <w:p w14:paraId="5FAE50D4" w14:textId="0B64ADDB" w:rsidR="007D6D29" w:rsidRPr="00E92393" w:rsidRDefault="001D6E82" w:rsidP="001D6E82">
            <w:pPr>
              <w:keepNext/>
              <w:keepLines/>
              <w:tabs>
                <w:tab w:val="center" w:pos="2552"/>
                <w:tab w:val="center" w:pos="6804"/>
              </w:tabs>
              <w:rPr>
                <w:rFonts w:asciiTheme="minorHAnsi" w:hAnsiTheme="minorHAnsi" w:cstheme="minorHAnsi"/>
              </w:rPr>
            </w:pPr>
            <w:r w:rsidRPr="001D6E82">
              <w:t>generální ředitel organizace</w:t>
            </w:r>
          </w:p>
        </w:tc>
      </w:tr>
    </w:tbl>
    <w:p w14:paraId="0A2250F0" w14:textId="6BCAD5C8" w:rsidR="006750F0" w:rsidRPr="00E92393" w:rsidRDefault="006750F0" w:rsidP="00D41B55">
      <w:pPr>
        <w:rPr>
          <w:rFonts w:asciiTheme="minorHAnsi" w:hAnsiTheme="minorHAnsi" w:cstheme="minorHAnsi"/>
        </w:rPr>
      </w:pPr>
      <w:bookmarkStart w:id="2" w:name="_GoBack"/>
      <w:bookmarkEnd w:id="2"/>
    </w:p>
    <w:sectPr w:rsidR="006750F0" w:rsidRPr="00E92393" w:rsidSect="00754D4B">
      <w:headerReference w:type="default" r:id="rId8"/>
      <w:footerReference w:type="default" r:id="rId9"/>
      <w:pgSz w:w="11906" w:h="16838" w:code="9"/>
      <w:pgMar w:top="2268" w:right="1247" w:bottom="1247" w:left="1247"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E7931" w14:textId="77777777" w:rsidR="005E11AA" w:rsidRDefault="005E11AA">
      <w:r>
        <w:separator/>
      </w:r>
    </w:p>
  </w:endnote>
  <w:endnote w:type="continuationSeparator" w:id="0">
    <w:p w14:paraId="6278FF4B" w14:textId="77777777" w:rsidR="005E11AA" w:rsidRDefault="005E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D7A1" w14:textId="77777777" w:rsidR="00754D4B" w:rsidRPr="00754D4B" w:rsidRDefault="00754D4B" w:rsidP="00754D4B">
    <w:pPr>
      <w:tabs>
        <w:tab w:val="left" w:pos="2438"/>
        <w:tab w:val="left" w:pos="5216"/>
      </w:tabs>
      <w:rPr>
        <w:sz w:val="2"/>
        <w:szCs w:val="2"/>
      </w:rPr>
    </w:pP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754D4B" w:rsidRPr="00754D4B" w14:paraId="150C1A4C" w14:textId="77777777" w:rsidTr="006C2713">
      <w:trPr>
        <w:trHeight w:val="80"/>
      </w:trPr>
      <w:tc>
        <w:tcPr>
          <w:tcW w:w="5281" w:type="dxa"/>
          <w:gridSpan w:val="2"/>
        </w:tcPr>
        <w:p w14:paraId="69CC022F" w14:textId="77777777" w:rsidR="00754D4B" w:rsidRPr="00754D4B" w:rsidRDefault="00754D4B" w:rsidP="00754D4B">
          <w:pPr>
            <w:rPr>
              <w:sz w:val="16"/>
              <w:szCs w:val="16"/>
            </w:rPr>
          </w:pPr>
        </w:p>
      </w:tc>
      <w:tc>
        <w:tcPr>
          <w:tcW w:w="4497" w:type="dxa"/>
        </w:tcPr>
        <w:p w14:paraId="592C56D5" w14:textId="15B71128" w:rsidR="00754D4B" w:rsidRPr="00754D4B" w:rsidRDefault="00754D4B" w:rsidP="00754D4B">
          <w:pPr>
            <w:rPr>
              <w:sz w:val="16"/>
              <w:szCs w:val="16"/>
            </w:rPr>
          </w:pPr>
        </w:p>
      </w:tc>
    </w:tr>
    <w:tr w:rsidR="00754D4B" w:rsidRPr="00754D4B" w14:paraId="60E58A25" w14:textId="77777777" w:rsidTr="006C2713">
      <w:tc>
        <w:tcPr>
          <w:tcW w:w="5281" w:type="dxa"/>
          <w:gridSpan w:val="2"/>
        </w:tcPr>
        <w:p w14:paraId="0C59A530" w14:textId="77777777" w:rsidR="00754D4B" w:rsidRPr="00754D4B" w:rsidRDefault="00754D4B" w:rsidP="00754D4B">
          <w:pPr>
            <w:ind w:left="200"/>
            <w:rPr>
              <w:sz w:val="16"/>
              <w:szCs w:val="16"/>
            </w:rPr>
          </w:pPr>
        </w:p>
      </w:tc>
      <w:tc>
        <w:tcPr>
          <w:tcW w:w="4497" w:type="dxa"/>
        </w:tcPr>
        <w:p w14:paraId="6622D22A" w14:textId="77777777" w:rsidR="00754D4B" w:rsidRPr="00754D4B" w:rsidRDefault="00754D4B" w:rsidP="00754D4B">
          <w:pPr>
            <w:rPr>
              <w:sz w:val="16"/>
              <w:szCs w:val="16"/>
            </w:rPr>
          </w:pPr>
        </w:p>
      </w:tc>
    </w:tr>
    <w:tr w:rsidR="00754D4B" w:rsidRPr="00754D4B" w14:paraId="2BC6C551" w14:textId="77777777" w:rsidTr="006C2713">
      <w:trPr>
        <w:trHeight w:val="185"/>
      </w:trPr>
      <w:tc>
        <w:tcPr>
          <w:tcW w:w="3832" w:type="dxa"/>
        </w:tcPr>
        <w:p w14:paraId="60F19511" w14:textId="77777777" w:rsidR="00754D4B" w:rsidRPr="00754D4B" w:rsidRDefault="00754D4B" w:rsidP="00754D4B">
          <w:pPr>
            <w:ind w:left="200"/>
            <w:rPr>
              <w:sz w:val="16"/>
              <w:szCs w:val="16"/>
            </w:rPr>
          </w:pPr>
        </w:p>
      </w:tc>
      <w:tc>
        <w:tcPr>
          <w:tcW w:w="1449" w:type="dxa"/>
        </w:tcPr>
        <w:p w14:paraId="2EF08F09" w14:textId="7995A534" w:rsidR="00754D4B" w:rsidRPr="00754D4B" w:rsidRDefault="00754D4B" w:rsidP="00754D4B">
          <w:pPr>
            <w:ind w:left="200"/>
            <w:rPr>
              <w:sz w:val="16"/>
              <w:szCs w:val="16"/>
            </w:rPr>
          </w:pPr>
          <w:r w:rsidRPr="00754D4B">
            <w:rPr>
              <w:sz w:val="16"/>
              <w:szCs w:val="16"/>
            </w:rPr>
            <w:t xml:space="preserve">Strana: </w:t>
          </w:r>
          <w:r w:rsidRPr="00754D4B">
            <w:rPr>
              <w:sz w:val="16"/>
              <w:szCs w:val="16"/>
            </w:rPr>
            <w:fldChar w:fldCharType="begin"/>
          </w:r>
          <w:r w:rsidRPr="00754D4B">
            <w:rPr>
              <w:sz w:val="16"/>
              <w:szCs w:val="16"/>
            </w:rPr>
            <w:instrText xml:space="preserve"> PAGE  \* MERGEFORMAT </w:instrText>
          </w:r>
          <w:r w:rsidRPr="00754D4B">
            <w:rPr>
              <w:sz w:val="16"/>
              <w:szCs w:val="16"/>
            </w:rPr>
            <w:fldChar w:fldCharType="separate"/>
          </w:r>
          <w:r w:rsidR="00FD2176">
            <w:rPr>
              <w:noProof/>
              <w:sz w:val="16"/>
              <w:szCs w:val="16"/>
            </w:rPr>
            <w:t>1</w:t>
          </w:r>
          <w:r w:rsidRPr="00754D4B">
            <w:rPr>
              <w:sz w:val="16"/>
              <w:szCs w:val="16"/>
            </w:rPr>
            <w:fldChar w:fldCharType="end"/>
          </w:r>
          <w:r w:rsidRPr="00754D4B">
            <w:rPr>
              <w:sz w:val="16"/>
              <w:szCs w:val="16"/>
            </w:rPr>
            <w:t xml:space="preserve"> z </w:t>
          </w:r>
          <w:r w:rsidRPr="00754D4B">
            <w:rPr>
              <w:sz w:val="16"/>
              <w:szCs w:val="16"/>
            </w:rPr>
            <w:fldChar w:fldCharType="begin"/>
          </w:r>
          <w:r w:rsidRPr="00754D4B">
            <w:rPr>
              <w:sz w:val="16"/>
              <w:szCs w:val="16"/>
            </w:rPr>
            <w:instrText xml:space="preserve"> NUMPAGES  \* MERGEFORMAT </w:instrText>
          </w:r>
          <w:r w:rsidRPr="00754D4B">
            <w:rPr>
              <w:sz w:val="16"/>
              <w:szCs w:val="16"/>
            </w:rPr>
            <w:fldChar w:fldCharType="separate"/>
          </w:r>
          <w:r w:rsidR="00FD2176">
            <w:rPr>
              <w:noProof/>
              <w:sz w:val="16"/>
              <w:szCs w:val="16"/>
            </w:rPr>
            <w:t>4</w:t>
          </w:r>
          <w:r w:rsidRPr="00754D4B">
            <w:rPr>
              <w:sz w:val="16"/>
              <w:szCs w:val="16"/>
            </w:rPr>
            <w:fldChar w:fldCharType="end"/>
          </w:r>
        </w:p>
      </w:tc>
      <w:tc>
        <w:tcPr>
          <w:tcW w:w="4497" w:type="dxa"/>
        </w:tcPr>
        <w:p w14:paraId="5DAC0849" w14:textId="77777777" w:rsidR="00754D4B" w:rsidRPr="00754D4B" w:rsidRDefault="00754D4B" w:rsidP="00754D4B">
          <w:pPr>
            <w:ind w:left="200"/>
            <w:rPr>
              <w:sz w:val="16"/>
              <w:szCs w:val="16"/>
            </w:rPr>
          </w:pPr>
        </w:p>
      </w:tc>
    </w:tr>
  </w:tbl>
  <w:p w14:paraId="7E4646D0" w14:textId="77777777" w:rsidR="004A0C7D" w:rsidRPr="00754D4B" w:rsidRDefault="004A0C7D" w:rsidP="00754D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1E3B5" w14:textId="77777777" w:rsidR="005E11AA" w:rsidRDefault="005E11AA">
      <w:r>
        <w:separator/>
      </w:r>
    </w:p>
  </w:footnote>
  <w:footnote w:type="continuationSeparator" w:id="0">
    <w:p w14:paraId="66B3194C" w14:textId="77777777" w:rsidR="005E11AA" w:rsidRDefault="005E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83A" w14:textId="4DE3EADC" w:rsidR="00754D4B" w:rsidRPr="00B84D10" w:rsidRDefault="00754D4B" w:rsidP="00754D4B">
    <w:pPr>
      <w:pStyle w:val="Zhlav"/>
    </w:pPr>
    <w:r>
      <w:rPr>
        <w:noProof/>
      </w:rPr>
      <w:drawing>
        <wp:anchor distT="0" distB="0" distL="114300" distR="114300" simplePos="0" relativeHeight="251660288" behindDoc="0" locked="0" layoutInCell="1" allowOverlap="1" wp14:anchorId="143ABB51" wp14:editId="12D69A23">
          <wp:simplePos x="0" y="0"/>
          <wp:positionH relativeFrom="column">
            <wp:posOffset>1270</wp:posOffset>
          </wp:positionH>
          <wp:positionV relativeFrom="page">
            <wp:posOffset>488950</wp:posOffset>
          </wp:positionV>
          <wp:extent cx="1569085" cy="36512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C30DFAE" wp14:editId="43F7E203">
              <wp:simplePos x="0" y="0"/>
              <wp:positionH relativeFrom="column">
                <wp:posOffset>2493010</wp:posOffset>
              </wp:positionH>
              <wp:positionV relativeFrom="paragraph">
                <wp:posOffset>257810</wp:posOffset>
              </wp:positionV>
              <wp:extent cx="3491865" cy="628650"/>
              <wp:effectExtent l="0" t="3175"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1D419" w14:textId="77777777" w:rsidR="00754D4B" w:rsidRPr="001D6E82" w:rsidRDefault="00754D4B" w:rsidP="00754D4B">
                          <w:pPr>
                            <w:pStyle w:val="Zhlav"/>
                            <w:tabs>
                              <w:tab w:val="clear" w:pos="4536"/>
                              <w:tab w:val="center" w:pos="2268"/>
                            </w:tabs>
                            <w:jc w:val="right"/>
                            <w:rPr>
                              <w:b/>
                              <w:i/>
                              <w:sz w:val="20"/>
                            </w:rPr>
                          </w:pPr>
                          <w:r w:rsidRPr="001D6E82">
                            <w:rPr>
                              <w:b/>
                              <w:i/>
                              <w:sz w:val="20"/>
                            </w:rPr>
                            <w:t>Asseco Solutions, a.s.</w:t>
                          </w:r>
                        </w:p>
                        <w:p w14:paraId="7C6CB7FC" w14:textId="77777777" w:rsidR="001D6E82" w:rsidRPr="001D6E82" w:rsidRDefault="00E92393" w:rsidP="001D6E82">
                          <w:pPr>
                            <w:pStyle w:val="Zhlav"/>
                            <w:tabs>
                              <w:tab w:val="center" w:pos="2268"/>
                            </w:tabs>
                            <w:jc w:val="right"/>
                            <w:rPr>
                              <w:i/>
                              <w:sz w:val="20"/>
                            </w:rPr>
                          </w:pPr>
                          <w:r w:rsidRPr="001D6E82">
                            <w:rPr>
                              <w:i/>
                              <w:sz w:val="20"/>
                            </w:rPr>
                            <w:t xml:space="preserve">Dodatek </w:t>
                          </w:r>
                          <w:r w:rsidR="001D6E82" w:rsidRPr="001D6E82">
                            <w:rPr>
                              <w:i/>
                              <w:sz w:val="20"/>
                            </w:rPr>
                            <w:t>k Licenční smlouvě a smlouvě o Maintenance</w:t>
                          </w:r>
                        </w:p>
                        <w:p w14:paraId="6332C4A2" w14:textId="71DB2A71" w:rsidR="00754D4B" w:rsidRPr="00FA4861" w:rsidRDefault="001D6E82" w:rsidP="001D6E82">
                          <w:pPr>
                            <w:pStyle w:val="Zhlav"/>
                            <w:tabs>
                              <w:tab w:val="clear" w:pos="4536"/>
                              <w:tab w:val="center" w:pos="2268"/>
                            </w:tabs>
                            <w:jc w:val="right"/>
                            <w:rPr>
                              <w:sz w:val="20"/>
                            </w:rPr>
                          </w:pPr>
                          <w:r w:rsidRPr="001D6E82">
                            <w:rPr>
                              <w:i/>
                              <w:sz w:val="20"/>
                            </w:rPr>
                            <w:t>(migrační smlouva iNUVIO)</w:t>
                          </w:r>
                        </w:p>
                        <w:p w14:paraId="2DAE56DD" w14:textId="77777777" w:rsidR="00754D4B" w:rsidRDefault="00754D4B" w:rsidP="00754D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0DFAE" id="_x0000_t202" coordsize="21600,21600" o:spt="202" path="m,l,21600r21600,l21600,xe">
              <v:stroke joinstyle="miter"/>
              <v:path gradientshapeok="t" o:connecttype="rect"/>
            </v:shapetype>
            <v:shape id="Textové pole 3" o:spid="_x0000_s1026" type="#_x0000_t202" style="position:absolute;left:0;text-align:left;margin-left:196.3pt;margin-top:20.3pt;width:274.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" stroked="f">
              <v:textbox inset="0,0,0,0">
                <w:txbxContent>
                  <w:p w14:paraId="6A01D419" w14:textId="77777777" w:rsidR="00754D4B" w:rsidRPr="001D6E82" w:rsidRDefault="00754D4B" w:rsidP="00754D4B">
                    <w:pPr>
                      <w:pStyle w:val="Zhlav"/>
                      <w:tabs>
                        <w:tab w:val="clear" w:pos="4536"/>
                        <w:tab w:val="center" w:pos="2268"/>
                      </w:tabs>
                      <w:jc w:val="right"/>
                      <w:rPr>
                        <w:b/>
                        <w:i/>
                        <w:sz w:val="20"/>
                      </w:rPr>
                    </w:pPr>
                    <w:r w:rsidRPr="001D6E82">
                      <w:rPr>
                        <w:b/>
                        <w:i/>
                        <w:sz w:val="20"/>
                      </w:rPr>
                      <w:t>Asseco Solutions, a.s.</w:t>
                    </w:r>
                  </w:p>
                  <w:p w14:paraId="7C6CB7FC" w14:textId="77777777" w:rsidR="001D6E82" w:rsidRPr="001D6E82" w:rsidRDefault="00E92393" w:rsidP="001D6E82">
                    <w:pPr>
                      <w:pStyle w:val="Zhlav"/>
                      <w:tabs>
                        <w:tab w:val="center" w:pos="2268"/>
                      </w:tabs>
                      <w:jc w:val="right"/>
                      <w:rPr>
                        <w:i/>
                        <w:sz w:val="20"/>
                      </w:rPr>
                    </w:pPr>
                    <w:r w:rsidRPr="001D6E82">
                      <w:rPr>
                        <w:i/>
                        <w:sz w:val="20"/>
                      </w:rPr>
                      <w:t xml:space="preserve">Dodatek </w:t>
                    </w:r>
                    <w:r w:rsidR="001D6E82" w:rsidRPr="001D6E82">
                      <w:rPr>
                        <w:i/>
                        <w:sz w:val="20"/>
                      </w:rPr>
                      <w:t>k Licenční smlouvě a smlouvě o Maintenance</w:t>
                    </w:r>
                  </w:p>
                  <w:p w14:paraId="6332C4A2" w14:textId="71DB2A71" w:rsidR="00754D4B" w:rsidRPr="00FA4861" w:rsidRDefault="001D6E82" w:rsidP="001D6E82">
                    <w:pPr>
                      <w:pStyle w:val="Zhlav"/>
                      <w:tabs>
                        <w:tab w:val="clear" w:pos="4536"/>
                        <w:tab w:val="center" w:pos="2268"/>
                      </w:tabs>
                      <w:jc w:val="right"/>
                      <w:rPr>
                        <w:sz w:val="20"/>
                      </w:rPr>
                    </w:pPr>
                    <w:r w:rsidRPr="001D6E82">
                      <w:rPr>
                        <w:i/>
                        <w:sz w:val="20"/>
                      </w:rPr>
                      <w:t xml:space="preserve">(migrační smlouva </w:t>
                    </w:r>
                    <w:proofErr w:type="spellStart"/>
                    <w:r w:rsidRPr="001D6E82">
                      <w:rPr>
                        <w:i/>
                        <w:sz w:val="20"/>
                      </w:rPr>
                      <w:t>iNUVIO</w:t>
                    </w:r>
                    <w:proofErr w:type="spellEnd"/>
                    <w:r w:rsidRPr="001D6E82">
                      <w:rPr>
                        <w:i/>
                        <w:sz w:val="20"/>
                      </w:rPr>
                      <w:t>)</w:t>
                    </w:r>
                  </w:p>
                  <w:p w14:paraId="2DAE56DD" w14:textId="77777777" w:rsidR="00754D4B" w:rsidRDefault="00754D4B" w:rsidP="00754D4B"/>
                </w:txbxContent>
              </v:textbox>
            </v:shape>
          </w:pict>
        </mc:Fallback>
      </mc:AlternateContent>
    </w:r>
  </w:p>
  <w:p w14:paraId="0B44B7AE" w14:textId="77777777" w:rsidR="00754D4B" w:rsidRPr="00EB7276" w:rsidRDefault="00754D4B" w:rsidP="00754D4B">
    <w:pPr>
      <w:pStyle w:val="Zhlav"/>
    </w:pPr>
  </w:p>
  <w:p w14:paraId="2C335C5C" w14:textId="77777777" w:rsidR="00754D4B" w:rsidRDefault="00754D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7761CC6"/>
    <w:lvl w:ilvl="0">
      <w:start w:val="1"/>
      <w:numFmt w:val="lowerLetter"/>
      <w:pStyle w:val="slovanseznam"/>
      <w:lvlText w:val="%1)"/>
      <w:lvlJc w:val="left"/>
      <w:pPr>
        <w:ind w:left="360" w:hanging="360"/>
      </w:pPr>
      <w:rPr>
        <w:rFonts w:ascii="Calibri" w:hAnsi="Calibri" w:hint="default"/>
        <w:sz w:val="22"/>
      </w:rPr>
    </w:lvl>
  </w:abstractNum>
  <w:abstractNum w:abstractNumId="1" w15:restartNumberingAfterBreak="0">
    <w:nsid w:val="4520294E"/>
    <w:multiLevelType w:val="multilevel"/>
    <w:tmpl w:val="48B81066"/>
    <w:lvl w:ilvl="0">
      <w:start w:val="1"/>
      <w:numFmt w:val="decimal"/>
      <w:pStyle w:val="Smlouvalnek"/>
      <w:suff w:val="space"/>
      <w:lvlText w:val="%1."/>
      <w:lvlJc w:val="left"/>
      <w:pPr>
        <w:ind w:left="3338" w:hanging="360"/>
      </w:pPr>
      <w:rPr>
        <w:rFonts w:cs="Times New Roman" w:hint="default"/>
      </w:rPr>
    </w:lvl>
    <w:lvl w:ilvl="1">
      <w:start w:val="1"/>
      <w:numFmt w:val="decimal"/>
      <w:pStyle w:val="Smlouvaodstavec"/>
      <w:suff w:val="space"/>
      <w:lvlText w:val="%1.%2."/>
      <w:lvlJc w:val="left"/>
      <w:pPr>
        <w:ind w:left="520" w:hanging="94"/>
      </w:pPr>
      <w:rPr>
        <w:rFonts w:cs="Times New Roman" w:hint="default"/>
      </w:rPr>
    </w:lvl>
    <w:lvl w:ilvl="2">
      <w:start w:val="1"/>
      <w:numFmt w:val="decimal"/>
      <w:lvlText w:val="%1.%2.%3."/>
      <w:lvlJc w:val="left"/>
      <w:pPr>
        <w:tabs>
          <w:tab w:val="num" w:pos="1764"/>
        </w:tabs>
        <w:ind w:left="1764" w:hanging="504"/>
      </w:pPr>
      <w:rPr>
        <w:rFonts w:cs="Times New Roman" w:hint="default"/>
      </w:rPr>
    </w:lvl>
    <w:lvl w:ilvl="3">
      <w:start w:val="1"/>
      <w:numFmt w:val="decimal"/>
      <w:lvlText w:val="%1.%2.%3.%4."/>
      <w:lvlJc w:val="left"/>
      <w:pPr>
        <w:tabs>
          <w:tab w:val="num" w:pos="2340"/>
        </w:tabs>
        <w:ind w:left="2268" w:hanging="648"/>
      </w:pPr>
      <w:rPr>
        <w:rFonts w:cs="Times New Roman" w:hint="default"/>
      </w:rPr>
    </w:lvl>
    <w:lvl w:ilvl="4">
      <w:start w:val="1"/>
      <w:numFmt w:val="decimal"/>
      <w:lvlText w:val="%1.%2.%3.%4.%5."/>
      <w:lvlJc w:val="left"/>
      <w:pPr>
        <w:tabs>
          <w:tab w:val="num" w:pos="3060"/>
        </w:tabs>
        <w:ind w:left="2772" w:hanging="792"/>
      </w:pPr>
      <w:rPr>
        <w:rFonts w:cs="Times New Roman" w:hint="default"/>
      </w:rPr>
    </w:lvl>
    <w:lvl w:ilvl="5">
      <w:start w:val="1"/>
      <w:numFmt w:val="decimal"/>
      <w:lvlText w:val="%1.%2.%3.%4.%5.%6."/>
      <w:lvlJc w:val="left"/>
      <w:pPr>
        <w:tabs>
          <w:tab w:val="num" w:pos="3420"/>
        </w:tabs>
        <w:ind w:left="3276" w:hanging="936"/>
      </w:pPr>
      <w:rPr>
        <w:rFonts w:cs="Times New Roman" w:hint="default"/>
      </w:rPr>
    </w:lvl>
    <w:lvl w:ilvl="6">
      <w:start w:val="1"/>
      <w:numFmt w:val="decimal"/>
      <w:lvlText w:val="%1.%2.%3.%4.%5.%6.%7."/>
      <w:lvlJc w:val="left"/>
      <w:pPr>
        <w:tabs>
          <w:tab w:val="num" w:pos="4140"/>
        </w:tabs>
        <w:ind w:left="3780" w:hanging="1080"/>
      </w:pPr>
      <w:rPr>
        <w:rFonts w:cs="Times New Roman" w:hint="default"/>
      </w:rPr>
    </w:lvl>
    <w:lvl w:ilvl="7">
      <w:start w:val="1"/>
      <w:numFmt w:val="decimal"/>
      <w:lvlText w:val="%1.%2.%3.%4.%5.%6.%7.%8."/>
      <w:lvlJc w:val="left"/>
      <w:pPr>
        <w:tabs>
          <w:tab w:val="num" w:pos="4500"/>
        </w:tabs>
        <w:ind w:left="4284" w:hanging="1224"/>
      </w:pPr>
      <w:rPr>
        <w:rFonts w:cs="Times New Roman" w:hint="default"/>
      </w:rPr>
    </w:lvl>
    <w:lvl w:ilvl="8">
      <w:start w:val="1"/>
      <w:numFmt w:val="decimal"/>
      <w:lvlText w:val="%1.%2.%3.%4.%5.%6.%7.%8.%9."/>
      <w:lvlJc w:val="left"/>
      <w:pPr>
        <w:tabs>
          <w:tab w:val="num" w:pos="5220"/>
        </w:tabs>
        <w:ind w:left="4860" w:hanging="1440"/>
      </w:pPr>
      <w:rPr>
        <w:rFonts w:cs="Times New Roman" w:hint="default"/>
      </w:rPr>
    </w:lvl>
  </w:abstractNum>
  <w:abstractNum w:abstractNumId="2" w15:restartNumberingAfterBreak="0">
    <w:nsid w:val="4B7C16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8B0C42"/>
    <w:multiLevelType w:val="hybridMultilevel"/>
    <w:tmpl w:val="FA72A51C"/>
    <w:lvl w:ilvl="0" w:tplc="F95CC7C2">
      <w:start w:val="1"/>
      <w:numFmt w:val="decimal"/>
      <w:lvlText w:val="%1."/>
      <w:lvlJc w:val="left"/>
      <w:pPr>
        <w:ind w:left="720" w:hanging="360"/>
      </w:pPr>
      <w:rPr>
        <w:rFonts w:ascii="Calibri" w:hAnsi="Calibri"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332E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FF1BCF"/>
    <w:multiLevelType w:val="multilevel"/>
    <w:tmpl w:val="04050025"/>
    <w:styleLink w:val="Styl1"/>
    <w:lvl w:ilvl="0">
      <w:start w:val="1"/>
      <w:numFmt w:val="decimal"/>
      <w:lvlText w:val="%1"/>
      <w:lvlJc w:val="left"/>
      <w:pPr>
        <w:ind w:left="432" w:hanging="432"/>
      </w:pPr>
      <w:rPr>
        <w:rFonts w:ascii="Calibri" w:hAnsi="Calibri"/>
        <w:b/>
        <w:sz w:val="22"/>
      </w:rPr>
    </w:lvl>
    <w:lvl w:ilvl="1">
      <w:start w:val="1"/>
      <w:numFmt w:val="decimal"/>
      <w:lvlText w:val="%1.%2"/>
      <w:lvlJc w:val="left"/>
      <w:pPr>
        <w:ind w:left="576" w:hanging="576"/>
      </w:pPr>
      <w:rPr>
        <w:rFonts w:ascii="Calibri" w:hAnsi="Calibri"/>
        <w:b w:val="0"/>
        <w:sz w:val="22"/>
      </w:rPr>
    </w:lvl>
    <w:lvl w:ilvl="2">
      <w:start w:val="1"/>
      <w:numFmt w:val="decimal"/>
      <w:lvlText w:val="%1.%2.%3"/>
      <w:lvlJc w:val="left"/>
      <w:pPr>
        <w:ind w:left="1428" w:hanging="720"/>
      </w:pPr>
      <w:rPr>
        <w:rFonts w:ascii="Calibri" w:hAnsi="Calibri"/>
        <w:sz w:val="22"/>
      </w:rPr>
    </w:lvl>
    <w:lvl w:ilvl="3">
      <w:start w:val="1"/>
      <w:numFmt w:val="decimal"/>
      <w:lvlText w:val="%1.%2.%3.%4"/>
      <w:lvlJc w:val="left"/>
      <w:pPr>
        <w:ind w:left="2280" w:hanging="864"/>
      </w:pPr>
      <w:rPr>
        <w:rFonts w:ascii="Calibri" w:hAnsi="Calibri"/>
        <w:sz w:val="22"/>
      </w:rPr>
    </w:lvl>
    <w:lvl w:ilvl="4">
      <w:start w:val="1"/>
      <w:numFmt w:val="decimal"/>
      <w:lvlText w:val="%1.%2.%3.%4.%5"/>
      <w:lvlJc w:val="left"/>
      <w:pPr>
        <w:ind w:left="3132" w:hanging="1008"/>
      </w:pPr>
      <w:rPr>
        <w:rFonts w:ascii="Calibri" w:hAnsi="Calibri"/>
        <w:sz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EBC4F57"/>
    <w:multiLevelType w:val="multilevel"/>
    <w:tmpl w:val="C35C1D4E"/>
    <w:lvl w:ilvl="0">
      <w:start w:val="1"/>
      <w:numFmt w:val="ordinal"/>
      <w:pStyle w:val="Nadpis1"/>
      <w:lvlText w:val="%1"/>
      <w:lvlJc w:val="left"/>
      <w:pPr>
        <w:ind w:left="432" w:hanging="432"/>
      </w:pPr>
      <w:rPr>
        <w:rFonts w:ascii="Calibri" w:hAnsi="Calibri" w:hint="default"/>
        <w:b/>
        <w:i w:val="0"/>
        <w:caps w:val="0"/>
        <w:strike w:val="0"/>
        <w:dstrike w:val="0"/>
        <w:vanish w:val="0"/>
        <w:color w:val="auto"/>
        <w:sz w:val="22"/>
        <w:vertAlign w:val="baseline"/>
      </w:rPr>
    </w:lvl>
    <w:lvl w:ilvl="1">
      <w:start w:val="1"/>
      <w:numFmt w:val="decimal"/>
      <w:pStyle w:val="Nadpis2"/>
      <w:lvlText w:val="%1%2"/>
      <w:lvlJc w:val="left"/>
      <w:pPr>
        <w:ind w:left="567" w:hanging="567"/>
      </w:pPr>
      <w:rPr>
        <w:rFonts w:ascii="Calibri" w:hAnsi="Calibri" w:hint="default"/>
        <w:b w:val="0"/>
        <w:i w:val="0"/>
        <w:caps w:val="0"/>
        <w:strike w:val="0"/>
        <w:dstrike w:val="0"/>
        <w:vanish w:val="0"/>
        <w:color w:val="auto"/>
        <w:sz w:val="22"/>
        <w:vertAlign w:val="baseline"/>
      </w:rPr>
    </w:lvl>
    <w:lvl w:ilvl="2">
      <w:start w:val="1"/>
      <w:numFmt w:val="decimal"/>
      <w:pStyle w:val="Nadpis3"/>
      <w:lvlText w:val="%1%2.%3"/>
      <w:lvlJc w:val="left"/>
      <w:pPr>
        <w:ind w:left="1588" w:hanging="1021"/>
      </w:pPr>
      <w:rPr>
        <w:rFonts w:ascii="Calibri" w:hAnsi="Calibri" w:hint="default"/>
        <w:b w:val="0"/>
        <w:i w:val="0"/>
        <w:caps w:val="0"/>
        <w:strike w:val="0"/>
        <w:dstrike w:val="0"/>
        <w:vanish w:val="0"/>
        <w:sz w:val="22"/>
        <w:vertAlign w:val="baseline"/>
      </w:rPr>
    </w:lvl>
    <w:lvl w:ilvl="3">
      <w:start w:val="1"/>
      <w:numFmt w:val="decimal"/>
      <w:pStyle w:val="Nadpis4"/>
      <w:lvlText w:val="%1%2.%3.%4"/>
      <w:lvlJc w:val="left"/>
      <w:pPr>
        <w:ind w:left="3175" w:hanging="1587"/>
      </w:pPr>
      <w:rPr>
        <w:rFonts w:ascii="Calibri" w:hAnsi="Calibri" w:hint="default"/>
        <w:b w:val="0"/>
        <w:i w:val="0"/>
        <w:caps w:val="0"/>
        <w:strike w:val="0"/>
        <w:dstrike w:val="0"/>
        <w:vanish w:val="0"/>
        <w:sz w:val="22"/>
        <w:vertAlign w:val="baseline"/>
      </w:rPr>
    </w:lvl>
    <w:lvl w:ilvl="4">
      <w:start w:val="1"/>
      <w:numFmt w:val="decimal"/>
      <w:pStyle w:val="Nadpis5"/>
      <w:lvlText w:val="%1%2.%3.%4.%5"/>
      <w:lvlJc w:val="left"/>
      <w:pPr>
        <w:ind w:left="1008" w:firstLine="2167"/>
      </w:pPr>
      <w:rPr>
        <w:rFonts w:ascii="Calibri" w:hAnsi="Calibri" w:hint="default"/>
        <w:color w:val="auto"/>
        <w:sz w:val="22"/>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1D"/>
    <w:rsid w:val="00011D1E"/>
    <w:rsid w:val="00023C6D"/>
    <w:rsid w:val="00026BC0"/>
    <w:rsid w:val="00031A59"/>
    <w:rsid w:val="00047A5E"/>
    <w:rsid w:val="000522DE"/>
    <w:rsid w:val="00054CE6"/>
    <w:rsid w:val="000552C9"/>
    <w:rsid w:val="00061490"/>
    <w:rsid w:val="00063261"/>
    <w:rsid w:val="000640DA"/>
    <w:rsid w:val="00065014"/>
    <w:rsid w:val="00074234"/>
    <w:rsid w:val="00083146"/>
    <w:rsid w:val="00091F51"/>
    <w:rsid w:val="000A05DB"/>
    <w:rsid w:val="000A4EE8"/>
    <w:rsid w:val="000A72F2"/>
    <w:rsid w:val="000B3D1C"/>
    <w:rsid w:val="000C3921"/>
    <w:rsid w:val="000D2710"/>
    <w:rsid w:val="00111E1C"/>
    <w:rsid w:val="00122FA3"/>
    <w:rsid w:val="00131441"/>
    <w:rsid w:val="001603B2"/>
    <w:rsid w:val="00172399"/>
    <w:rsid w:val="00175B6B"/>
    <w:rsid w:val="00186ACB"/>
    <w:rsid w:val="00191F40"/>
    <w:rsid w:val="001B01FC"/>
    <w:rsid w:val="001C202D"/>
    <w:rsid w:val="001C2B9C"/>
    <w:rsid w:val="001D314B"/>
    <w:rsid w:val="001D5F15"/>
    <w:rsid w:val="001D6E82"/>
    <w:rsid w:val="001F2C3D"/>
    <w:rsid w:val="001F2F97"/>
    <w:rsid w:val="00212776"/>
    <w:rsid w:val="00220543"/>
    <w:rsid w:val="00231520"/>
    <w:rsid w:val="0023337E"/>
    <w:rsid w:val="00241A67"/>
    <w:rsid w:val="0028233E"/>
    <w:rsid w:val="002C0D6A"/>
    <w:rsid w:val="002C1291"/>
    <w:rsid w:val="002C3D28"/>
    <w:rsid w:val="002D7E8E"/>
    <w:rsid w:val="00322A16"/>
    <w:rsid w:val="003340B6"/>
    <w:rsid w:val="00334E47"/>
    <w:rsid w:val="003361CC"/>
    <w:rsid w:val="0034020E"/>
    <w:rsid w:val="003404FE"/>
    <w:rsid w:val="00341A37"/>
    <w:rsid w:val="00344419"/>
    <w:rsid w:val="00356E86"/>
    <w:rsid w:val="00385211"/>
    <w:rsid w:val="003872AD"/>
    <w:rsid w:val="003A693F"/>
    <w:rsid w:val="003B4A2F"/>
    <w:rsid w:val="003C18D5"/>
    <w:rsid w:val="003C33BD"/>
    <w:rsid w:val="003C5B54"/>
    <w:rsid w:val="003D10BF"/>
    <w:rsid w:val="003E3CD4"/>
    <w:rsid w:val="003F4340"/>
    <w:rsid w:val="003F592E"/>
    <w:rsid w:val="003F5C91"/>
    <w:rsid w:val="003F6648"/>
    <w:rsid w:val="00422F5D"/>
    <w:rsid w:val="0043425F"/>
    <w:rsid w:val="00435BD8"/>
    <w:rsid w:val="00451039"/>
    <w:rsid w:val="00451FB8"/>
    <w:rsid w:val="00462D3A"/>
    <w:rsid w:val="00465685"/>
    <w:rsid w:val="0047022B"/>
    <w:rsid w:val="00481C29"/>
    <w:rsid w:val="00482B52"/>
    <w:rsid w:val="004923E5"/>
    <w:rsid w:val="004938AE"/>
    <w:rsid w:val="004A0C7D"/>
    <w:rsid w:val="004A4950"/>
    <w:rsid w:val="004B2F69"/>
    <w:rsid w:val="004B512B"/>
    <w:rsid w:val="004B6736"/>
    <w:rsid w:val="004C3C75"/>
    <w:rsid w:val="004E0027"/>
    <w:rsid w:val="004E49E8"/>
    <w:rsid w:val="004E61B0"/>
    <w:rsid w:val="004F68D3"/>
    <w:rsid w:val="005156F1"/>
    <w:rsid w:val="0052453A"/>
    <w:rsid w:val="00527D8B"/>
    <w:rsid w:val="00527F66"/>
    <w:rsid w:val="0054057F"/>
    <w:rsid w:val="00541F99"/>
    <w:rsid w:val="00553D24"/>
    <w:rsid w:val="00573317"/>
    <w:rsid w:val="005900A4"/>
    <w:rsid w:val="00597489"/>
    <w:rsid w:val="005E11AA"/>
    <w:rsid w:val="005E7095"/>
    <w:rsid w:val="005F2F67"/>
    <w:rsid w:val="00607C64"/>
    <w:rsid w:val="00617B8D"/>
    <w:rsid w:val="00623D9B"/>
    <w:rsid w:val="00624006"/>
    <w:rsid w:val="00635FD5"/>
    <w:rsid w:val="006428BA"/>
    <w:rsid w:val="00642C06"/>
    <w:rsid w:val="00656518"/>
    <w:rsid w:val="0065732F"/>
    <w:rsid w:val="00665822"/>
    <w:rsid w:val="006728FD"/>
    <w:rsid w:val="006750F0"/>
    <w:rsid w:val="0067676E"/>
    <w:rsid w:val="00687C48"/>
    <w:rsid w:val="006A168E"/>
    <w:rsid w:val="006A1EDF"/>
    <w:rsid w:val="006A6F40"/>
    <w:rsid w:val="006C1D56"/>
    <w:rsid w:val="006C2713"/>
    <w:rsid w:val="006C662E"/>
    <w:rsid w:val="006D18EC"/>
    <w:rsid w:val="007018AE"/>
    <w:rsid w:val="007123A7"/>
    <w:rsid w:val="007148C7"/>
    <w:rsid w:val="00720A08"/>
    <w:rsid w:val="007311BC"/>
    <w:rsid w:val="00742CC2"/>
    <w:rsid w:val="00747A9C"/>
    <w:rsid w:val="0075075D"/>
    <w:rsid w:val="00754D4B"/>
    <w:rsid w:val="007554EC"/>
    <w:rsid w:val="0076247A"/>
    <w:rsid w:val="00765CB0"/>
    <w:rsid w:val="00766363"/>
    <w:rsid w:val="00767B1B"/>
    <w:rsid w:val="007868DD"/>
    <w:rsid w:val="007875CC"/>
    <w:rsid w:val="007A5AFD"/>
    <w:rsid w:val="007C3451"/>
    <w:rsid w:val="007D0371"/>
    <w:rsid w:val="007D6D29"/>
    <w:rsid w:val="007F4677"/>
    <w:rsid w:val="00803F0D"/>
    <w:rsid w:val="00825A42"/>
    <w:rsid w:val="008661DE"/>
    <w:rsid w:val="00881DE6"/>
    <w:rsid w:val="00894224"/>
    <w:rsid w:val="008A5BE8"/>
    <w:rsid w:val="008C7E05"/>
    <w:rsid w:val="008D567A"/>
    <w:rsid w:val="008D779D"/>
    <w:rsid w:val="008E4A05"/>
    <w:rsid w:val="008E6EBE"/>
    <w:rsid w:val="008F00F1"/>
    <w:rsid w:val="008F33B3"/>
    <w:rsid w:val="008F4D81"/>
    <w:rsid w:val="00953E0F"/>
    <w:rsid w:val="00967472"/>
    <w:rsid w:val="0097457B"/>
    <w:rsid w:val="00992929"/>
    <w:rsid w:val="009A27E5"/>
    <w:rsid w:val="009E14F8"/>
    <w:rsid w:val="009F76B1"/>
    <w:rsid w:val="00A02EBF"/>
    <w:rsid w:val="00A203ED"/>
    <w:rsid w:val="00A30FA4"/>
    <w:rsid w:val="00A32491"/>
    <w:rsid w:val="00A3724A"/>
    <w:rsid w:val="00A440B0"/>
    <w:rsid w:val="00A57636"/>
    <w:rsid w:val="00A93F66"/>
    <w:rsid w:val="00AB3C29"/>
    <w:rsid w:val="00AC521E"/>
    <w:rsid w:val="00AD233A"/>
    <w:rsid w:val="00AF1F7F"/>
    <w:rsid w:val="00AF47F0"/>
    <w:rsid w:val="00B12C3A"/>
    <w:rsid w:val="00B36B8E"/>
    <w:rsid w:val="00B36DF3"/>
    <w:rsid w:val="00B53ADE"/>
    <w:rsid w:val="00B76F52"/>
    <w:rsid w:val="00B80371"/>
    <w:rsid w:val="00B813EB"/>
    <w:rsid w:val="00BA4CB3"/>
    <w:rsid w:val="00BD4231"/>
    <w:rsid w:val="00C11E62"/>
    <w:rsid w:val="00C34BCD"/>
    <w:rsid w:val="00C35FDE"/>
    <w:rsid w:val="00C36FC0"/>
    <w:rsid w:val="00C45684"/>
    <w:rsid w:val="00C6178A"/>
    <w:rsid w:val="00C64400"/>
    <w:rsid w:val="00C64FD4"/>
    <w:rsid w:val="00C7172B"/>
    <w:rsid w:val="00C76A91"/>
    <w:rsid w:val="00C84B70"/>
    <w:rsid w:val="00C87162"/>
    <w:rsid w:val="00C87BE8"/>
    <w:rsid w:val="00C931E9"/>
    <w:rsid w:val="00C978C8"/>
    <w:rsid w:val="00CA13B5"/>
    <w:rsid w:val="00CA53DC"/>
    <w:rsid w:val="00CA541D"/>
    <w:rsid w:val="00CB4B92"/>
    <w:rsid w:val="00CB546C"/>
    <w:rsid w:val="00CC3C32"/>
    <w:rsid w:val="00CC7413"/>
    <w:rsid w:val="00CD20D3"/>
    <w:rsid w:val="00CD221E"/>
    <w:rsid w:val="00D109F5"/>
    <w:rsid w:val="00D14AED"/>
    <w:rsid w:val="00D41B55"/>
    <w:rsid w:val="00D41EE4"/>
    <w:rsid w:val="00D4608C"/>
    <w:rsid w:val="00D50F08"/>
    <w:rsid w:val="00D55FFC"/>
    <w:rsid w:val="00D57166"/>
    <w:rsid w:val="00D60EAF"/>
    <w:rsid w:val="00D94DC7"/>
    <w:rsid w:val="00DA0169"/>
    <w:rsid w:val="00DA4DE0"/>
    <w:rsid w:val="00DB2A94"/>
    <w:rsid w:val="00DD0D38"/>
    <w:rsid w:val="00DD4379"/>
    <w:rsid w:val="00DF404A"/>
    <w:rsid w:val="00DF7AC5"/>
    <w:rsid w:val="00E06EE4"/>
    <w:rsid w:val="00E14751"/>
    <w:rsid w:val="00E17FAB"/>
    <w:rsid w:val="00E272BA"/>
    <w:rsid w:val="00E6698E"/>
    <w:rsid w:val="00E92393"/>
    <w:rsid w:val="00EA488F"/>
    <w:rsid w:val="00EA797B"/>
    <w:rsid w:val="00EB4CF3"/>
    <w:rsid w:val="00EC5011"/>
    <w:rsid w:val="00EE2F82"/>
    <w:rsid w:val="00EF6E71"/>
    <w:rsid w:val="00F20750"/>
    <w:rsid w:val="00F2243B"/>
    <w:rsid w:val="00F23775"/>
    <w:rsid w:val="00F40399"/>
    <w:rsid w:val="00F53B8C"/>
    <w:rsid w:val="00F62C7B"/>
    <w:rsid w:val="00F8388C"/>
    <w:rsid w:val="00F84C96"/>
    <w:rsid w:val="00FC1752"/>
    <w:rsid w:val="00FD2176"/>
    <w:rsid w:val="00FD64F8"/>
    <w:rsid w:val="00FE204B"/>
    <w:rsid w:val="00FF3F4E"/>
    <w:rsid w:val="00FF53D7"/>
    <w:rsid w:val="00FF7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38AF6C"/>
  <w15:docId w15:val="{0381DFB6-6BA2-4E45-BA9A-CC151CB1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_Smlouvy"/>
    <w:qFormat/>
    <w:rsid w:val="002D7E8E"/>
    <w:pPr>
      <w:jc w:val="both"/>
    </w:pPr>
  </w:style>
  <w:style w:type="paragraph" w:styleId="Nadpis1">
    <w:name w:val="heading 1"/>
    <w:aliases w:val="Nadpis 1_Smlouvy"/>
    <w:basedOn w:val="Normln"/>
    <w:next w:val="Normln"/>
    <w:uiPriority w:val="2"/>
    <w:qFormat/>
    <w:rsid w:val="001F2C3D"/>
    <w:pPr>
      <w:keepNext/>
      <w:numPr>
        <w:numId w:val="1"/>
      </w:numPr>
      <w:spacing w:after="120"/>
      <w:jc w:val="center"/>
      <w:outlineLvl w:val="0"/>
    </w:pPr>
    <w:rPr>
      <w:b/>
    </w:rPr>
  </w:style>
  <w:style w:type="paragraph" w:styleId="Nadpis2">
    <w:name w:val="heading 2"/>
    <w:aliases w:val="Nadpis 2_Smlouvy"/>
    <w:basedOn w:val="Normln"/>
    <w:next w:val="Normln"/>
    <w:uiPriority w:val="3"/>
    <w:qFormat/>
    <w:rsid w:val="006A6F40"/>
    <w:pPr>
      <w:numPr>
        <w:ilvl w:val="1"/>
        <w:numId w:val="1"/>
      </w:numPr>
      <w:spacing w:after="120"/>
      <w:outlineLvl w:val="1"/>
    </w:pPr>
  </w:style>
  <w:style w:type="paragraph" w:styleId="Nadpis3">
    <w:name w:val="heading 3"/>
    <w:aliases w:val="Nadpis 3_Smlouvy,sp_Nadpis 3,F3"/>
    <w:basedOn w:val="Normln"/>
    <w:next w:val="Normln"/>
    <w:link w:val="Nadpis3Char"/>
    <w:uiPriority w:val="4"/>
    <w:qFormat/>
    <w:rsid w:val="00CC7413"/>
    <w:pPr>
      <w:numPr>
        <w:ilvl w:val="2"/>
        <w:numId w:val="1"/>
      </w:numPr>
      <w:spacing w:after="120"/>
      <w:outlineLvl w:val="2"/>
    </w:pPr>
    <w:rPr>
      <w:rFonts w:eastAsiaTheme="majorEastAsia" w:cstheme="majorBidi"/>
    </w:rPr>
  </w:style>
  <w:style w:type="paragraph" w:styleId="Nadpis4">
    <w:name w:val="heading 4"/>
    <w:aliases w:val="Nadpis 4_Smlouvy"/>
    <w:basedOn w:val="Normln"/>
    <w:next w:val="Normln"/>
    <w:link w:val="Nadpis4Char"/>
    <w:uiPriority w:val="5"/>
    <w:qFormat/>
    <w:rsid w:val="00CC7413"/>
    <w:pPr>
      <w:numPr>
        <w:ilvl w:val="3"/>
        <w:numId w:val="1"/>
      </w:numPr>
      <w:spacing w:after="120"/>
      <w:outlineLvl w:val="3"/>
    </w:pPr>
    <w:rPr>
      <w:rFonts w:eastAsiaTheme="majorEastAsia" w:cstheme="majorBidi"/>
      <w:iCs/>
    </w:rPr>
  </w:style>
  <w:style w:type="paragraph" w:styleId="Nadpis5">
    <w:name w:val="heading 5"/>
    <w:basedOn w:val="Normln"/>
    <w:next w:val="Normln"/>
    <w:link w:val="Nadpis5Char"/>
    <w:uiPriority w:val="9"/>
    <w:semiHidden/>
    <w:unhideWhenUsed/>
    <w:rsid w:val="00C7172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7172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7172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7172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7172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5"/>
    <w:semiHidden/>
  </w:style>
  <w:style w:type="paragraph" w:customStyle="1" w:styleId="Zkladntext21">
    <w:name w:val="Základní text 21"/>
    <w:basedOn w:val="Normln"/>
    <w:uiPriority w:val="9"/>
    <w:pPr>
      <w:ind w:firstLine="708"/>
    </w:pPr>
    <w:rPr>
      <w:sz w:val="24"/>
      <w:szCs w:val="20"/>
    </w:rPr>
  </w:style>
  <w:style w:type="paragraph" w:styleId="Zhlav">
    <w:name w:val="header"/>
    <w:basedOn w:val="Normln"/>
    <w:uiPriority w:val="19"/>
    <w:pPr>
      <w:tabs>
        <w:tab w:val="center" w:pos="4536"/>
        <w:tab w:val="right" w:pos="9072"/>
      </w:tabs>
    </w:pPr>
  </w:style>
  <w:style w:type="character" w:customStyle="1" w:styleId="ZhlavChar">
    <w:name w:val="Záhlaví Char"/>
    <w:basedOn w:val="Standardnpsmoodstavce"/>
    <w:uiPriority w:val="9"/>
    <w:rPr>
      <w:rFonts w:ascii="Book Antiqua" w:hAnsi="Book Antiqua"/>
      <w:sz w:val="22"/>
      <w:szCs w:val="24"/>
    </w:rPr>
  </w:style>
  <w:style w:type="paragraph" w:styleId="Zpat">
    <w:name w:val="footer"/>
    <w:basedOn w:val="Normln"/>
    <w:uiPriority w:val="9"/>
    <w:semiHidden/>
    <w:pPr>
      <w:tabs>
        <w:tab w:val="center" w:pos="4536"/>
        <w:tab w:val="right" w:pos="9072"/>
      </w:tabs>
    </w:pPr>
  </w:style>
  <w:style w:type="character" w:customStyle="1" w:styleId="ZpatChar">
    <w:name w:val="Zápatí Char"/>
    <w:basedOn w:val="Standardnpsmoodstavce"/>
    <w:uiPriority w:val="9"/>
    <w:rPr>
      <w:rFonts w:ascii="Book Antiqua" w:hAnsi="Book Antiqua"/>
      <w:sz w:val="22"/>
      <w:szCs w:val="24"/>
    </w:rPr>
  </w:style>
  <w:style w:type="paragraph" w:styleId="Odstavecseseznamem">
    <w:name w:val="List Paragraph"/>
    <w:basedOn w:val="Normln"/>
    <w:pPr>
      <w:spacing w:after="200" w:line="276" w:lineRule="auto"/>
      <w:ind w:left="720"/>
      <w:contextualSpacing/>
    </w:pPr>
    <w:rPr>
      <w:rFonts w:eastAsia="Calibri"/>
      <w:lang w:eastAsia="en-US"/>
    </w:rPr>
  </w:style>
  <w:style w:type="character" w:styleId="Odkaznakoment">
    <w:name w:val="annotation reference"/>
    <w:basedOn w:val="Standardnpsmoodstavce"/>
    <w:uiPriority w:val="99"/>
    <w:semiHidden/>
    <w:unhideWhenUsed/>
    <w:rsid w:val="00D109F5"/>
    <w:rPr>
      <w:sz w:val="16"/>
      <w:szCs w:val="16"/>
    </w:rPr>
  </w:style>
  <w:style w:type="paragraph" w:styleId="Textkomente">
    <w:name w:val="annotation text"/>
    <w:basedOn w:val="Normln"/>
    <w:link w:val="TextkomenteChar"/>
    <w:uiPriority w:val="99"/>
    <w:semiHidden/>
    <w:unhideWhenUsed/>
    <w:rsid w:val="00D109F5"/>
    <w:rPr>
      <w:sz w:val="20"/>
      <w:szCs w:val="20"/>
    </w:rPr>
  </w:style>
  <w:style w:type="character" w:customStyle="1" w:styleId="TextkomenteChar">
    <w:name w:val="Text komentáře Char"/>
    <w:basedOn w:val="Standardnpsmoodstavce"/>
    <w:link w:val="Textkomente"/>
    <w:uiPriority w:val="99"/>
    <w:semiHidden/>
    <w:rsid w:val="00D109F5"/>
    <w:rPr>
      <w:rFonts w:ascii="Book Antiqua" w:hAnsi="Book Antiqua"/>
    </w:rPr>
  </w:style>
  <w:style w:type="paragraph" w:styleId="Pedmtkomente">
    <w:name w:val="annotation subject"/>
    <w:basedOn w:val="Textkomente"/>
    <w:next w:val="Textkomente"/>
    <w:link w:val="PedmtkomenteChar"/>
    <w:uiPriority w:val="99"/>
    <w:semiHidden/>
    <w:unhideWhenUsed/>
    <w:rsid w:val="00D109F5"/>
    <w:rPr>
      <w:b/>
      <w:bCs/>
    </w:rPr>
  </w:style>
  <w:style w:type="character" w:customStyle="1" w:styleId="PedmtkomenteChar">
    <w:name w:val="Předmět komentáře Char"/>
    <w:basedOn w:val="TextkomenteChar"/>
    <w:link w:val="Pedmtkomente"/>
    <w:uiPriority w:val="99"/>
    <w:semiHidden/>
    <w:rsid w:val="00D109F5"/>
    <w:rPr>
      <w:rFonts w:ascii="Book Antiqua" w:hAnsi="Book Antiqua"/>
      <w:b/>
      <w:bCs/>
    </w:rPr>
  </w:style>
  <w:style w:type="paragraph" w:styleId="Textbubliny">
    <w:name w:val="Balloon Text"/>
    <w:basedOn w:val="Normln"/>
    <w:link w:val="TextbublinyChar"/>
    <w:uiPriority w:val="99"/>
    <w:semiHidden/>
    <w:unhideWhenUsed/>
    <w:rsid w:val="00D109F5"/>
    <w:rPr>
      <w:rFonts w:ascii="Tahoma" w:hAnsi="Tahoma" w:cs="Tahoma"/>
      <w:sz w:val="16"/>
      <w:szCs w:val="16"/>
    </w:rPr>
  </w:style>
  <w:style w:type="character" w:customStyle="1" w:styleId="TextbublinyChar">
    <w:name w:val="Text bubliny Char"/>
    <w:basedOn w:val="Standardnpsmoodstavce"/>
    <w:link w:val="Textbubliny"/>
    <w:uiPriority w:val="99"/>
    <w:semiHidden/>
    <w:rsid w:val="00D109F5"/>
    <w:rPr>
      <w:rFonts w:ascii="Tahoma" w:hAnsi="Tahoma" w:cs="Tahoma"/>
      <w:sz w:val="16"/>
      <w:szCs w:val="16"/>
    </w:rPr>
  </w:style>
  <w:style w:type="table" w:styleId="Mkatabulky">
    <w:name w:val="Table Grid"/>
    <w:basedOn w:val="Normlntabulka"/>
    <w:uiPriority w:val="59"/>
    <w:rsid w:val="0066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aliases w:val="Nadpis 3_Smlouvy Char,sp_Nadpis 3 Char,F3 Char"/>
    <w:basedOn w:val="Standardnpsmoodstavce"/>
    <w:link w:val="Nadpis3"/>
    <w:uiPriority w:val="4"/>
    <w:rsid w:val="00CC7413"/>
    <w:rPr>
      <w:rFonts w:eastAsiaTheme="majorEastAsia" w:cstheme="majorBidi"/>
    </w:rPr>
  </w:style>
  <w:style w:type="character" w:customStyle="1" w:styleId="Nadpis4Char">
    <w:name w:val="Nadpis 4 Char"/>
    <w:aliases w:val="Nadpis 4_Smlouvy Char"/>
    <w:basedOn w:val="Standardnpsmoodstavce"/>
    <w:link w:val="Nadpis4"/>
    <w:uiPriority w:val="5"/>
    <w:rsid w:val="00CC7413"/>
    <w:rPr>
      <w:rFonts w:eastAsiaTheme="majorEastAsia" w:cstheme="majorBidi"/>
      <w:iCs/>
    </w:rPr>
  </w:style>
  <w:style w:type="character" w:customStyle="1" w:styleId="Nadpis5Char">
    <w:name w:val="Nadpis 5 Char"/>
    <w:basedOn w:val="Standardnpsmoodstavce"/>
    <w:link w:val="Nadpis5"/>
    <w:uiPriority w:val="9"/>
    <w:semiHidden/>
    <w:rsid w:val="00C7172B"/>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C7172B"/>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C7172B"/>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7172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7172B"/>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6A6F40"/>
    <w:pPr>
      <w:numPr>
        <w:numId w:val="2"/>
      </w:numPr>
    </w:pPr>
  </w:style>
  <w:style w:type="paragraph" w:styleId="slovanseznam">
    <w:name w:val="List Number"/>
    <w:aliases w:val="abc) seznam"/>
    <w:basedOn w:val="Normln"/>
    <w:uiPriority w:val="1"/>
    <w:qFormat/>
    <w:rsid w:val="00CC7413"/>
    <w:pPr>
      <w:numPr>
        <w:numId w:val="3"/>
      </w:numPr>
      <w:spacing w:after="60"/>
      <w:ind w:left="1066" w:hanging="357"/>
    </w:pPr>
  </w:style>
  <w:style w:type="character" w:customStyle="1" w:styleId="ZkladntextChar">
    <w:name w:val="Základní text Char"/>
    <w:basedOn w:val="Standardnpsmoodstavce"/>
    <w:link w:val="Zkladntext"/>
    <w:uiPriority w:val="5"/>
    <w:semiHidden/>
    <w:rsid w:val="00C64400"/>
    <w:rPr>
      <w:rFonts w:ascii="Calibri" w:hAnsi="Calibri"/>
      <w:sz w:val="22"/>
      <w:szCs w:val="24"/>
    </w:rPr>
  </w:style>
  <w:style w:type="character" w:styleId="Odkaznavysvtlivky">
    <w:name w:val="endnote reference"/>
    <w:basedOn w:val="Standardnpsmoodstavce"/>
    <w:unhideWhenUsed/>
    <w:rsid w:val="00CC7413"/>
    <w:rPr>
      <w:vertAlign w:val="superscript"/>
    </w:rPr>
  </w:style>
  <w:style w:type="paragraph" w:customStyle="1" w:styleId="Smlouvalnek">
    <w:name w:val="Smlouva_článek"/>
    <w:basedOn w:val="Normln"/>
    <w:next w:val="Smlouvaodstavec"/>
    <w:rsid w:val="00F2243B"/>
    <w:pPr>
      <w:numPr>
        <w:numId w:val="4"/>
      </w:numPr>
      <w:spacing w:after="180"/>
      <w:jc w:val="center"/>
    </w:pPr>
    <w:rPr>
      <w:rFonts w:ascii="Arial" w:eastAsia="Calibri" w:hAnsi="Arial"/>
      <w:b/>
      <w:sz w:val="20"/>
      <w:szCs w:val="24"/>
    </w:rPr>
  </w:style>
  <w:style w:type="paragraph" w:customStyle="1" w:styleId="Smlouvaodstavec">
    <w:name w:val="Smlouva_odstavec"/>
    <w:basedOn w:val="Normln"/>
    <w:link w:val="SmlouvaodstavecChar"/>
    <w:autoRedefine/>
    <w:rsid w:val="00F2243B"/>
    <w:pPr>
      <w:numPr>
        <w:ilvl w:val="1"/>
        <w:numId w:val="4"/>
      </w:numPr>
      <w:spacing w:after="180"/>
    </w:pPr>
    <w:rPr>
      <w:rFonts w:ascii="Arial" w:eastAsia="Calibri" w:hAnsi="Arial"/>
      <w:sz w:val="20"/>
      <w:szCs w:val="24"/>
    </w:rPr>
  </w:style>
  <w:style w:type="paragraph" w:styleId="Textvbloku">
    <w:name w:val="Block Text"/>
    <w:basedOn w:val="Normln"/>
    <w:rsid w:val="008F00F1"/>
    <w:pPr>
      <w:spacing w:after="120"/>
      <w:ind w:left="900" w:right="1440" w:hanging="360"/>
      <w:jc w:val="left"/>
    </w:pPr>
    <w:rPr>
      <w:rFonts w:ascii="Arial" w:hAnsi="Arial"/>
      <w:sz w:val="20"/>
      <w:szCs w:val="20"/>
    </w:rPr>
  </w:style>
  <w:style w:type="character" w:styleId="UkzkaHTML">
    <w:name w:val="HTML Sample"/>
    <w:rsid w:val="008F00F1"/>
    <w:rPr>
      <w:rFonts w:ascii="Courier New" w:hAnsi="Courier New" w:cs="Courier New"/>
    </w:rPr>
  </w:style>
  <w:style w:type="character" w:styleId="Hypertextovodkaz">
    <w:name w:val="Hyperlink"/>
    <w:semiHidden/>
    <w:rsid w:val="00D60EAF"/>
    <w:rPr>
      <w:rFonts w:ascii="Verdana" w:hAnsi="Verdana"/>
      <w:color w:val="0000FF"/>
      <w:u w:val="none"/>
    </w:rPr>
  </w:style>
  <w:style w:type="character" w:styleId="Sledovanodkaz">
    <w:name w:val="FollowedHyperlink"/>
    <w:basedOn w:val="Standardnpsmoodstavce"/>
    <w:uiPriority w:val="99"/>
    <w:semiHidden/>
    <w:unhideWhenUsed/>
    <w:rsid w:val="00D60EAF"/>
    <w:rPr>
      <w:color w:val="800080" w:themeColor="followedHyperlink"/>
      <w:u w:val="single"/>
    </w:rPr>
  </w:style>
  <w:style w:type="paragraph" w:styleId="Revize">
    <w:name w:val="Revision"/>
    <w:hidden/>
    <w:uiPriority w:val="99"/>
    <w:semiHidden/>
    <w:rsid w:val="00451039"/>
  </w:style>
  <w:style w:type="paragraph" w:customStyle="1" w:styleId="Identifikace">
    <w:name w:val="Identifikace"/>
    <w:basedOn w:val="Normln"/>
    <w:rsid w:val="00E92393"/>
    <w:rPr>
      <w:rFonts w:ascii="Arial" w:hAnsi="Arial"/>
      <w:szCs w:val="20"/>
    </w:rPr>
  </w:style>
  <w:style w:type="character" w:customStyle="1" w:styleId="SmlouvaodstavecChar">
    <w:name w:val="Smlouva_odstavec Char"/>
    <w:link w:val="Smlouvaodstavec"/>
    <w:locked/>
    <w:rsid w:val="004E49E8"/>
    <w:rPr>
      <w:rFonts w:ascii="Arial" w:eastAsia="Calibri"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7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75258-FAAF-4505-BB94-8C99C28C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7257</Characters>
  <Application>Microsoft Office Word</Application>
  <DocSecurity>4</DocSecurity>
  <Lines>60</Lines>
  <Paragraphs>16</Paragraphs>
  <ScaleCrop>false</ScaleCrop>
  <HeadingPairs>
    <vt:vector size="2" baseType="variant">
      <vt:variant>
        <vt:lpstr>Název</vt:lpstr>
      </vt:variant>
      <vt:variant>
        <vt:i4>1</vt:i4>
      </vt:variant>
    </vt:vector>
  </HeadingPairs>
  <TitlesOfParts>
    <vt:vector size="1" baseType="lpstr">
      <vt:lpstr>Smlouva o externí spolupráci</vt:lpstr>
    </vt:vector>
  </TitlesOfParts>
  <Company>LCS International, a.s.</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externí spolupráci</dc:title>
  <dc:subject/>
  <dc:creator>Jiří Rousek</dc:creator>
  <cp:keywords/>
  <dc:description/>
  <cp:lastModifiedBy>Hlušičková Zdeňka</cp:lastModifiedBy>
  <cp:revision>2</cp:revision>
  <cp:lastPrinted>2016-09-08T10:25:00Z</cp:lastPrinted>
  <dcterms:created xsi:type="dcterms:W3CDTF">2019-08-15T05:27:00Z</dcterms:created>
  <dcterms:modified xsi:type="dcterms:W3CDTF">2019-08-15T05:27:00Z</dcterms:modified>
</cp:coreProperties>
</file>