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71" w:rsidRDefault="00C11B71" w:rsidP="00C11B71">
      <w:pPr>
        <w:jc w:val="both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D02DCB">
        <w:rPr>
          <w:rFonts w:ascii="Garamond" w:hAnsi="Garamond"/>
          <w:b/>
          <w:sz w:val="22"/>
          <w:szCs w:val="22"/>
        </w:rPr>
        <w:t xml:space="preserve">Příloha č. </w:t>
      </w:r>
      <w:r>
        <w:rPr>
          <w:rFonts w:ascii="Garamond" w:hAnsi="Garamond"/>
          <w:b/>
          <w:sz w:val="22"/>
          <w:szCs w:val="22"/>
        </w:rPr>
        <w:t>11</w:t>
      </w:r>
      <w:r w:rsidRPr="00D02DCB">
        <w:rPr>
          <w:rFonts w:ascii="Garamond" w:hAnsi="Garamond"/>
          <w:b/>
          <w:sz w:val="22"/>
          <w:szCs w:val="22"/>
        </w:rPr>
        <w:t xml:space="preserve"> zadávací dokumentace</w:t>
      </w:r>
    </w:p>
    <w:p w:rsidR="00C11B71" w:rsidRPr="00D02DCB" w:rsidRDefault="00C11B71" w:rsidP="00C11B71">
      <w:pPr>
        <w:jc w:val="both"/>
        <w:rPr>
          <w:rFonts w:ascii="Garamond" w:hAnsi="Garamond"/>
          <w:b/>
          <w:sz w:val="22"/>
          <w:szCs w:val="22"/>
        </w:rPr>
      </w:pPr>
    </w:p>
    <w:p w:rsidR="00C11B71" w:rsidRDefault="00C11B71" w:rsidP="00D122C9">
      <w:pPr>
        <w:rPr>
          <w:rFonts w:ascii="Garamond" w:hAnsi="Garamond"/>
          <w:noProof/>
        </w:rPr>
      </w:pPr>
    </w:p>
    <w:p w:rsidR="00953A54" w:rsidRDefault="00F97278" w:rsidP="00D122C9">
      <w:pPr>
        <w:rPr>
          <w:rFonts w:ascii="Verdana" w:hAnsi="Verdana"/>
        </w:rPr>
      </w:pPr>
      <w:r w:rsidRPr="00441241">
        <w:rPr>
          <w:rFonts w:ascii="Garamond" w:hAnsi="Garamond"/>
          <w:noProof/>
        </w:rPr>
        <w:drawing>
          <wp:inline distT="0" distB="0" distL="0" distR="0" wp14:anchorId="007FDDE8" wp14:editId="4470C64D">
            <wp:extent cx="1598295" cy="803275"/>
            <wp:effectExtent l="19050" t="0" r="1905" b="0"/>
            <wp:docPr id="3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2C9">
        <w:rPr>
          <w:rFonts w:ascii="Verdana" w:hAnsi="Verdana"/>
        </w:rPr>
        <w:tab/>
      </w:r>
      <w:r w:rsidR="00D122C9">
        <w:rPr>
          <w:rFonts w:ascii="Verdana" w:hAnsi="Verdana"/>
        </w:rPr>
        <w:tab/>
      </w:r>
      <w:r w:rsidR="00D122C9">
        <w:rPr>
          <w:rFonts w:ascii="Verdana" w:hAnsi="Verdana"/>
        </w:rPr>
        <w:tab/>
        <w:t xml:space="preserve">     </w:t>
      </w:r>
      <w:r w:rsidR="00D122C9">
        <w:rPr>
          <w:noProof/>
        </w:rPr>
        <w:drawing>
          <wp:inline distT="0" distB="0" distL="0" distR="0" wp14:anchorId="2901F4A2" wp14:editId="4B12C3F1">
            <wp:extent cx="2314209" cy="994536"/>
            <wp:effectExtent l="0" t="0" r="0" b="0"/>
            <wp:docPr id="2" name="Obrázek 2" descr="C:\Users\DaX\Desktop\BT logo nové\logo_1_v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X\Desktop\BT logo nové\logo_1_velk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4" cy="9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pStyle w:val="Nadpis1"/>
        <w:rPr>
          <w:caps/>
          <w:sz w:val="56"/>
        </w:rPr>
      </w:pPr>
    </w:p>
    <w:p w:rsidR="00953A54" w:rsidRDefault="00953A54" w:rsidP="00953A54">
      <w:pPr>
        <w:pStyle w:val="Nadpis1"/>
        <w:rPr>
          <w:caps/>
          <w:sz w:val="56"/>
        </w:rPr>
      </w:pPr>
    </w:p>
    <w:p w:rsidR="00C11B71" w:rsidRPr="00D02DCB" w:rsidRDefault="00C11B71" w:rsidP="00C11B71">
      <w:pPr>
        <w:jc w:val="center"/>
        <w:rPr>
          <w:rFonts w:ascii="Garamond" w:hAnsi="Garamond"/>
          <w:sz w:val="44"/>
          <w:szCs w:val="44"/>
        </w:rPr>
      </w:pPr>
      <w:r w:rsidRPr="00D02DCB">
        <w:rPr>
          <w:rFonts w:ascii="Garamond" w:hAnsi="Garamond"/>
          <w:b/>
          <w:sz w:val="44"/>
          <w:szCs w:val="44"/>
        </w:rPr>
        <w:t>Technické podmínky pro poskytování služeb</w:t>
      </w:r>
    </w:p>
    <w:p w:rsidR="00C11B71" w:rsidRPr="00D02DCB" w:rsidRDefault="00C11B71" w:rsidP="00C11B71">
      <w:pPr>
        <w:jc w:val="center"/>
        <w:rPr>
          <w:rFonts w:ascii="Garamond" w:hAnsi="Garamond"/>
          <w:sz w:val="44"/>
          <w:szCs w:val="44"/>
        </w:rPr>
      </w:pPr>
    </w:p>
    <w:p w:rsidR="00C11B71" w:rsidRDefault="00C11B71" w:rsidP="00C11B71">
      <w:pPr>
        <w:jc w:val="center"/>
        <w:rPr>
          <w:rFonts w:ascii="Verdana" w:hAnsi="Verdana"/>
          <w:caps/>
        </w:rPr>
      </w:pPr>
    </w:p>
    <w:p w:rsidR="00C11B71" w:rsidRPr="00D02DCB" w:rsidRDefault="00C11B71" w:rsidP="00C11B71">
      <w:pPr>
        <w:pStyle w:val="Nadpis2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cestovní pojištění</w:t>
      </w:r>
    </w:p>
    <w:p w:rsidR="00C11B71" w:rsidRDefault="00C11B71" w:rsidP="00C11B71"/>
    <w:p w:rsidR="00953A54" w:rsidRDefault="00953A54" w:rsidP="00953A54"/>
    <w:p w:rsidR="00953A54" w:rsidRPr="00D41FC3" w:rsidRDefault="00953A54" w:rsidP="00953A54"/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jc w:val="center"/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jc w:val="center"/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0D11AE" w:rsidRDefault="000D11AE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C11B71" w:rsidRDefault="00C11B71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C11B71" w:rsidRDefault="00C11B71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C11B71" w:rsidRDefault="00C11B71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C11B71" w:rsidRDefault="00C11B71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C11B71" w:rsidRDefault="00C11B71" w:rsidP="004355B6">
      <w:pPr>
        <w:jc w:val="both"/>
        <w:rPr>
          <w:rFonts w:ascii="Verdana" w:hAnsi="Verdana"/>
          <w:b/>
          <w:spacing w:val="40"/>
          <w:sz w:val="22"/>
          <w:szCs w:val="22"/>
        </w:rPr>
      </w:pPr>
    </w:p>
    <w:p w:rsidR="00A03102" w:rsidRPr="003D01B4" w:rsidRDefault="00A03102" w:rsidP="004355B6">
      <w:pPr>
        <w:jc w:val="both"/>
        <w:rPr>
          <w:rFonts w:ascii="Verdana" w:hAnsi="Verdana"/>
          <w:b/>
          <w:spacing w:val="40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940DF7" w:rsidRPr="00C11B71" w:rsidTr="00940DF7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40DF7" w:rsidRPr="00C11B71" w:rsidRDefault="00940DF7" w:rsidP="003D01B4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11B71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Požadované</w:t>
            </w:r>
            <w:r w:rsidR="0026710B" w:rsidRPr="00C11B71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minimální</w:t>
            </w:r>
            <w:r w:rsidRPr="00C11B71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limity pojistného plnění EVROPA i SVĚT</w:t>
            </w:r>
          </w:p>
        </w:tc>
      </w:tr>
    </w:tbl>
    <w:p w:rsidR="00940DF7" w:rsidRDefault="00940DF7"/>
    <w:p w:rsidR="00940D69" w:rsidRDefault="00940D69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544"/>
        <w:gridCol w:w="2126"/>
      </w:tblGrid>
      <w:tr w:rsidR="00940DF7" w:rsidRPr="00C11B71" w:rsidTr="00940DF7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Typ úhrady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Limit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Léčebné výlohy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Léčebné výlohy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5358C1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15 000 000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Zubní ošetření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Fyzioterapie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120 000Kč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 xml:space="preserve">Kompenzace pobytu v nem.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Psychologická pomoc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Zajištění krevních preparátů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ANO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92192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Asistenční služby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Aktivní asistence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neomezeně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Převoz, přeložení, repatriace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3 000 000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Převoz tělesných ostatků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1 000 000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Opatrovník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Cestovní doklady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Odcizení, zničení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Osobní věci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Zavazadla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30 000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Odpovědnost za škodu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Škoda na zdraví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24 000 000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Škod na majetku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12 000 000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Právní zastoupení, záloha na kauci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6E1A1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Úraz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Trvalé následky úrazu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800 000Kč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Úmrtí následkem úrazu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Přerušení cesty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Přerušení cesty z osobních i pracovních důvodů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Náhradní pracovník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92192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Teroristický čin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Únos a únos dopravního prostředku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100 000Kč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Náklady na dopravu při zkrácení cesty (teroristický čin)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Náklady na ubytování při zkrácení cesty (teroristický čin)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Opuštění ohrožené oblasti (náhlá změna bezpečnostních, politických či hygienických podmínek)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100 000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F7" w:rsidRPr="00C11B71" w:rsidRDefault="00940DF7" w:rsidP="00272686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Škoda na osobních věcech při náhlém opuštění oblasti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30 000Kč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Odcizení hotovosti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5 000Kč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Zpoždění zavazadel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20 000Kč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Zmeškání odjezdu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F7" w:rsidRPr="00C11B71" w:rsidRDefault="00940DF7" w:rsidP="004E000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Zpoždění dopravního prostředku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3D208D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15 000 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Škoda na osobních věcech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60 000Kč</w:t>
            </w:r>
          </w:p>
        </w:tc>
      </w:tr>
      <w:tr w:rsidR="00940DF7" w:rsidRPr="00C11B71" w:rsidTr="00940DF7"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Alternativní doprava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F7" w:rsidRPr="00C11B71" w:rsidRDefault="00940DF7" w:rsidP="004E000A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11B71">
              <w:rPr>
                <w:rFonts w:ascii="Garamond" w:hAnsi="Garamond"/>
                <w:color w:val="000000"/>
                <w:sz w:val="22"/>
                <w:szCs w:val="22"/>
              </w:rPr>
              <w:t>40 000Kč</w:t>
            </w:r>
          </w:p>
        </w:tc>
      </w:tr>
    </w:tbl>
    <w:p w:rsidR="0026710B" w:rsidRDefault="0026710B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940D69" w:rsidRDefault="00940D69" w:rsidP="002E4450">
      <w:pPr>
        <w:autoSpaceDE w:val="0"/>
        <w:autoSpaceDN w:val="0"/>
        <w:adjustRightInd w:val="0"/>
        <w:jc w:val="both"/>
        <w:rPr>
          <w:rFonts w:ascii="Verdana" w:hAnsi="Verdana" w:cs="NeoSansPro-Regular"/>
          <w:b/>
        </w:rPr>
      </w:pPr>
    </w:p>
    <w:p w:rsidR="002E4450" w:rsidRPr="00874C57" w:rsidRDefault="002E4450" w:rsidP="002E4450">
      <w:pPr>
        <w:autoSpaceDE w:val="0"/>
        <w:autoSpaceDN w:val="0"/>
        <w:adjustRightInd w:val="0"/>
        <w:jc w:val="both"/>
        <w:rPr>
          <w:rFonts w:ascii="Garamond" w:hAnsi="Garamond" w:cs="NeoSansPro-Regular"/>
          <w:b/>
        </w:rPr>
      </w:pPr>
      <w:r w:rsidRPr="00874C57">
        <w:rPr>
          <w:rFonts w:ascii="Garamond" w:hAnsi="Garamond" w:cs="NeoSansPro-Regular"/>
          <w:b/>
        </w:rPr>
        <w:t>Požadovaný minimální rozsah a podmínky pojištění:</w:t>
      </w:r>
    </w:p>
    <w:p w:rsidR="002E4450" w:rsidRPr="00940D69" w:rsidRDefault="002E4450" w:rsidP="002E4450">
      <w:pPr>
        <w:autoSpaceDE w:val="0"/>
        <w:autoSpaceDN w:val="0"/>
        <w:adjustRightInd w:val="0"/>
        <w:jc w:val="both"/>
        <w:rPr>
          <w:rFonts w:ascii="Garamond" w:hAnsi="Garamond" w:cs="NeoSansPro-Regular"/>
          <w:b/>
          <w:sz w:val="22"/>
          <w:szCs w:val="22"/>
        </w:rPr>
      </w:pPr>
    </w:p>
    <w:p w:rsidR="002E4450" w:rsidRPr="00874C57" w:rsidRDefault="002E4450" w:rsidP="002E4450">
      <w:pPr>
        <w:autoSpaceDE w:val="0"/>
        <w:autoSpaceDN w:val="0"/>
        <w:adjustRightInd w:val="0"/>
        <w:jc w:val="both"/>
        <w:rPr>
          <w:rFonts w:ascii="Garamond" w:hAnsi="Garamond" w:cs="NeoSansPro-Regular"/>
          <w:b/>
          <w:caps/>
          <w:sz w:val="22"/>
          <w:szCs w:val="22"/>
          <w:u w:val="single"/>
        </w:rPr>
      </w:pPr>
      <w:r w:rsidRPr="00874C57">
        <w:rPr>
          <w:rFonts w:ascii="Garamond" w:hAnsi="Garamond" w:cs="NeoSansPro-Regular"/>
          <w:b/>
          <w:caps/>
          <w:sz w:val="22"/>
          <w:szCs w:val="22"/>
          <w:u w:val="single"/>
        </w:rPr>
        <w:t>I. Léčebné výlohy:</w:t>
      </w:r>
    </w:p>
    <w:p w:rsidR="002E4450" w:rsidRPr="00940D69" w:rsidRDefault="002E4450" w:rsidP="002E4450">
      <w:pPr>
        <w:autoSpaceDE w:val="0"/>
        <w:autoSpaceDN w:val="0"/>
        <w:adjustRightInd w:val="0"/>
        <w:jc w:val="both"/>
        <w:rPr>
          <w:rFonts w:ascii="Garamond" w:hAnsi="Garamond" w:cs="NeoSansPro-Regular"/>
          <w:b/>
          <w:sz w:val="22"/>
          <w:szCs w:val="22"/>
        </w:rPr>
      </w:pPr>
    </w:p>
    <w:p w:rsidR="00353C9B" w:rsidRPr="00940D69" w:rsidRDefault="00353C9B" w:rsidP="002E445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Pojistná ochrana se vztahuje pouze na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péči nutnou z lékařského hlediska, tj. na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 xml:space="preserve">péči stabilizující stav </w:t>
      </w:r>
      <w:r w:rsidR="0053106F" w:rsidRPr="00940D69">
        <w:rPr>
          <w:rFonts w:ascii="Garamond" w:hAnsi="Garamond" w:cs="NeoSansPro-Regular"/>
        </w:rPr>
        <w:t>pojištěného natolik, že j</w:t>
      </w:r>
      <w:r w:rsidRPr="00940D69">
        <w:rPr>
          <w:rFonts w:ascii="Garamond" w:hAnsi="Garamond" w:cs="NeoSansPro-Regular"/>
        </w:rPr>
        <w:t>e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schop</w:t>
      </w:r>
      <w:r w:rsidR="0053106F" w:rsidRPr="00940D69">
        <w:rPr>
          <w:rFonts w:ascii="Garamond" w:hAnsi="Garamond" w:cs="NeoSansPro-Regular"/>
        </w:rPr>
        <w:t>e</w:t>
      </w:r>
      <w:r w:rsidRPr="00940D69">
        <w:rPr>
          <w:rFonts w:ascii="Garamond" w:hAnsi="Garamond" w:cs="NeoSansPro-Regular"/>
        </w:rPr>
        <w:t>n v cestě pokračovat, nebo být jako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nemocn</w:t>
      </w:r>
      <w:r w:rsidR="0053106F" w:rsidRPr="00940D69">
        <w:rPr>
          <w:rFonts w:ascii="Garamond" w:hAnsi="Garamond" w:cs="NeoSansPro-Regular"/>
        </w:rPr>
        <w:t>ý</w:t>
      </w:r>
      <w:r w:rsidRPr="00940D69">
        <w:rPr>
          <w:rFonts w:ascii="Garamond" w:hAnsi="Garamond" w:cs="NeoSansPro-Regular"/>
        </w:rPr>
        <w:t xml:space="preserve"> převezen</w:t>
      </w:r>
      <w:r w:rsidR="0053106F" w:rsidRPr="00940D69">
        <w:rPr>
          <w:rFonts w:ascii="Garamond" w:hAnsi="Garamond" w:cs="NeoSansPro-Regular"/>
        </w:rPr>
        <w:t xml:space="preserve"> zpět</w:t>
      </w:r>
      <w:r w:rsidRPr="00940D69">
        <w:rPr>
          <w:rFonts w:ascii="Garamond" w:hAnsi="Garamond" w:cs="NeoSansPro-Regular"/>
        </w:rPr>
        <w:t xml:space="preserve"> do vlasti.</w:t>
      </w:r>
    </w:p>
    <w:p w:rsidR="008B5F38" w:rsidRPr="00940D69" w:rsidRDefault="008B5F38" w:rsidP="008B5F38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NeoSansPro-Regular"/>
        </w:rPr>
      </w:pPr>
    </w:p>
    <w:p w:rsidR="00353C9B" w:rsidRPr="00940D69" w:rsidRDefault="00353C9B" w:rsidP="008B5F3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Pojistná ochrana se vztahuje pouze na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léčebnou péči poskytovanou oprávněným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zdravo</w:t>
      </w:r>
      <w:r w:rsidR="0053106F" w:rsidRPr="00940D69">
        <w:rPr>
          <w:rFonts w:ascii="Garamond" w:hAnsi="Garamond" w:cs="NeoSansPro-Regular"/>
        </w:rPr>
        <w:t xml:space="preserve">tnickým personálem, jímž nesmí být pojištěný </w:t>
      </w:r>
      <w:r w:rsidRPr="00940D69">
        <w:rPr>
          <w:rFonts w:ascii="Garamond" w:hAnsi="Garamond" w:cs="NeoSansPro-Regular"/>
        </w:rPr>
        <w:t>nebo někdo z příbuzných.</w:t>
      </w:r>
    </w:p>
    <w:p w:rsidR="008B5F38" w:rsidRPr="00940D69" w:rsidRDefault="008B5F38" w:rsidP="008B5F38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NeoSansPro-Regular"/>
        </w:rPr>
      </w:pPr>
    </w:p>
    <w:p w:rsidR="00353C9B" w:rsidRPr="00940D69" w:rsidRDefault="00353C9B" w:rsidP="008B5F3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/>
          <w:b/>
        </w:rPr>
      </w:pPr>
      <w:r w:rsidRPr="00940D69">
        <w:rPr>
          <w:rFonts w:ascii="Garamond" w:hAnsi="Garamond" w:cs="NeoSansPro-Regular"/>
        </w:rPr>
        <w:t xml:space="preserve">Pokud během zahraniční cesty </w:t>
      </w:r>
      <w:r w:rsidR="0053106F" w:rsidRPr="00940D69">
        <w:rPr>
          <w:rFonts w:ascii="Garamond" w:hAnsi="Garamond" w:cs="NeoSansPro-Regular"/>
        </w:rPr>
        <w:t xml:space="preserve">pojištěný </w:t>
      </w:r>
      <w:r w:rsidRPr="00940D69">
        <w:rPr>
          <w:rFonts w:ascii="Garamond" w:hAnsi="Garamond" w:cs="NeoSansPro-Regular"/>
        </w:rPr>
        <w:t>náhle</w:t>
      </w:r>
      <w:r w:rsidR="0053106F" w:rsidRPr="00940D69">
        <w:rPr>
          <w:rFonts w:ascii="Garamond" w:hAnsi="Garamond" w:cs="NeoSansPro-Regular"/>
        </w:rPr>
        <w:t xml:space="preserve"> akutně onemocní či utrpí úraz, uhradí pojistitel</w:t>
      </w:r>
      <w:r w:rsidRPr="00940D69">
        <w:rPr>
          <w:rFonts w:ascii="Garamond" w:hAnsi="Garamond" w:cs="NeoSansPro-Regular"/>
        </w:rPr>
        <w:t xml:space="preserve"> obvyklé, odpovídající</w:t>
      </w:r>
      <w:r w:rsidR="0053106F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a přiměřené výlohy na</w:t>
      </w:r>
      <w:r w:rsidR="0053106F" w:rsidRPr="00940D69">
        <w:rPr>
          <w:rFonts w:ascii="Garamond" w:hAnsi="Garamond" w:cs="NeoSansPro-Regular"/>
        </w:rPr>
        <w:t>:</w:t>
      </w:r>
    </w:p>
    <w:p w:rsidR="00772193" w:rsidRPr="00940D69" w:rsidRDefault="00772193" w:rsidP="00772193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 či operaci, a to zejména poplatky za návštěvu lékaře, předepsané léky, infuzní tekutiny a ostatní léčiva, obvazové materiály a použití zdravotnických přístrojů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fyzioterapeutické nebo chiropraktické léčení předepsané ošetřujícím lékařem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plastickou operaci nebo léčbu jejích následků a komplikací za předpokladu, že úraz vyžaduje nemocniční léčbu do 24 hodin po úrazu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ambulantní zubní ošetření za účelem bezprostřední úlevy bolesti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umístění v nemocnici nebo na klinice včetně stravování a ubytování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umístění v nemocničním pokoji s intenzivní péčí, je-li nezbytná z lékařských důvodů</w:t>
      </w:r>
      <w:r w:rsidR="008B5F38" w:rsidRPr="00940D69">
        <w:rPr>
          <w:rFonts w:ascii="Garamond" w:hAnsi="Garamond" w:cs="NeoSansPro-Regular"/>
        </w:rPr>
        <w:t>,</w:t>
      </w:r>
    </w:p>
    <w:p w:rsidR="00D23A06" w:rsidRPr="00940D69" w:rsidRDefault="00D23A06" w:rsidP="008B5F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prodloužení pobytu v hotelu a stravování, schválené asistenční službou, bude-li pojištěný z rozhodnutí ošetřujícího lékaře upoután na lůžko pro akutní onemocnění či úraz</w:t>
      </w:r>
      <w:r w:rsidR="008B5F38" w:rsidRPr="00940D69">
        <w:rPr>
          <w:rFonts w:ascii="Garamond" w:hAnsi="Garamond" w:cs="NeoSansPro-Regular"/>
        </w:rPr>
        <w:t>.</w:t>
      </w:r>
    </w:p>
    <w:p w:rsidR="008B5F38" w:rsidRPr="00940D69" w:rsidRDefault="008B5F38" w:rsidP="008B5F38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</w:rPr>
      </w:pPr>
    </w:p>
    <w:p w:rsidR="00D23A06" w:rsidRPr="00940D69" w:rsidRDefault="00D23A06" w:rsidP="008B5F3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Jestliže v průběhu cesty delší než 90 dní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utrpí</w:t>
      </w:r>
      <w:r w:rsidR="008B5F38" w:rsidRPr="00940D69">
        <w:rPr>
          <w:rFonts w:ascii="Garamond" w:hAnsi="Garamond" w:cs="NeoSansPro-Regular"/>
        </w:rPr>
        <w:t xml:space="preserve"> pojištěný</w:t>
      </w:r>
      <w:r w:rsidRPr="00940D69">
        <w:rPr>
          <w:rFonts w:ascii="Garamond" w:hAnsi="Garamond" w:cs="NeoSansPro-Regular"/>
        </w:rPr>
        <w:t xml:space="preserve"> úraz či náhlé onemocnění vyžadující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neakutní plánovanou operaci, kterou nelze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z hlediska asistenčního lékaře odložit do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konce platnosti pojištění, uhradí pojistitel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pouze náklady na návrat pojištěné osoby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do vlasti za účelem výkonu plánované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operace.</w:t>
      </w:r>
    </w:p>
    <w:p w:rsidR="008B5F38" w:rsidRPr="00940D69" w:rsidRDefault="008B5F38" w:rsidP="008B5F38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</w:rPr>
      </w:pPr>
    </w:p>
    <w:p w:rsidR="00D23A06" w:rsidRPr="00940D69" w:rsidRDefault="008B5F38" w:rsidP="008B5F38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</w:t>
      </w:r>
      <w:r w:rsidR="00D23A06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ýluky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z výše uvedeného pojištění:</w:t>
      </w:r>
    </w:p>
    <w:p w:rsidR="008B5F38" w:rsidRPr="00940D69" w:rsidRDefault="008B5F38" w:rsidP="008B5F38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772193" w:rsidRPr="00940D69" w:rsidRDefault="008B5F38" w:rsidP="0077219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Pojistitel není</w:t>
      </w:r>
      <w:r w:rsidR="00D23A06" w:rsidRPr="00940D69">
        <w:rPr>
          <w:rFonts w:ascii="Garamond" w:hAnsi="Garamond" w:cs="NeoSansPro-Regular"/>
        </w:rPr>
        <w:t xml:space="preserve"> povin</w:t>
      </w:r>
      <w:r w:rsidRPr="00940D69">
        <w:rPr>
          <w:rFonts w:ascii="Garamond" w:hAnsi="Garamond" w:cs="NeoSansPro-Regular"/>
        </w:rPr>
        <w:t>e</w:t>
      </w:r>
      <w:r w:rsidR="00D23A06" w:rsidRPr="00940D69">
        <w:rPr>
          <w:rFonts w:ascii="Garamond" w:hAnsi="Garamond" w:cs="NeoSansPro-Regular"/>
        </w:rPr>
        <w:t>n poskytnout pojistné plnění,</w:t>
      </w:r>
      <w:r w:rsidRPr="00940D69">
        <w:rPr>
          <w:rFonts w:ascii="Garamond" w:hAnsi="Garamond" w:cs="NeoSansPro-Regular"/>
        </w:rPr>
        <w:t xml:space="preserve"> </w:t>
      </w:r>
      <w:r w:rsidR="00D23A06" w:rsidRPr="00940D69">
        <w:rPr>
          <w:rFonts w:ascii="Garamond" w:hAnsi="Garamond" w:cs="NeoSansPro-Regular"/>
        </w:rPr>
        <w:t>vzniknou-li léčebné výlohy v</w:t>
      </w:r>
      <w:r w:rsidRPr="00940D69">
        <w:rPr>
          <w:rFonts w:ascii="Garamond" w:hAnsi="Garamond" w:cs="NeoSansPro-Regular"/>
        </w:rPr>
        <w:t> </w:t>
      </w:r>
      <w:r w:rsidR="00D23A06" w:rsidRPr="00940D69">
        <w:rPr>
          <w:rFonts w:ascii="Garamond" w:hAnsi="Garamond" w:cs="NeoSansPro-Regular"/>
        </w:rPr>
        <w:t>důsledku</w:t>
      </w:r>
      <w:r w:rsidRPr="00940D69">
        <w:rPr>
          <w:rFonts w:ascii="Garamond" w:hAnsi="Garamond" w:cs="NeoSansPro-Regular"/>
        </w:rPr>
        <w:t>:</w:t>
      </w:r>
    </w:p>
    <w:p w:rsidR="00772193" w:rsidRPr="00940D69" w:rsidRDefault="00772193" w:rsidP="00772193">
      <w:pPr>
        <w:pStyle w:val="Odstavecseseznamem"/>
        <w:autoSpaceDE w:val="0"/>
        <w:autoSpaceDN w:val="0"/>
        <w:adjustRightInd w:val="0"/>
        <w:ind w:left="284"/>
        <w:jc w:val="both"/>
        <w:rPr>
          <w:rFonts w:ascii="Garamond" w:hAnsi="Garamond" w:cs="NeoSansPro-Regular"/>
        </w:rPr>
      </w:pP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léčení, hospitalizace nebo ubytování po</w:t>
      </w:r>
      <w:r w:rsidR="008B5F38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návratu do vlasti</w:t>
      </w:r>
      <w:r w:rsidR="000D11AE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dalšího léčení, hospitalizace nebo ubytování,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 xml:space="preserve">odmítne-li </w:t>
      </w:r>
      <w:r w:rsidR="000D11AE" w:rsidRPr="00940D69">
        <w:rPr>
          <w:rFonts w:ascii="Garamond" w:hAnsi="Garamond" w:cs="NeoSansPro-Regular"/>
        </w:rPr>
        <w:t xml:space="preserve">pojištěný </w:t>
      </w:r>
      <w:r w:rsidRPr="00940D69">
        <w:rPr>
          <w:rFonts w:ascii="Garamond" w:hAnsi="Garamond" w:cs="NeoSansPro-Regular"/>
        </w:rPr>
        <w:t>přeložení, o němž rozhodl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lékař asistenční služby a které schválil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ošetřující lékař jako lékařsky přijatelné,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účelné či nezbytné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léčení, hospitalizace nebo ubytování, lze-li léčení odložit až do návratu do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vlasti, a to na základě rozhodnutí lékaře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asistenční služby, schváleného ošetřujícím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lékařem jako lékařsky přijatelné, účelné či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nezbytné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 či operace úrazu nebo onemocnění,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jež nastaly před odjezdem do zahraničí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 či operace chronického onemocnění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pokračující léčby stávající nemoci nebo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úrazu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uměle vyvolaného přerušení těhotenství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léčení, za jehož účelem byla cesta uskutečněna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preventivních či kontrolních vyšetření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a vydání lékařských osvědčení</w:t>
      </w:r>
      <w:r w:rsidR="000E5D84" w:rsidRPr="00940D69">
        <w:rPr>
          <w:rFonts w:ascii="Garamond" w:hAnsi="Garamond" w:cs="NeoSansPro-Regular"/>
        </w:rPr>
        <w:t>,</w:t>
      </w:r>
    </w:p>
    <w:p w:rsidR="000D11AE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zhotovení protéz včetně léčebných výloh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na jejich umístění nebo nahrazení</w:t>
      </w:r>
      <w:r w:rsidR="000E5D84" w:rsidRPr="00940D69">
        <w:rPr>
          <w:rFonts w:ascii="Garamond" w:hAnsi="Garamond" w:cs="NeoSansPro-Regular"/>
        </w:rPr>
        <w:t>,</w:t>
      </w:r>
    </w:p>
    <w:p w:rsidR="005B6015" w:rsidRPr="00940D69" w:rsidRDefault="00D23A06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940D69">
        <w:rPr>
          <w:rFonts w:ascii="Garamond" w:hAnsi="Garamond" w:cs="NeoSansPro-Regular"/>
        </w:rPr>
        <w:t>pobytu v zotavovně nebo v</w:t>
      </w:r>
      <w:r w:rsidR="000D11AE" w:rsidRPr="00940D69">
        <w:rPr>
          <w:rFonts w:ascii="Garamond" w:hAnsi="Garamond" w:cs="NeoSansPro-Regular"/>
        </w:rPr>
        <w:t> </w:t>
      </w:r>
      <w:r w:rsidRPr="00940D69">
        <w:rPr>
          <w:rFonts w:ascii="Garamond" w:hAnsi="Garamond" w:cs="NeoSansPro-Regular"/>
        </w:rPr>
        <w:t>rehabilitačním</w:t>
      </w:r>
      <w:r w:rsidR="000D11AE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zařízení</w:t>
      </w:r>
      <w:r w:rsidR="005B6015" w:rsidRPr="00940D69">
        <w:rPr>
          <w:rFonts w:ascii="Garamond" w:hAnsi="Garamond" w:cs="NeoSansPro-Regular"/>
        </w:rPr>
        <w:t>,</w:t>
      </w:r>
    </w:p>
    <w:p w:rsidR="000D11AE" w:rsidRPr="00940D69" w:rsidRDefault="005B6015" w:rsidP="008B5F3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940D69">
        <w:rPr>
          <w:rFonts w:ascii="Garamond" w:hAnsi="Garamond" w:cs="NeoSansPro-Regular"/>
        </w:rPr>
        <w:t>v důsledku sportovních a rekreačních aktivit organizovaných pojištěným</w:t>
      </w:r>
      <w:r w:rsidR="00772193" w:rsidRPr="00940D69">
        <w:rPr>
          <w:rFonts w:ascii="Garamond" w:hAnsi="Garamond" w:cs="NeoSansPro-Regular"/>
        </w:rPr>
        <w:t>.</w:t>
      </w:r>
    </w:p>
    <w:p w:rsidR="003D01B4" w:rsidRPr="00940D69" w:rsidRDefault="003D01B4" w:rsidP="003D01B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92192A" w:rsidRPr="00940D69" w:rsidRDefault="002E4450" w:rsidP="002E4450">
      <w:pPr>
        <w:pStyle w:val="Bezmezer"/>
        <w:jc w:val="both"/>
        <w:rPr>
          <w:rFonts w:ascii="Garamond" w:hAnsi="Garamond"/>
          <w:b/>
          <w:u w:val="single"/>
        </w:rPr>
      </w:pPr>
      <w:r w:rsidRPr="00940D69">
        <w:rPr>
          <w:rFonts w:ascii="Garamond" w:hAnsi="Garamond"/>
          <w:b/>
          <w:u w:val="single"/>
        </w:rPr>
        <w:t xml:space="preserve">II. </w:t>
      </w:r>
      <w:r w:rsidR="0092192A" w:rsidRPr="00940D69">
        <w:rPr>
          <w:rFonts w:ascii="Garamond" w:hAnsi="Garamond"/>
          <w:b/>
          <w:u w:val="single"/>
        </w:rPr>
        <w:t>R</w:t>
      </w:r>
      <w:r w:rsidR="003D01B4" w:rsidRPr="00940D69">
        <w:rPr>
          <w:rFonts w:ascii="Garamond" w:hAnsi="Garamond"/>
          <w:b/>
          <w:u w:val="single"/>
        </w:rPr>
        <w:t>OZSAH ASISTENČNÍCH SLUŽEB</w:t>
      </w:r>
      <w:r w:rsidR="0092192A" w:rsidRPr="00940D69">
        <w:rPr>
          <w:rFonts w:ascii="Garamond" w:hAnsi="Garamond"/>
          <w:b/>
          <w:u w:val="single"/>
        </w:rPr>
        <w:t>:</w:t>
      </w:r>
    </w:p>
    <w:p w:rsidR="0092192A" w:rsidRPr="00940D69" w:rsidRDefault="0092192A" w:rsidP="00AB763C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92192A" w:rsidRPr="00940D69" w:rsidRDefault="00470766" w:rsidP="00AB763C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II.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A: </w:t>
      </w:r>
      <w:r w:rsidR="0092192A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A</w:t>
      </w:r>
      <w:r w:rsidR="003D01B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ktivní asistence</w:t>
      </w:r>
    </w:p>
    <w:p w:rsidR="00AB763C" w:rsidRPr="00940D69" w:rsidRDefault="00AB763C" w:rsidP="00AB763C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AB763C" w:rsidRDefault="0092192A" w:rsidP="00AB763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Pomoc v tísňových situacích během cestování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 xml:space="preserve">(hospitalizace, složité </w:t>
      </w:r>
      <w:r w:rsidR="00AB763C" w:rsidRPr="00940D69">
        <w:rPr>
          <w:rFonts w:ascii="Garamond" w:hAnsi="Garamond" w:cs="NeoSansPro-Regular"/>
        </w:rPr>
        <w:t>a</w:t>
      </w:r>
      <w:r w:rsidRPr="00940D69">
        <w:rPr>
          <w:rFonts w:ascii="Garamond" w:hAnsi="Garamond" w:cs="NeoSansPro-Regular"/>
        </w:rPr>
        <w:t>mbulantní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ošetření, úmrtí, ztráta cestovních dokladů,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potřeba právní pomoci či kontaktu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s rodinou ve vlasti apod.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poskytne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 xml:space="preserve">asistenční služba, která je </w:t>
      </w:r>
      <w:r w:rsidR="00AB763C" w:rsidRPr="00940D69">
        <w:rPr>
          <w:rFonts w:ascii="Garamond" w:hAnsi="Garamond" w:cs="NeoSansPro-Regular"/>
        </w:rPr>
        <w:t>pojistitelem</w:t>
      </w:r>
      <w:r w:rsidRPr="00940D69">
        <w:rPr>
          <w:rFonts w:ascii="Garamond" w:hAnsi="Garamond" w:cs="NeoSansPro-Regular"/>
        </w:rPr>
        <w:t xml:space="preserve"> pověřena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jednat při všech škodních událostech</w:t>
      </w:r>
      <w:r w:rsidR="00772193" w:rsidRPr="00940D69">
        <w:rPr>
          <w:rFonts w:ascii="Garamond" w:hAnsi="Garamond" w:cs="NeoSansPro-Regular"/>
        </w:rPr>
        <w:t>.</w:t>
      </w:r>
    </w:p>
    <w:p w:rsidR="00874C57" w:rsidRPr="00940D69" w:rsidRDefault="00874C57" w:rsidP="00874C57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NeoSansPro-Regular"/>
        </w:rPr>
      </w:pPr>
    </w:p>
    <w:p w:rsidR="00AB763C" w:rsidRPr="00940D69" w:rsidRDefault="000E5D84" w:rsidP="00AB763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</w:t>
      </w:r>
      <w:r w:rsidR="00AB763C" w:rsidRPr="00940D69">
        <w:rPr>
          <w:rFonts w:ascii="Garamond" w:hAnsi="Garamond" w:cs="NeoSansPro-Regular"/>
        </w:rPr>
        <w:t xml:space="preserve">ojištěný </w:t>
      </w:r>
      <w:r w:rsidR="0092192A" w:rsidRPr="00940D69">
        <w:rPr>
          <w:rFonts w:ascii="Garamond" w:hAnsi="Garamond" w:cs="NeoSansPro-Regular"/>
        </w:rPr>
        <w:t>je dále povin</w:t>
      </w:r>
      <w:r w:rsidR="00AB763C" w:rsidRPr="00940D69">
        <w:rPr>
          <w:rFonts w:ascii="Garamond" w:hAnsi="Garamond" w:cs="NeoSansPro-Regular"/>
        </w:rPr>
        <w:t>e</w:t>
      </w:r>
      <w:r w:rsidR="0092192A" w:rsidRPr="00940D69">
        <w:rPr>
          <w:rFonts w:ascii="Garamond" w:hAnsi="Garamond" w:cs="NeoSansPro-Regular"/>
        </w:rPr>
        <w:t>n</w:t>
      </w:r>
      <w:r w:rsidR="00AB763C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>bezodkladně informovat asistenční</w:t>
      </w:r>
      <w:r w:rsidR="00AB763C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>službu v případě potřeby převozu,</w:t>
      </w:r>
      <w:r w:rsidR="00AB763C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>přeložení či přepravy, repatriace</w:t>
      </w:r>
      <w:r w:rsidR="00AB763C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>tělesných ostatků či zajištění opatrovníka</w:t>
      </w:r>
      <w:r w:rsidR="00AB763C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 xml:space="preserve">a získat její svolení. Pokud tak </w:t>
      </w:r>
      <w:r w:rsidR="00AB763C" w:rsidRPr="00940D69">
        <w:rPr>
          <w:rFonts w:ascii="Garamond" w:hAnsi="Garamond" w:cs="NeoSansPro-Regular"/>
        </w:rPr>
        <w:t xml:space="preserve">pojištěný </w:t>
      </w:r>
      <w:r w:rsidR="0092192A" w:rsidRPr="00940D69">
        <w:rPr>
          <w:rFonts w:ascii="Garamond" w:hAnsi="Garamond" w:cs="NeoSansPro-Regular"/>
        </w:rPr>
        <w:t>neučiní,</w:t>
      </w:r>
      <w:r w:rsidR="00AB763C" w:rsidRPr="00940D69">
        <w:rPr>
          <w:rFonts w:ascii="Garamond" w:hAnsi="Garamond" w:cs="NeoSansPro-Regular"/>
        </w:rPr>
        <w:t xml:space="preserve"> je pojistitel </w:t>
      </w:r>
      <w:r w:rsidR="0092192A" w:rsidRPr="00940D69">
        <w:rPr>
          <w:rFonts w:ascii="Garamond" w:hAnsi="Garamond" w:cs="NeoSansPro-Regular"/>
        </w:rPr>
        <w:t>oprávněn</w:t>
      </w:r>
      <w:r w:rsidR="00AB763C" w:rsidRPr="00940D69">
        <w:rPr>
          <w:rFonts w:ascii="Garamond" w:hAnsi="Garamond" w:cs="NeoSansPro-Regular"/>
        </w:rPr>
        <w:t xml:space="preserve"> pojistné plnění odmítnout</w:t>
      </w:r>
      <w:r w:rsidR="00772193" w:rsidRPr="00940D69">
        <w:rPr>
          <w:rFonts w:ascii="Garamond" w:hAnsi="Garamond" w:cs="NeoSansPro-Regular"/>
        </w:rPr>
        <w:t>.</w:t>
      </w:r>
    </w:p>
    <w:p w:rsidR="00AB763C" w:rsidRPr="00940D69" w:rsidRDefault="00AB763C" w:rsidP="00AB763C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NeoSansPro-Regular"/>
        </w:rPr>
      </w:pPr>
    </w:p>
    <w:p w:rsidR="00AB763C" w:rsidRPr="00940D69" w:rsidRDefault="0092192A" w:rsidP="00AB763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Výlohy na převoz, přeložení a přepravu,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repatriaci tělesných ostatků či zajištění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opatrovníka uhradí</w:t>
      </w:r>
      <w:r w:rsidR="00AB763C" w:rsidRPr="00940D69">
        <w:rPr>
          <w:rFonts w:ascii="Garamond" w:hAnsi="Garamond" w:cs="NeoSansPro-Regular"/>
        </w:rPr>
        <w:t xml:space="preserve"> pojišťovna</w:t>
      </w:r>
      <w:r w:rsidRPr="00940D69">
        <w:rPr>
          <w:rFonts w:ascii="Garamond" w:hAnsi="Garamond" w:cs="NeoSansPro-Regular"/>
        </w:rPr>
        <w:t xml:space="preserve"> do výše uvedené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v přehledu plnění, která však nesmí spolu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s náklady na léčebné výlohy přesáhnout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limit pojistného plnění, na který bylo sjednáno</w:t>
      </w:r>
      <w:r w:rsidR="00AB763C" w:rsidRPr="00940D69">
        <w:rPr>
          <w:rFonts w:ascii="Garamond" w:hAnsi="Garamond" w:cs="NeoSansPro-Regular"/>
        </w:rPr>
        <w:t xml:space="preserve"> pojištění léčebných výloh</w:t>
      </w:r>
      <w:r w:rsidR="00772193" w:rsidRPr="00940D69">
        <w:rPr>
          <w:rFonts w:ascii="Garamond" w:hAnsi="Garamond" w:cs="NeoSansPro-Regular"/>
        </w:rPr>
        <w:t>.</w:t>
      </w:r>
    </w:p>
    <w:p w:rsidR="00AB763C" w:rsidRPr="00940D69" w:rsidRDefault="00AB763C" w:rsidP="00AB763C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</w:p>
    <w:p w:rsidR="0092192A" w:rsidRPr="00940D69" w:rsidRDefault="0092192A" w:rsidP="00AB763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Poskytne-li asistenční služba na žádost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pojištěného pomoc v případech,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na něž se nevztahuje toto pojištění,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má vůči pojištěnému právo na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náhradu částek, které za něj v</w:t>
      </w:r>
      <w:r w:rsidR="00AB763C" w:rsidRPr="00940D69">
        <w:rPr>
          <w:rFonts w:ascii="Garamond" w:hAnsi="Garamond" w:cs="NeoSansPro-Regular"/>
        </w:rPr>
        <w:t> </w:t>
      </w:r>
      <w:r w:rsidRPr="00940D69">
        <w:rPr>
          <w:rFonts w:ascii="Garamond" w:hAnsi="Garamond" w:cs="NeoSansPro-Regular"/>
        </w:rPr>
        <w:t>souvislosti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s touto pomocí uhradila (zejména léčebné</w:t>
      </w:r>
      <w:r w:rsidR="00AB763C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výlohy, výlohy spojené s repatriací apod.).</w:t>
      </w:r>
    </w:p>
    <w:p w:rsidR="00AB763C" w:rsidRPr="00940D69" w:rsidRDefault="00AB763C" w:rsidP="00AB763C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AB763C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II.B: </w:t>
      </w:r>
      <w:r w:rsidR="00AB763C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P</w:t>
      </w:r>
      <w:r w:rsidR="003D01B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řevoz, přeložení a repatriace</w:t>
      </w:r>
    </w:p>
    <w:p w:rsidR="00AB763C" w:rsidRPr="00940D69" w:rsidRDefault="00AB763C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92192A" w:rsidRPr="00940D69" w:rsidRDefault="00A05C29" w:rsidP="000E5D8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Pojistitel v případě</w:t>
      </w:r>
      <w:r w:rsidR="0092192A" w:rsidRPr="00940D69">
        <w:rPr>
          <w:rFonts w:ascii="Garamond" w:hAnsi="Garamond" w:cs="NeoSansPro-Regular"/>
        </w:rPr>
        <w:t xml:space="preserve"> onemocn</w:t>
      </w:r>
      <w:r w:rsidRPr="00940D69">
        <w:rPr>
          <w:rFonts w:ascii="Garamond" w:hAnsi="Garamond" w:cs="NeoSansPro-Regular"/>
        </w:rPr>
        <w:t xml:space="preserve">ění či </w:t>
      </w:r>
      <w:r w:rsidR="0092192A" w:rsidRPr="00940D69">
        <w:rPr>
          <w:rFonts w:ascii="Garamond" w:hAnsi="Garamond" w:cs="NeoSansPro-Regular"/>
        </w:rPr>
        <w:t>úraz</w:t>
      </w:r>
      <w:r w:rsidRPr="00940D69">
        <w:rPr>
          <w:rFonts w:ascii="Garamond" w:hAnsi="Garamond" w:cs="NeoSansPro-Regular"/>
        </w:rPr>
        <w:t xml:space="preserve"> během zahraniční cesty</w:t>
      </w:r>
      <w:r w:rsidR="0092192A" w:rsidRPr="00940D69">
        <w:rPr>
          <w:rFonts w:ascii="Garamond" w:hAnsi="Garamond" w:cs="NeoSansPro-Regular"/>
        </w:rPr>
        <w:t xml:space="preserve"> v</w:t>
      </w:r>
      <w:r w:rsidRPr="00940D69">
        <w:rPr>
          <w:rFonts w:ascii="Garamond" w:hAnsi="Garamond" w:cs="NeoSansPro-Regular"/>
        </w:rPr>
        <w:t> případech, na které se vztahuje r</w:t>
      </w:r>
      <w:r w:rsidR="00470766" w:rsidRPr="00940D69">
        <w:rPr>
          <w:rFonts w:ascii="Garamond" w:hAnsi="Garamond" w:cs="NeoSansPro-Regular"/>
        </w:rPr>
        <w:t>ozsah pojištění léčebných a souvisejících výloh</w:t>
      </w:r>
      <w:r w:rsidR="0092192A" w:rsidRPr="00940D69">
        <w:rPr>
          <w:rFonts w:ascii="Garamond" w:hAnsi="Garamond" w:cs="NeoSansPro-Regular"/>
        </w:rPr>
        <w:t>, zabezpečí</w:t>
      </w:r>
      <w:r w:rsidR="00470766" w:rsidRPr="00940D69">
        <w:rPr>
          <w:rFonts w:ascii="Garamond" w:hAnsi="Garamond" w:cs="NeoSansPro-Regular"/>
        </w:rPr>
        <w:t xml:space="preserve"> </w:t>
      </w:r>
      <w:r w:rsidR="0092192A" w:rsidRPr="00940D69">
        <w:rPr>
          <w:rFonts w:ascii="Garamond" w:hAnsi="Garamond" w:cs="NeoSansPro-Regular"/>
        </w:rPr>
        <w:t>a</w:t>
      </w:r>
      <w:r w:rsidR="00470766" w:rsidRPr="00940D69">
        <w:rPr>
          <w:rFonts w:ascii="Garamond" w:hAnsi="Garamond" w:cs="NeoSansPro-Regular"/>
        </w:rPr>
        <w:t xml:space="preserve"> uhradí pojistitel</w:t>
      </w:r>
      <w:r w:rsidR="0092192A" w:rsidRPr="00940D69">
        <w:rPr>
          <w:rFonts w:ascii="Garamond" w:hAnsi="Garamond" w:cs="NeoSansPro-Regular"/>
        </w:rPr>
        <w:t xml:space="preserve"> přiměřené mimořádné výlohy na</w:t>
      </w:r>
      <w:r w:rsidR="00470766" w:rsidRPr="00940D69">
        <w:rPr>
          <w:rFonts w:ascii="Garamond" w:hAnsi="Garamond" w:cs="NeoSansPro-Regular"/>
        </w:rPr>
        <w:t>:</w:t>
      </w:r>
    </w:p>
    <w:p w:rsidR="00772193" w:rsidRPr="00940D69" w:rsidRDefault="00772193" w:rsidP="00772193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</w:p>
    <w:p w:rsidR="0092192A" w:rsidRPr="00940D69" w:rsidRDefault="00772193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převoz ambulancí v tísňové situaci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převoz do nejbližšího vhodného místa léčby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podle pokynů ošetřujícího lékaře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přeložení do jiného vhodného místa léčby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schválené ošetřujícím lékařem jako lékařsky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přijatelné, účelné či nezbytné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přeložení do nemocnice ve vlasti schválené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ošetřujícím lékařem jako lékařsky přijatelné,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účelné či nezbytné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470766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pověřený lékařský doprovod, jeho ubytování,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stravování, přepravu a honoráře, dojde-li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k přeložení podle rozhodnutí ošetřujícího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lékaře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f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přepravu po skončení léčby za účelem dodržení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stanoveného průběhu cesty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g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přepravu po skončení léčby zpět do vlasti,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byl-li plánovaný průběh cesty časově narušen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v cestě není možné pokračovat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h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ubytování a stravování v hotelu, schválené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asistenční službou, nelze-li přepravu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zajistit bezprostředně po skončení léčby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470766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92192A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</w:t>
      </w:r>
      <w:r w:rsidR="0092192A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ýluky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z výše uvedeného pojištění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92192A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Pojistitel není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povin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en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poskytnout pojistné plnění,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vzniknou-li výlohy v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důsledku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92192A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převozu, přeložení či přepravy s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použitím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letecké ambulance, nejde-li o tísňovou situaci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2192A" w:rsidRPr="00940D69" w:rsidRDefault="00772193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přeložení vyvolaného obavou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pojištěného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z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infekce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470766" w:rsidRPr="00940D69" w:rsidRDefault="00772193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přeložení či přepravy do země trvalého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pobytu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pojištěného </w:t>
      </w:r>
      <w:r w:rsidR="0092192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 výjimkou vlasti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2E4450" w:rsidRPr="00940D69" w:rsidRDefault="002E4450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II.C: P</w:t>
      </w:r>
      <w:r w:rsidR="003D01B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řevoz tělesných ostatků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470766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Dojde-li během zahraniční cesty k úmrtí pojištěného následkem onemocnění nebo úrazu, zabezpečí a uhradí pojistitel výlohy na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5B6015" w:rsidP="008B0B5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převoz tělesných ostatků do pohřebního ústavu nebo nemocnice ve vlasti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pojištěného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 tj. výlohy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na dočasnou rakev, balzamování a přepravu</w:t>
      </w:r>
      <w:r w:rsidR="008B0B55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ostatků v souladu s příslušnými právními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předpisy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470766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II.D: </w:t>
      </w:r>
      <w:r w:rsidR="00470766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O</w:t>
      </w:r>
      <w:r w:rsidR="003D01B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patrovník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470766" w:rsidRPr="00940D69" w:rsidRDefault="00CE1A6F" w:rsidP="00660367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Bude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-li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pojištěný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během zahraniční cesty z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rozhodnutí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ošetřujícího lékaře upoután na lůžko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či hospitalizován pro vážné onemocnění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či úraz, uhradí pojistitel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přiměřené mimořádné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výlohy na přepravu, ubytování, stravování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cestovní pojištění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osoby podle výběru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pojištěného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 která s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 ním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zůstane během léčení, příp. při přeložení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jako doprovázející opatrovník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osoby, která v případě úmrtí pojištěné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osoby následkem onemocnění či úrazu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zůstane s tělesnými ostatky a doprovodí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je do vlasti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470766" w:rsidP="00660367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660367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Bude-li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pojištěný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během zahraniční ce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sty hospitalizován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 vážné onemocnění nebo úraz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ošetřující lékař potvrdí, že hospitalizace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místě potrvá nejméně 5 dnů ode dne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přijetí do nemocnice, a nebud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-li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 pojištěným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na cestě spolucestující starší 18 let, který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může být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doprovázejícím opatrovníkem,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uhradí pojistitel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přiměřené výlohy na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přepravu, ubytování, stravování a cestovní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pojištění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osoby podle výběru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pojištěného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 která za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ním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přicestuje z vlasti,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zůstane s ním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během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léčení a doprovodí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 přeložení či přepravě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zpět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 vlasti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osoby, která v případě úmrtí pojištěného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následkem onemocnění či úrazu přicestuje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 vlasti a doprovodí tělesné ostatky do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vlasti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470766" w:rsidP="00DA4961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3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Výlohy na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ubytování a stravování uhradí pojistitel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rámci celkového pojistného plnění nejvýše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 poloviny limitu pojistného plnění.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4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Opatrovníkem může být vždy jen jedna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osoba.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470766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</w:t>
      </w:r>
      <w:r w:rsidR="00470766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ýluky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z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 výše uveden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ého pojištění: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</w:p>
    <w:p w:rsidR="00470766" w:rsidRPr="00940D69" w:rsidRDefault="000E5D84" w:rsidP="000E5D84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  <w:r w:rsidRPr="00940D69">
        <w:rPr>
          <w:rFonts w:ascii="Garamond" w:hAnsi="Garamond" w:cs="NeoSansPro-Regular"/>
          <w:sz w:val="22"/>
          <w:szCs w:val="22"/>
        </w:rPr>
        <w:t xml:space="preserve">1) </w:t>
      </w:r>
      <w:r w:rsidR="00CE1A6F" w:rsidRPr="00940D69">
        <w:rPr>
          <w:rFonts w:ascii="Garamond" w:hAnsi="Garamond" w:cs="NeoSansPro-Regular"/>
          <w:sz w:val="22"/>
          <w:szCs w:val="22"/>
        </w:rPr>
        <w:t xml:space="preserve">Pojistitel není </w:t>
      </w:r>
      <w:r w:rsidR="00470766" w:rsidRPr="00940D69">
        <w:rPr>
          <w:rFonts w:ascii="Garamond" w:hAnsi="Garamond" w:cs="NeoSansPro-Regular"/>
          <w:sz w:val="22"/>
          <w:szCs w:val="22"/>
        </w:rPr>
        <w:t>povin</w:t>
      </w:r>
      <w:r w:rsidR="00CE1A6F" w:rsidRPr="00940D69">
        <w:rPr>
          <w:rFonts w:ascii="Garamond" w:hAnsi="Garamond" w:cs="NeoSansPro-Regular"/>
          <w:sz w:val="22"/>
          <w:szCs w:val="22"/>
        </w:rPr>
        <w:t>e</w:t>
      </w:r>
      <w:r w:rsidR="00470766" w:rsidRPr="00940D69">
        <w:rPr>
          <w:rFonts w:ascii="Garamond" w:hAnsi="Garamond" w:cs="NeoSansPro-Regular"/>
          <w:sz w:val="22"/>
          <w:szCs w:val="22"/>
        </w:rPr>
        <w:t>n poskytnout pojistné plnění,</w:t>
      </w:r>
      <w:r w:rsidR="00CE1A6F" w:rsidRPr="00940D69">
        <w:rPr>
          <w:rFonts w:ascii="Garamond" w:hAnsi="Garamond" w:cs="NeoSansPro-Regular"/>
          <w:sz w:val="22"/>
          <w:szCs w:val="22"/>
        </w:rPr>
        <w:t xml:space="preserve"> </w:t>
      </w:r>
      <w:r w:rsidR="00470766" w:rsidRPr="00940D69">
        <w:rPr>
          <w:rFonts w:ascii="Garamond" w:hAnsi="Garamond" w:cs="NeoSansPro-Regular"/>
          <w:sz w:val="22"/>
          <w:szCs w:val="22"/>
        </w:rPr>
        <w:t>vzniknou-li výlohy na</w:t>
      </w:r>
      <w:r w:rsidR="00CE1A6F" w:rsidRPr="00940D69">
        <w:rPr>
          <w:rFonts w:ascii="Garamond" w:hAnsi="Garamond" w:cs="NeoSansPro-Regular"/>
          <w:sz w:val="22"/>
          <w:szCs w:val="22"/>
        </w:rPr>
        <w:t>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zpáteční cestu doprovázejícího opatrovníka,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nenastoupí-li ji do 2 dnů po ukončení úlohy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doprovázejícího opatrovníka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470766" w:rsidRPr="00940D69" w:rsidRDefault="00772193" w:rsidP="00DA4961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ubytování a stravování doprovázejícího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opatrovníka, jakmile přicestuje do místa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léčení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ě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ného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přivolaný opatrovník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70766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2)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Opatrovník není oprávněn bez předchozího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schválení asistenční službou činit jakékoliv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úkony a rozhodnutí související s hospitalizací,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převozem, repatriací pojištěného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apod. Učiní-li tak, je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oprávněn odmítnout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uhrazení nákladů takto vzniklých,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nebo úhradu těchto nákladů požadovat po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470766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opatrovníkovi.</w:t>
      </w:r>
    </w:p>
    <w:p w:rsidR="00470766" w:rsidRDefault="00470766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4D34D5" w:rsidRPr="00940D69" w:rsidRDefault="004D34D5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3D01B4" w:rsidRPr="004D34D5" w:rsidRDefault="003D01B4" w:rsidP="003D01B4">
      <w:pPr>
        <w:autoSpaceDE w:val="0"/>
        <w:autoSpaceDN w:val="0"/>
        <w:adjustRightInd w:val="0"/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</w:pPr>
      <w:r w:rsidRPr="004D34D5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 xml:space="preserve">III. POJIŠTĚNÍ CESTOVNÍCH DOKLADŮ </w:t>
      </w:r>
      <w:r w:rsidRPr="004D34D5"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  <w:t>(škodové)</w:t>
      </w:r>
    </w:p>
    <w:p w:rsidR="003D01B4" w:rsidRPr="00940D69" w:rsidRDefault="003D01B4" w:rsidP="003D01B4">
      <w:pPr>
        <w:autoSpaceDE w:val="0"/>
        <w:autoSpaceDN w:val="0"/>
        <w:adjustRightInd w:val="0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3D01B4" w:rsidRPr="00940D69" w:rsidRDefault="003D01B4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Pojistitel uhradí škodu, pokud dojde ke škodě na cestovním pasu či jiném cestovním dokladu v případě:</w:t>
      </w:r>
    </w:p>
    <w:p w:rsidR="004D34D5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a.</w:t>
      </w:r>
      <w:r w:rsidR="004D34D5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živelní události,</w:t>
      </w:r>
    </w:p>
    <w:p w:rsidR="004D34D5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b. krádeže, při které pachatel prokazatelně překonal překážky chránící osobní věci před odcizením, a to pouze v případě, došlo-li ke krádeži v ubytovacím zařízení nebo z uzamčeného zavazadlového prostoru v řádně zajištěném vozidle a za předpokladu, že osobní věci nebyly zvnějšku viditelné,</w:t>
      </w:r>
    </w:p>
    <w:p w:rsidR="003D01B4" w:rsidRPr="00940D69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c. dopravní nehody,</w:t>
      </w:r>
    </w:p>
    <w:p w:rsidR="004D34D5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d. loupeže,</w:t>
      </w:r>
    </w:p>
    <w:p w:rsidR="003D01B4" w:rsidRPr="00940D69" w:rsidRDefault="004D34D5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e. 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době, kdy byly cestovní doklady společně s osobními věcmi předány dopravci k přepravě proti potvrzení nebo uloženy podle pokynů dopravce v prostoru určeném pro společnou přepravu zavazadel,</w:t>
      </w:r>
    </w:p>
    <w:p w:rsidR="003D01B4" w:rsidRPr="00940D69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f. v době, kdy byly předány společně s osobními věcmi proti potvrzení do úschovy.</w:t>
      </w:r>
    </w:p>
    <w:p w:rsidR="003D01B4" w:rsidRPr="00940D69" w:rsidRDefault="003D01B4" w:rsidP="004D34D5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3D01B4" w:rsidRPr="00940D69" w:rsidRDefault="003D01B4" w:rsidP="00B94CDA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2) V případě vzniku škody na cestovních dokladech za výše uvedených podmínek, pojistitel uhradí přiměřené mimořádné výlohy za:</w:t>
      </w:r>
    </w:p>
    <w:p w:rsidR="003D01B4" w:rsidRPr="00940D69" w:rsidRDefault="003D01B4" w:rsidP="00B94CDA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a. dopravu do místa, kde pojištěný obdrží náhradní cestovní doklad potřebný k návratu do vlasti (dále jen „náhradní cestovní doklad”)</w:t>
      </w:r>
    </w:p>
    <w:p w:rsidR="003D01B4" w:rsidRPr="00940D69" w:rsidRDefault="003D01B4" w:rsidP="00B94CDA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b. nezbytné ubytování související s cestou do místa, kde pojištěný obdrží náhradní cestovní doklad</w:t>
      </w:r>
    </w:p>
    <w:p w:rsidR="003D01B4" w:rsidRPr="00940D69" w:rsidRDefault="003D01B4" w:rsidP="00B94CDA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c. poplatky za vystavení náhradního cestovního dokladu</w:t>
      </w:r>
    </w:p>
    <w:p w:rsidR="003D01B4" w:rsidRPr="00940D69" w:rsidRDefault="003D01B4" w:rsidP="00B94CDA">
      <w:pPr>
        <w:autoSpaceDE w:val="0"/>
        <w:autoSpaceDN w:val="0"/>
        <w:adjustRightInd w:val="0"/>
        <w:ind w:left="993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d. znovuvystavení jízdenky, nouzové zaslání náhradních cestovních šeků a platebních karet, dojde-li ke škodě na nich za výše uvedených podmínek.</w:t>
      </w:r>
    </w:p>
    <w:p w:rsidR="003D01B4" w:rsidRPr="00940D69" w:rsidRDefault="003D01B4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3D01B4" w:rsidRPr="00940D69" w:rsidRDefault="003D01B4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Cs/>
          <w:sz w:val="22"/>
          <w:szCs w:val="22"/>
          <w:lang w:eastAsia="en-US"/>
        </w:rPr>
        <w:t xml:space="preserve">3) Při škodní události je pojištěný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povinen informovat asistenční službu, předložit policejní protokol, účty za ubytování a letenky, jízdenky či jiné doklady na použitý dopravní prostředek.</w:t>
      </w:r>
    </w:p>
    <w:p w:rsidR="003D01B4" w:rsidRPr="00940D69" w:rsidRDefault="003D01B4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Cs/>
          <w:sz w:val="22"/>
          <w:szCs w:val="22"/>
          <w:lang w:eastAsia="en-US"/>
        </w:rPr>
      </w:pPr>
    </w:p>
    <w:p w:rsidR="003D01B4" w:rsidRPr="00940D69" w:rsidRDefault="008A2843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Výluka z výše uvedeného pojištění:</w:t>
      </w:r>
    </w:p>
    <w:p w:rsidR="008A2843" w:rsidRPr="00940D69" w:rsidRDefault="008A2843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3D01B4" w:rsidRDefault="008A2843" w:rsidP="002066D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Pojistitel není 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povin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 poskytnout pojistné plnění,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došlo-li ke škodě na cestovních dokladech,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jízdenkách, šecích či platebních kartách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3D01B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době, kdy nebyly řádně zabezpečeny.</w:t>
      </w:r>
    </w:p>
    <w:p w:rsidR="002066D3" w:rsidRPr="00940D69" w:rsidRDefault="002066D3" w:rsidP="002066D3">
      <w:pPr>
        <w:autoSpaceDE w:val="0"/>
        <w:autoSpaceDN w:val="0"/>
        <w:adjustRightInd w:val="0"/>
        <w:ind w:left="72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8A2843" w:rsidRPr="00940D69" w:rsidRDefault="008A2843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2066D3" w:rsidRDefault="00714F10" w:rsidP="003D01B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</w:pPr>
      <w:r w:rsidRPr="002066D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>I</w:t>
      </w:r>
      <w:r w:rsidR="008A2843" w:rsidRPr="002066D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>V</w:t>
      </w:r>
      <w:r w:rsidRPr="002066D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>.</w:t>
      </w:r>
      <w:r w:rsidR="00CE1A6F" w:rsidRPr="002066D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 xml:space="preserve"> OSOBNÍ VĚCI </w:t>
      </w:r>
      <w:r w:rsidR="00CE1A6F" w:rsidRPr="002066D3"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  <w:t>(škodové)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0E5D8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 xml:space="preserve"> </w:t>
      </w:r>
      <w:r w:rsidR="00714F10" w:rsidRPr="00940D69">
        <w:rPr>
          <w:rFonts w:ascii="Garamond" w:hAnsi="Garamond" w:cs="NeoSansPro-Regular"/>
        </w:rPr>
        <w:t>Pojistitel uhradí pojištěnému</w:t>
      </w:r>
      <w:r w:rsidRPr="00940D69">
        <w:rPr>
          <w:rFonts w:ascii="Garamond" w:hAnsi="Garamond" w:cs="NeoSansPro-Regular"/>
        </w:rPr>
        <w:t xml:space="preserve"> škodu na osobních věcech,</w:t>
      </w:r>
      <w:r w:rsidR="00714F10" w:rsidRPr="00940D69">
        <w:rPr>
          <w:rFonts w:ascii="Garamond" w:hAnsi="Garamond" w:cs="NeoSansPro-Regular"/>
        </w:rPr>
        <w:t xml:space="preserve"> </w:t>
      </w:r>
      <w:r w:rsidRPr="00940D69">
        <w:rPr>
          <w:rFonts w:ascii="Garamond" w:hAnsi="Garamond" w:cs="NeoSansPro-Regular"/>
        </w:rPr>
        <w:t>byla-li škoda způsobena</w:t>
      </w:r>
      <w:r w:rsidR="00714F10" w:rsidRPr="00940D69">
        <w:rPr>
          <w:rFonts w:ascii="Garamond" w:hAnsi="Garamond" w:cs="NeoSansPro-Regular"/>
        </w:rPr>
        <w:t>: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. </w:t>
      </w:r>
      <w:r w:rsidR="002066D3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živelní událostí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krádeží, při které pachatel prokazatelně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překonal překážky chránící osobní věci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před odcizením, a to pouze v případě, došlo-li ke krádeži v ubytovacím zařízení nebo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 uzamčeného zavazadlového prostoru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řádně zajištěném vozidle a za předpokladu,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že osobní věci nebyly zvnějšku viditelné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dopravní nehodou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loupeží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 době, kdy byly osobní věci předány dopravci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k přepravě proti p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otvrzení nebo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uloženy podle pokynů dopravce v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prostoru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určeném pro společnou přepravu zavazadel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1135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f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 době, kdy byly předány proti potvrzení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 úschovy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714F10" w:rsidRPr="00940D69" w:rsidRDefault="00714F10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 krádeži osobních věcí z vozidla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pojistitel uhradí pojištěnému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nejvýše 50 % z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 sjednaného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limitu pojistného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plnění.</w:t>
      </w:r>
    </w:p>
    <w:p w:rsidR="00714F10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3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Jednotlivou věc nahradí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až do výše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50 % z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 sjednaného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limitu pojistného plnění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případě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krádeže z vozidla až do výše 25 % z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 sjednaného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limitu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pojistného plnění.</w:t>
      </w:r>
    </w:p>
    <w:p w:rsidR="00714F10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4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Exponované filmy, nahrávky, rukopisy,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kresby apod. nahradí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do výše ceny surovin.</w:t>
      </w:r>
    </w:p>
    <w:p w:rsidR="00714F10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5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Byly-li osobní věci poškozeny, uhradí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přiměřené výlohy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pojištěného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na jejich opravu, a to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až do výše odpovídající ceně, kterou měly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bezprostředně před pojistnou událostí.</w:t>
      </w:r>
    </w:p>
    <w:p w:rsidR="00714F10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6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Byly-li osobní věci zničeny nebo odcizeny,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vyplatí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 pojištěnému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částku ve výši ceny, kterou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měly bezprostředně před pojistnou událostí.</w:t>
      </w:r>
    </w:p>
    <w:p w:rsidR="00714F10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714F10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7)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Cenu, kterou měly osobní věci bezprostředně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před pojistnou událostí,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určí pojistitel nebo osoba pojistitelem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pověřená tak, že cenu nové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věci stejného nebo obdobného druhu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srovnatelných vlastností, která platila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době pojistné události, sníží o opotřebení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či jiné znehodnocení osobních věcí, které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vzniklo před pojistnou událostí. Nelze-li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cenu takto určit, určí ji pojistitel nebo osoba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jím pověřená odhadem.</w:t>
      </w:r>
    </w:p>
    <w:p w:rsidR="00981F1A" w:rsidRPr="00940D69" w:rsidRDefault="00981F1A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Default="00981F1A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8)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Výplatou pojistného plnění přechází vlastnictví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věci poškozené, zničené či nalezené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na pojistitele.</w:t>
      </w:r>
    </w:p>
    <w:p w:rsidR="002066D3" w:rsidRDefault="002066D3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2066D3" w:rsidRPr="00940D69" w:rsidRDefault="002066D3" w:rsidP="002066D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981F1A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</w:t>
      </w:r>
      <w:r w:rsidR="00CE1A6F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ýluky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z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 výše uvedené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ho pojištění: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Pojištění se nevztahuje na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CE1A6F" w:rsidRPr="00940D69" w:rsidRDefault="00772193" w:rsidP="002066D3">
      <w:pPr>
        <w:autoSpaceDE w:val="0"/>
        <w:autoSpaceDN w:val="0"/>
        <w:adjustRightInd w:val="0"/>
        <w:ind w:left="993" w:hanging="426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osobní věci odcizené z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automatické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úschovní skříňky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993" w:hanging="426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vozidla, plavidla, jízdní kola a jiné dopravní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prostředky nebo jejich příslušenství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772193" w:rsidP="002066D3">
      <w:pPr>
        <w:autoSpaceDE w:val="0"/>
        <w:autoSpaceDN w:val="0"/>
        <w:adjustRightInd w:val="0"/>
        <w:ind w:left="993" w:hanging="426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sportovní vybavení určené k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provozování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sportů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81F1A" w:rsidRPr="00940D69" w:rsidRDefault="00772193" w:rsidP="002066D3">
      <w:pPr>
        <w:autoSpaceDE w:val="0"/>
        <w:autoSpaceDN w:val="0"/>
        <w:adjustRightInd w:val="0"/>
        <w:ind w:left="993" w:hanging="426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obchodní zboží, vzorky nebo sbírky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851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cestovní šeky, známky, cenné papíry, platební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karty nebo škody utrpěné v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souvislosti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se zneužitím uvedených cenin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851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f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jakékoliv poškození osobních věcí (poškrábání,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proděravění, potrhání, znečištění)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851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g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škody přímo či nepřímo způsobené stávkou,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zablokováním, vězněním, konfiskací nebo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zadržením pojištěného či jeho osobních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věcí celními nebo jinými orgány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851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h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osobní věci odcizené ze stanu, přívěsu či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střešního nosiče vozidla, které mají některou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ze stěn z nepevného materiálu (např.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 plachtoviny), a z těch, které nejsou opatřeny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zámkem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851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i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elektronické a optické přístroje, dioptrické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sluneční brýle umístěné v zavazadle odevzdaném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dopravci k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přepravě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8A2843" w:rsidP="002066D3">
      <w:pPr>
        <w:autoSpaceDE w:val="0"/>
        <w:autoSpaceDN w:val="0"/>
        <w:adjustRightInd w:val="0"/>
        <w:ind w:left="993" w:hanging="426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na náhradu ceny zvláštní obliby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981F1A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CE1A6F" w:rsidRPr="00940D69" w:rsidRDefault="00CE1A6F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Při </w:t>
      </w:r>
      <w:r w:rsidR="00981F1A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každé 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škodní události</w:t>
      </w:r>
      <w:r w:rsidR="00981F1A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je pojištěný povinen</w:t>
      </w:r>
      <w:r w:rsidR="000E5D84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:</w:t>
      </w:r>
    </w:p>
    <w:p w:rsidR="000E5D84" w:rsidRPr="00940D69" w:rsidRDefault="000E5D84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CE1A6F" w:rsidRPr="00940D69" w:rsidRDefault="00CE1A6F" w:rsidP="0027139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ředložit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pojistiteli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policejní protokol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 který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musí obsahovat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seznam odcizených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osobních věcí, přibližnou dobu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odcizení, kde byly odcizené věci uloženy</w:t>
      </w:r>
      <w:r w:rsidR="000E5D84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D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ošlo-li k odcizení věcí z vozidla, zda bylo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vozidlo řádně zabezpečeno, jaké části vozidla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byly poškozeny při násilném vniknutí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Dále pak v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ěrohodný doklad o živelní události či potvrzení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dopravce (protokol PIR a zavazadlový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lístek apod.) nebo úschovny.</w:t>
      </w:r>
    </w:p>
    <w:p w:rsidR="00981F1A" w:rsidRPr="00940D69" w:rsidRDefault="00981F1A" w:rsidP="0027139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7139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Při odciz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ení osobních věcí z vozidla je pojištěný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povin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 předložit doklad opravny o opravě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části vozidla, která byla podle policejního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protokolu poškozena při násilném vniknutí.</w:t>
      </w:r>
    </w:p>
    <w:p w:rsidR="00981F1A" w:rsidRPr="00940D69" w:rsidRDefault="00981F1A" w:rsidP="0027139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CE1A6F" w:rsidP="00271393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3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Dojde-li ke škodě na osobních věcech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 ubytovacím zařízení, je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pojištěný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povin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 okamžitě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požádat provozovatele zařízení písemně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 náhradu škody a převzetí žádosti si nechat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potvrdit.</w:t>
      </w:r>
    </w:p>
    <w:p w:rsidR="00981F1A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271393" w:rsidRPr="00940D69" w:rsidRDefault="00271393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CE1A6F" w:rsidRPr="00271393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</w:pPr>
      <w:r w:rsidRPr="0027139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>V.</w:t>
      </w:r>
      <w:r w:rsidR="00CE1A6F" w:rsidRPr="0027139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 xml:space="preserve"> ODPOVĚDNOST </w:t>
      </w:r>
      <w:r w:rsidRPr="0027139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>ZA ŠKODU</w:t>
      </w:r>
      <w:r w:rsidR="00CE1A6F" w:rsidRPr="00271393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 xml:space="preserve"> </w:t>
      </w:r>
      <w:r w:rsidR="00CE1A6F" w:rsidRPr="00271393"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  <w:t>(škodové)</w:t>
      </w:r>
    </w:p>
    <w:p w:rsidR="00772193" w:rsidRPr="00940D69" w:rsidRDefault="00772193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981F1A" w:rsidP="000E5D8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NeoSansPro-Regular"/>
        </w:rPr>
      </w:pPr>
      <w:r w:rsidRPr="00940D69">
        <w:rPr>
          <w:rFonts w:ascii="Garamond" w:hAnsi="Garamond" w:cs="NeoSansPro-Regular"/>
        </w:rPr>
        <w:t>Pojistitel uhradí</w:t>
      </w:r>
      <w:r w:rsidR="00CE1A6F" w:rsidRPr="00940D69">
        <w:rPr>
          <w:rFonts w:ascii="Garamond" w:hAnsi="Garamond" w:cs="NeoSansPro-Regular"/>
        </w:rPr>
        <w:t xml:space="preserve"> za </w:t>
      </w:r>
      <w:r w:rsidRPr="00940D69">
        <w:rPr>
          <w:rFonts w:ascii="Garamond" w:hAnsi="Garamond" w:cs="NeoSansPro-Regular"/>
        </w:rPr>
        <w:t xml:space="preserve">pojištěného </w:t>
      </w:r>
      <w:r w:rsidR="00CE1A6F" w:rsidRPr="00940D69">
        <w:rPr>
          <w:rFonts w:ascii="Garamond" w:hAnsi="Garamond" w:cs="NeoSansPro-Regular"/>
        </w:rPr>
        <w:t>škodu, kterou během</w:t>
      </w:r>
      <w:r w:rsidRPr="00940D69">
        <w:rPr>
          <w:rFonts w:ascii="Garamond" w:hAnsi="Garamond" w:cs="NeoSansPro-Regular"/>
        </w:rPr>
        <w:t xml:space="preserve"> zahraniční cesty způsobil </w:t>
      </w:r>
      <w:r w:rsidR="00CE1A6F" w:rsidRPr="00940D69">
        <w:rPr>
          <w:rFonts w:ascii="Garamond" w:hAnsi="Garamond" w:cs="NeoSansPro-Regular"/>
        </w:rPr>
        <w:t>třetí osobě na</w:t>
      </w:r>
      <w:r w:rsidRPr="00940D69">
        <w:rPr>
          <w:rFonts w:ascii="Garamond" w:hAnsi="Garamond" w:cs="NeoSansPro-Regular"/>
        </w:rPr>
        <w:t xml:space="preserve"> </w:t>
      </w:r>
      <w:r w:rsidR="00CE1A6F" w:rsidRPr="00940D69">
        <w:rPr>
          <w:rFonts w:ascii="Garamond" w:hAnsi="Garamond" w:cs="NeoSansPro-Regular"/>
        </w:rPr>
        <w:t>zdraví a majetku a za kterou podle právních</w:t>
      </w:r>
      <w:r w:rsidRPr="00940D69">
        <w:rPr>
          <w:rFonts w:ascii="Garamond" w:hAnsi="Garamond" w:cs="NeoSansPro-Regular"/>
        </w:rPr>
        <w:t xml:space="preserve"> </w:t>
      </w:r>
      <w:r w:rsidR="00CE1A6F" w:rsidRPr="00940D69">
        <w:rPr>
          <w:rFonts w:ascii="Garamond" w:hAnsi="Garamond" w:cs="NeoSansPro-Regular"/>
        </w:rPr>
        <w:t>předpisů příslušné země odpovídá.</w:t>
      </w:r>
    </w:p>
    <w:p w:rsidR="00772193" w:rsidRPr="00940D69" w:rsidRDefault="00772193" w:rsidP="00772193">
      <w:pPr>
        <w:autoSpaceDE w:val="0"/>
        <w:autoSpaceDN w:val="0"/>
        <w:adjustRightInd w:val="0"/>
        <w:jc w:val="both"/>
        <w:rPr>
          <w:rFonts w:ascii="Garamond" w:hAnsi="Garamond" w:cs="NeoSansPro-Regular"/>
          <w:sz w:val="22"/>
          <w:szCs w:val="22"/>
        </w:rPr>
      </w:pPr>
    </w:p>
    <w:p w:rsidR="00CE1A6F" w:rsidRPr="00940D69" w:rsidRDefault="00CE1A6F" w:rsidP="006F1850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6F1850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Rozhoduje-li o náhradě škody soud nebo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jiný oprávněný orgán, poskytne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pojistitel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pojistné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plnění podle jeho rozhodnutí teprve poté,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co nabude právní moci.</w:t>
      </w:r>
    </w:p>
    <w:p w:rsidR="00981F1A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CE1A6F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</w:t>
      </w:r>
      <w:r w:rsidR="00CE1A6F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ýluky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</w:t>
      </w:r>
      <w:r w:rsidR="00772193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z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 výše uvedené</w:t>
      </w:r>
      <w:r w:rsidR="00772193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ho</w:t>
      </w: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 xml:space="preserve"> pojištění</w:t>
      </w:r>
      <w:r w:rsidR="00772193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:</w:t>
      </w:r>
    </w:p>
    <w:p w:rsidR="00772193" w:rsidRPr="00940D69" w:rsidRDefault="00772193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CE1A6F" w:rsidRPr="00940D69" w:rsidRDefault="00981F1A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1)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Pojištění se nevztahuje na odpovědnost za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škodu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CE1A6F" w:rsidRPr="00940D69" w:rsidRDefault="00EF6BCE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způsobenou v souvislosti s výkonem jakéhokoliv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výdělečné činnosti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EF6BCE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. způsobenou na věcech svěřených 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pojištěnému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do úschovy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CE1A6F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způsobenou v souvislosti s používáním vozidel,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CE1A6F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lodí nebo letadel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981F1A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způsobenou informací nebo radou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vzniklou v souvislosti s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vlastnictvím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zvířete či opatrováním zvířete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f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způsobenou v souvislosti s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provozováním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lovu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g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vzniklou v souvislosti s přenosem onemocnění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na jinou osobu (infekce apod.)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h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uznanou nad rámec stanovený právními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předpisy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i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která nespočívá ve škodě na zdraví či ve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škodě na majetku (např. finanční škoda)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Default="00EF6BCE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j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za niž odpovídá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pojištěný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spolucestujícímu nebo</w:t>
      </w:r>
      <w:r w:rsidR="00981F1A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nejbližšímu příbuznému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B400DF" w:rsidRDefault="00B400DF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B400DF" w:rsidRPr="00940D69" w:rsidRDefault="00B400DF" w:rsidP="000E5D84">
      <w:pPr>
        <w:autoSpaceDE w:val="0"/>
        <w:autoSpaceDN w:val="0"/>
        <w:adjustRightInd w:val="0"/>
        <w:ind w:left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714F10" w:rsidRPr="00940D69" w:rsidRDefault="00DC10D0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2)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Pojištění se dále nevztahuje na náhradu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nemajetkové újmy spočívající zejména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náhradě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: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duševních útrap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b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osobního neštěstí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c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ceny zvláštní obliby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,</w:t>
      </w:r>
    </w:p>
    <w:p w:rsidR="00714F10" w:rsidRPr="00940D69" w:rsidRDefault="00EF6BCE" w:rsidP="000E5D84">
      <w:pPr>
        <w:autoSpaceDE w:val="0"/>
        <w:autoSpaceDN w:val="0"/>
        <w:adjustRightInd w:val="0"/>
        <w:ind w:firstLine="708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d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 bezplatných prací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DC10D0" w:rsidRPr="00940D69" w:rsidRDefault="00DC10D0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DC10D0" w:rsidRPr="00940D69" w:rsidRDefault="00DC10D0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Při každé škodní události je pojištěný povinen</w:t>
      </w:r>
      <w:r w:rsidR="00EF6BCE"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:</w:t>
      </w:r>
    </w:p>
    <w:p w:rsidR="00EF6BCE" w:rsidRPr="00940D69" w:rsidRDefault="00EF6BCE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714F10" w:rsidRPr="00940D69" w:rsidRDefault="00DC10D0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Při vzniku škodní události j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pojištěný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povin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 okamžitě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informovat asistenční službu, jinak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může být pojistné plnění odmítnuto. 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Pojištěný je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povin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e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sdělit okolnosti případu, uvést jména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adresy poškozených a případných svědků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 předložit jejich písemná prohlášení.</w:t>
      </w:r>
    </w:p>
    <w:p w:rsidR="00DC10D0" w:rsidRPr="00940D69" w:rsidRDefault="00DC10D0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714F10" w:rsidRPr="00940D69" w:rsidRDefault="00DC10D0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2) Pojištěný není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oprávněn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jednat jménem pojistitele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ani k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 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částečnému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vypořádání nebo uznání jakéhokoliv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nároku třetí osoby (poškozeného).</w:t>
      </w:r>
    </w:p>
    <w:p w:rsidR="00DC10D0" w:rsidRPr="00940D69" w:rsidRDefault="00DC10D0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714F10" w:rsidRPr="00940D69" w:rsidRDefault="00DC10D0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3) Pojištěný není oprávněn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podepisovat žádný dokument,</w:t>
      </w: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 xml:space="preserve"> jehož obsahu dokonale nerozumí</w:t>
      </w:r>
      <w:r w:rsidR="00714F10"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.</w:t>
      </w:r>
    </w:p>
    <w:p w:rsidR="008A2843" w:rsidRDefault="008A2843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BF0EE5" w:rsidRPr="00940D69" w:rsidRDefault="00BF0EE5" w:rsidP="000E5D84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8A2843" w:rsidRPr="00B400DF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</w:pPr>
      <w:r w:rsidRPr="00B400DF">
        <w:rPr>
          <w:rFonts w:ascii="Garamond" w:eastAsiaTheme="minorHAnsi" w:hAnsi="Garamond" w:cs="NeoSansPro-Bold"/>
          <w:b/>
          <w:bCs/>
          <w:sz w:val="22"/>
          <w:szCs w:val="22"/>
          <w:u w:val="single"/>
          <w:lang w:eastAsia="en-US"/>
        </w:rPr>
        <w:t xml:space="preserve">V. PRÁVNÍ ZASTOUPENÍ </w:t>
      </w:r>
      <w:r w:rsidRPr="00B400DF">
        <w:rPr>
          <w:rFonts w:ascii="Garamond" w:eastAsiaTheme="minorHAnsi" w:hAnsi="Garamond" w:cs="NeoSansPro-Regular"/>
          <w:sz w:val="22"/>
          <w:szCs w:val="22"/>
          <w:u w:val="single"/>
          <w:lang w:eastAsia="en-US"/>
        </w:rPr>
        <w:t>(škodové)</w:t>
      </w: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8A2843" w:rsidRPr="00940D69" w:rsidRDefault="008A2843" w:rsidP="00B400DF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Pojistitel uhradí za pojištěného náklady na právní zastoupení spojené s řízením o náhradě škody, která byla během zahraniční cesty způsobena třetí osobě, pokud byly předem schváleny asistenční službou či pojistitelem.</w:t>
      </w: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Při každé škodní události je pojištěný povinen:</w:t>
      </w:r>
    </w:p>
    <w:p w:rsidR="008A2843" w:rsidRPr="00940D69" w:rsidRDefault="008A2843" w:rsidP="00BF0EE5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8A2843" w:rsidRPr="00940D69" w:rsidRDefault="008A2843" w:rsidP="00BF0EE5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Projednat předem s pojistitelem jakékoliv použití právních služeb, řídit se pokyny pojistitele a nechat se zastupovat pojistitelem určeným či schváleným právním zástupcem.</w:t>
      </w:r>
    </w:p>
    <w:p w:rsidR="008A2843" w:rsidRPr="00940D69" w:rsidRDefault="008A2843" w:rsidP="00BF0EE5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</w:p>
    <w:p w:rsidR="008A2843" w:rsidRPr="00940D69" w:rsidRDefault="008A2843" w:rsidP="00BF0EE5">
      <w:pPr>
        <w:autoSpaceDE w:val="0"/>
        <w:autoSpaceDN w:val="0"/>
        <w:adjustRightInd w:val="0"/>
        <w:ind w:left="284" w:hanging="284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2) Náklady na právní zastoupení se podle svého charakteru (odpovědnost za škodu na zdraví či na věci) započítávají do limitu pojistného plnění u pojištění odpovědnosti.</w:t>
      </w: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  <w:t>Výluky z výše uvedeného pojištění:</w:t>
      </w: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Bold"/>
          <w:b/>
          <w:bCs/>
          <w:sz w:val="22"/>
          <w:szCs w:val="22"/>
          <w:lang w:eastAsia="en-US"/>
        </w:rPr>
      </w:pPr>
    </w:p>
    <w:p w:rsidR="008A2843" w:rsidRPr="00940D69" w:rsidRDefault="008A2843" w:rsidP="008A2843">
      <w:pPr>
        <w:autoSpaceDE w:val="0"/>
        <w:autoSpaceDN w:val="0"/>
        <w:adjustRightInd w:val="0"/>
        <w:jc w:val="both"/>
        <w:rPr>
          <w:rFonts w:ascii="Garamond" w:eastAsiaTheme="minorHAnsi" w:hAnsi="Garamond" w:cs="NeoSansPro-Regular"/>
          <w:sz w:val="22"/>
          <w:szCs w:val="22"/>
          <w:lang w:eastAsia="en-US"/>
        </w:rPr>
      </w:pPr>
      <w:r w:rsidRPr="00940D69">
        <w:rPr>
          <w:rFonts w:ascii="Garamond" w:eastAsiaTheme="minorHAnsi" w:hAnsi="Garamond" w:cs="NeoSansPro-Regular"/>
          <w:sz w:val="22"/>
          <w:szCs w:val="22"/>
          <w:lang w:eastAsia="en-US"/>
        </w:rPr>
        <w:t>1) Pojištění se nevztahuje na náklady vzniklé v souvislosti s odpovědností za škodu, na niž se nevztahuje pojištění odpovědnosti.</w:t>
      </w:r>
    </w:p>
    <w:p w:rsidR="008A2843" w:rsidRDefault="008A2843" w:rsidP="000E5D84">
      <w:pPr>
        <w:pStyle w:val="Bezmezer"/>
        <w:rPr>
          <w:rFonts w:ascii="Garamond" w:hAnsi="Garamond"/>
          <w:b/>
        </w:rPr>
      </w:pPr>
    </w:p>
    <w:p w:rsidR="00BF0EE5" w:rsidRPr="00940D69" w:rsidRDefault="00BF0EE5" w:rsidP="000E5D84">
      <w:pPr>
        <w:pStyle w:val="Bezmezer"/>
        <w:rPr>
          <w:rFonts w:ascii="Garamond" w:hAnsi="Garamond"/>
          <w:b/>
        </w:rPr>
      </w:pPr>
    </w:p>
    <w:p w:rsidR="00353C9B" w:rsidRPr="00940D69" w:rsidRDefault="008A2843" w:rsidP="000E5D84">
      <w:pPr>
        <w:pStyle w:val="Bezmezer"/>
        <w:rPr>
          <w:rFonts w:ascii="Garamond" w:hAnsi="Garamond"/>
          <w:b/>
          <w:u w:val="single"/>
        </w:rPr>
      </w:pPr>
      <w:r w:rsidRPr="00940D69">
        <w:rPr>
          <w:rFonts w:ascii="Garamond" w:hAnsi="Garamond"/>
          <w:b/>
          <w:u w:val="single"/>
        </w:rPr>
        <w:t>POŽADOVANÝ ZPŮSOB PROVOZOVÁNÍ POJIŠTĚNÍ:</w:t>
      </w:r>
    </w:p>
    <w:p w:rsidR="00170866" w:rsidRPr="00940D69" w:rsidRDefault="00170866" w:rsidP="00170866">
      <w:pPr>
        <w:pStyle w:val="Bezmezer"/>
        <w:rPr>
          <w:rFonts w:ascii="Garamond" w:hAnsi="Garamond"/>
        </w:rPr>
      </w:pPr>
    </w:p>
    <w:p w:rsidR="00C3427A" w:rsidRPr="00940D69" w:rsidRDefault="00353C9B" w:rsidP="00BF0EE5">
      <w:pPr>
        <w:numPr>
          <w:ilvl w:val="0"/>
          <w:numId w:val="3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Na stránkách pojišťovny bude </w:t>
      </w:r>
      <w:r w:rsidR="00170866" w:rsidRPr="00940D69">
        <w:rPr>
          <w:rFonts w:ascii="Garamond" w:hAnsi="Garamond"/>
          <w:sz w:val="22"/>
          <w:szCs w:val="22"/>
        </w:rPr>
        <w:t xml:space="preserve">pro zadavatele </w:t>
      </w:r>
      <w:r w:rsidRPr="00940D69">
        <w:rPr>
          <w:rFonts w:ascii="Garamond" w:hAnsi="Garamond"/>
          <w:sz w:val="22"/>
          <w:szCs w:val="22"/>
        </w:rPr>
        <w:t>zprovozněn on-line přístup</w:t>
      </w:r>
      <w:r w:rsidR="002E4450" w:rsidRPr="00940D69">
        <w:rPr>
          <w:rFonts w:ascii="Garamond" w:hAnsi="Garamond"/>
          <w:sz w:val="22"/>
          <w:szCs w:val="22"/>
        </w:rPr>
        <w:t xml:space="preserve"> (webové rozhraní)</w:t>
      </w:r>
      <w:r w:rsidRPr="00940D69">
        <w:rPr>
          <w:rFonts w:ascii="Garamond" w:hAnsi="Garamond"/>
          <w:sz w:val="22"/>
          <w:szCs w:val="22"/>
        </w:rPr>
        <w:t xml:space="preserve">. </w:t>
      </w:r>
      <w:r w:rsidR="002E4450" w:rsidRPr="00940D69">
        <w:rPr>
          <w:rFonts w:ascii="Garamond" w:hAnsi="Garamond"/>
          <w:sz w:val="22"/>
          <w:szCs w:val="22"/>
        </w:rPr>
        <w:t xml:space="preserve">Nahlašování musí být možné pro více uživatelů najednou a musí být umožněno doplnit vlastní identifikační údaje k pojištěnému (fakultě), aby bylo možné fakturovat na jednotlivé fakulty. Webové rozhraní musí dále umožnovat tisk potvrzení, úpravu nahlášených cest a vyhledávání pojištěných osob. </w:t>
      </w:r>
      <w:r w:rsidRPr="00940D69">
        <w:rPr>
          <w:rFonts w:ascii="Garamond" w:hAnsi="Garamond"/>
          <w:sz w:val="22"/>
          <w:szCs w:val="22"/>
        </w:rPr>
        <w:t xml:space="preserve">Pod unikátním, předem dohodnutým heslem </w:t>
      </w:r>
      <w:r w:rsidR="00C3427A" w:rsidRPr="00940D69">
        <w:rPr>
          <w:rFonts w:ascii="Garamond" w:hAnsi="Garamond"/>
          <w:sz w:val="22"/>
          <w:szCs w:val="22"/>
        </w:rPr>
        <w:t xml:space="preserve">(hesly) </w:t>
      </w:r>
      <w:r w:rsidRPr="00940D69">
        <w:rPr>
          <w:rFonts w:ascii="Garamond" w:hAnsi="Garamond"/>
          <w:sz w:val="22"/>
          <w:szCs w:val="22"/>
        </w:rPr>
        <w:t xml:space="preserve">se bude do systému přihlašovat samostatně (např. každá fakulta, nebo určený zaměstnanec </w:t>
      </w:r>
      <w:r w:rsidR="00C3427A" w:rsidRPr="00940D69">
        <w:rPr>
          <w:rFonts w:ascii="Garamond" w:hAnsi="Garamond"/>
          <w:sz w:val="22"/>
          <w:szCs w:val="22"/>
        </w:rPr>
        <w:t>zadavatele</w:t>
      </w:r>
      <w:r w:rsidRPr="00940D69">
        <w:rPr>
          <w:rFonts w:ascii="Garamond" w:hAnsi="Garamond"/>
          <w:sz w:val="22"/>
          <w:szCs w:val="22"/>
        </w:rPr>
        <w:t xml:space="preserve">). Ten </w:t>
      </w:r>
      <w:r w:rsidR="00C3427A" w:rsidRPr="00940D69">
        <w:rPr>
          <w:rFonts w:ascii="Garamond" w:hAnsi="Garamond"/>
          <w:sz w:val="22"/>
          <w:szCs w:val="22"/>
        </w:rPr>
        <w:t xml:space="preserve">vyplněním požadovaných údajů, tj. </w:t>
      </w:r>
      <w:r w:rsidRPr="00940D69">
        <w:rPr>
          <w:rFonts w:ascii="Garamond" w:hAnsi="Garamond"/>
          <w:sz w:val="22"/>
          <w:szCs w:val="22"/>
        </w:rPr>
        <w:t xml:space="preserve">přihlášením jednotlivých pracovníků </w:t>
      </w:r>
      <w:r w:rsidR="00C3427A" w:rsidRPr="00940D69">
        <w:rPr>
          <w:rFonts w:ascii="Garamond" w:hAnsi="Garamond"/>
          <w:sz w:val="22"/>
          <w:szCs w:val="22"/>
        </w:rPr>
        <w:t>s</w:t>
      </w:r>
      <w:r w:rsidRPr="00940D69">
        <w:rPr>
          <w:rFonts w:ascii="Garamond" w:hAnsi="Garamond"/>
          <w:sz w:val="22"/>
          <w:szCs w:val="22"/>
        </w:rPr>
        <w:t xml:space="preserve"> uvedením začátku a konce pobytu a místa pobytu sjedná automaticky pojištění.</w:t>
      </w:r>
    </w:p>
    <w:p w:rsidR="00C3427A" w:rsidRPr="00940D69" w:rsidRDefault="00C3427A" w:rsidP="00BF0EE5">
      <w:pPr>
        <w:pStyle w:val="Bezmezer"/>
        <w:ind w:left="284" w:hanging="284"/>
        <w:jc w:val="both"/>
        <w:rPr>
          <w:rFonts w:ascii="Garamond" w:hAnsi="Garamond"/>
        </w:rPr>
      </w:pPr>
    </w:p>
    <w:p w:rsidR="00353C9B" w:rsidRPr="00940D69" w:rsidRDefault="00353C9B" w:rsidP="00BF0EE5">
      <w:pPr>
        <w:pStyle w:val="Bezmezer"/>
        <w:numPr>
          <w:ilvl w:val="0"/>
          <w:numId w:val="36"/>
        </w:numPr>
        <w:ind w:left="284" w:hanging="284"/>
        <w:jc w:val="both"/>
        <w:rPr>
          <w:rFonts w:ascii="Garamond" w:hAnsi="Garamond"/>
        </w:rPr>
      </w:pPr>
      <w:r w:rsidRPr="00940D69">
        <w:rPr>
          <w:rFonts w:ascii="Garamond" w:hAnsi="Garamond"/>
        </w:rPr>
        <w:t xml:space="preserve">Zadavateli bude vydáno </w:t>
      </w:r>
      <w:r w:rsidR="005B6015" w:rsidRPr="00940D69">
        <w:rPr>
          <w:rFonts w:ascii="Garamond" w:hAnsi="Garamond"/>
        </w:rPr>
        <w:t xml:space="preserve">po nabytí účinnosti rámcové smlouvy o cestovním pojištění minimálně 300 kusů </w:t>
      </w:r>
      <w:r w:rsidRPr="00940D69">
        <w:rPr>
          <w:rFonts w:ascii="Garamond" w:hAnsi="Garamond"/>
        </w:rPr>
        <w:t xml:space="preserve">přenosných karet. Kdo bude mít kartu u sebe a bude mu sjednáno pojištění, bude pojištěn. </w:t>
      </w:r>
      <w:r w:rsidRPr="00940D69">
        <w:rPr>
          <w:rFonts w:ascii="Garamond" w:hAnsi="Garamond"/>
        </w:rPr>
        <w:tab/>
      </w:r>
      <w:r w:rsidRPr="00940D69">
        <w:rPr>
          <w:rFonts w:ascii="Garamond" w:hAnsi="Garamond"/>
        </w:rPr>
        <w:tab/>
      </w:r>
    </w:p>
    <w:p w:rsidR="00353C9B" w:rsidRPr="00940D69" w:rsidRDefault="00353C9B" w:rsidP="00BF0EE5">
      <w:pPr>
        <w:pStyle w:val="Bezmezer"/>
        <w:ind w:left="284" w:hanging="284"/>
        <w:jc w:val="both"/>
        <w:rPr>
          <w:rFonts w:ascii="Garamond" w:hAnsi="Garamond"/>
        </w:rPr>
      </w:pPr>
    </w:p>
    <w:p w:rsidR="00353C9B" w:rsidRPr="00940D69" w:rsidRDefault="00C3427A" w:rsidP="00BF0EE5">
      <w:pPr>
        <w:pStyle w:val="Bezmezer"/>
        <w:numPr>
          <w:ilvl w:val="0"/>
          <w:numId w:val="36"/>
        </w:numPr>
        <w:ind w:left="284" w:hanging="284"/>
        <w:jc w:val="both"/>
        <w:rPr>
          <w:rFonts w:ascii="Garamond" w:hAnsi="Garamond"/>
        </w:rPr>
      </w:pPr>
      <w:r w:rsidRPr="00940D69">
        <w:rPr>
          <w:rFonts w:ascii="Garamond" w:hAnsi="Garamond"/>
        </w:rPr>
        <w:t>J</w:t>
      </w:r>
      <w:r w:rsidR="00353C9B" w:rsidRPr="00940D69">
        <w:rPr>
          <w:rFonts w:ascii="Garamond" w:hAnsi="Garamond"/>
        </w:rPr>
        <w:t>ako doklad o uzavřeném pojištění bude sloužit přenosná karta</w:t>
      </w:r>
      <w:r w:rsidR="005B6015" w:rsidRPr="00940D69">
        <w:rPr>
          <w:rFonts w:ascii="Garamond" w:hAnsi="Garamond"/>
        </w:rPr>
        <w:t xml:space="preserve"> spolu s potvrzením o sjednaném pojištění pro konkrétní zahraniční cestu</w:t>
      </w:r>
      <w:r w:rsidR="00353C9B" w:rsidRPr="00940D69">
        <w:rPr>
          <w:rFonts w:ascii="Garamond" w:hAnsi="Garamond"/>
        </w:rPr>
        <w:t>.</w:t>
      </w:r>
    </w:p>
    <w:p w:rsidR="00353C9B" w:rsidRPr="00940D69" w:rsidRDefault="00353C9B" w:rsidP="00BF0EE5">
      <w:pPr>
        <w:pStyle w:val="Bezmezer"/>
        <w:ind w:left="284" w:hanging="284"/>
        <w:jc w:val="both"/>
        <w:rPr>
          <w:rFonts w:ascii="Garamond" w:hAnsi="Garamond"/>
        </w:rPr>
      </w:pPr>
    </w:p>
    <w:p w:rsidR="00353C9B" w:rsidRPr="00940D69" w:rsidRDefault="00C3427A" w:rsidP="00BF0EE5">
      <w:pPr>
        <w:pStyle w:val="Bezmezer"/>
        <w:numPr>
          <w:ilvl w:val="0"/>
          <w:numId w:val="36"/>
        </w:numPr>
        <w:ind w:left="284" w:hanging="284"/>
        <w:jc w:val="both"/>
        <w:rPr>
          <w:rFonts w:ascii="Garamond" w:hAnsi="Garamond"/>
        </w:rPr>
      </w:pPr>
      <w:r w:rsidRPr="00940D69">
        <w:rPr>
          <w:rFonts w:ascii="Garamond" w:hAnsi="Garamond"/>
        </w:rPr>
        <w:t>Bude možné</w:t>
      </w:r>
      <w:r w:rsidR="00353C9B" w:rsidRPr="00940D69">
        <w:rPr>
          <w:rFonts w:ascii="Garamond" w:hAnsi="Garamond"/>
        </w:rPr>
        <w:t xml:space="preserve"> pojistit jakoukoliv </w:t>
      </w:r>
      <w:r w:rsidR="005B6015" w:rsidRPr="00940D69">
        <w:rPr>
          <w:rFonts w:ascii="Garamond" w:hAnsi="Garamond"/>
        </w:rPr>
        <w:t xml:space="preserve">služební </w:t>
      </w:r>
      <w:r w:rsidR="00353C9B" w:rsidRPr="00940D69">
        <w:rPr>
          <w:rFonts w:ascii="Garamond" w:hAnsi="Garamond"/>
        </w:rPr>
        <w:t xml:space="preserve">cestu. </w:t>
      </w:r>
      <w:r w:rsidRPr="00940D69">
        <w:rPr>
          <w:rFonts w:ascii="Garamond" w:hAnsi="Garamond"/>
        </w:rPr>
        <w:t xml:space="preserve"> </w:t>
      </w:r>
      <w:r w:rsidR="00353C9B" w:rsidRPr="00940D69">
        <w:rPr>
          <w:rFonts w:ascii="Garamond" w:hAnsi="Garamond"/>
        </w:rPr>
        <w:t>Až do faktického započetí cesty je možné pojištění stornovat, či měnit.</w:t>
      </w:r>
      <w:r w:rsidR="00353C9B" w:rsidRPr="00940D69">
        <w:rPr>
          <w:rFonts w:ascii="Garamond" w:hAnsi="Garamond"/>
        </w:rPr>
        <w:tab/>
      </w:r>
    </w:p>
    <w:p w:rsidR="00C3427A" w:rsidRPr="00940D69" w:rsidRDefault="00C3427A" w:rsidP="00BF0EE5">
      <w:pPr>
        <w:pStyle w:val="Bezmezer"/>
        <w:ind w:left="284" w:hanging="284"/>
        <w:jc w:val="both"/>
        <w:rPr>
          <w:rFonts w:ascii="Garamond" w:hAnsi="Garamond"/>
        </w:rPr>
      </w:pPr>
    </w:p>
    <w:p w:rsidR="005B6015" w:rsidRPr="00940D69" w:rsidRDefault="00C3427A" w:rsidP="00BF0EE5">
      <w:pPr>
        <w:pStyle w:val="Bezmezer"/>
        <w:numPr>
          <w:ilvl w:val="0"/>
          <w:numId w:val="36"/>
        </w:numPr>
        <w:ind w:left="284" w:hanging="284"/>
        <w:jc w:val="both"/>
        <w:rPr>
          <w:rFonts w:ascii="Garamond" w:hAnsi="Garamond"/>
        </w:rPr>
      </w:pPr>
      <w:r w:rsidRPr="00940D69">
        <w:rPr>
          <w:rFonts w:ascii="Garamond" w:hAnsi="Garamond"/>
        </w:rPr>
        <w:t>P</w:t>
      </w:r>
      <w:r w:rsidR="00353C9B" w:rsidRPr="00940D69">
        <w:rPr>
          <w:rFonts w:ascii="Garamond" w:hAnsi="Garamond"/>
        </w:rPr>
        <w:t>ojišťovna bude po konci každého kalendářního měsíce generovat tiskov</w:t>
      </w:r>
      <w:r w:rsidRPr="00940D69">
        <w:rPr>
          <w:rFonts w:ascii="Garamond" w:hAnsi="Garamond"/>
        </w:rPr>
        <w:t>ou</w:t>
      </w:r>
      <w:r w:rsidR="00353C9B" w:rsidRPr="00940D69">
        <w:rPr>
          <w:rFonts w:ascii="Garamond" w:hAnsi="Garamond"/>
        </w:rPr>
        <w:t xml:space="preserve"> sestav</w:t>
      </w:r>
      <w:r w:rsidRPr="00940D69">
        <w:rPr>
          <w:rFonts w:ascii="Garamond" w:hAnsi="Garamond"/>
        </w:rPr>
        <w:t>u jako podklad pro zaplacení pojistného</w:t>
      </w:r>
      <w:r w:rsidR="00353C9B" w:rsidRPr="00940D69">
        <w:rPr>
          <w:rFonts w:ascii="Garamond" w:hAnsi="Garamond"/>
        </w:rPr>
        <w:t>.</w:t>
      </w:r>
      <w:r w:rsidRPr="00940D69">
        <w:rPr>
          <w:rFonts w:ascii="Garamond" w:hAnsi="Garamond"/>
        </w:rPr>
        <w:t xml:space="preserve"> Tato sestava musí obsahovat jmenný seznam přihlášených zaměstnanců, počet dnů sjednaného cestovního pojištění a územní rozsah sjednaného pojištění. Ze sestavy musí být dále patrné, která fakulta zadavatele zaměstnance vyslala. Pojistné bude placeno měsíčně na základě pojistitelem vystaveného daňového dokladu. </w:t>
      </w:r>
      <w:r w:rsidR="005B6015" w:rsidRPr="00940D69">
        <w:rPr>
          <w:rFonts w:ascii="Garamond" w:hAnsi="Garamond"/>
        </w:rPr>
        <w:t>Daňový doklad musí obsahovat všechny náležitosti řádného účetního a daňového dokladu ve smyslu příslušných právních předpisů, zejména zákona č. 235/2004 Sb., o dani z přidané hodnoty, ve znění pozdějších předpisů</w:t>
      </w:r>
    </w:p>
    <w:p w:rsidR="00744042" w:rsidRPr="00940D69" w:rsidRDefault="00744042" w:rsidP="00BF0EE5">
      <w:pPr>
        <w:pStyle w:val="Bezmezer"/>
        <w:ind w:left="284" w:hanging="284"/>
        <w:jc w:val="both"/>
        <w:rPr>
          <w:rFonts w:ascii="Garamond" w:hAnsi="Garamond"/>
        </w:rPr>
      </w:pPr>
    </w:p>
    <w:p w:rsidR="00744042" w:rsidRPr="00940D69" w:rsidRDefault="00744042" w:rsidP="00BF0EE5">
      <w:pPr>
        <w:pStyle w:val="Bezmezer"/>
        <w:numPr>
          <w:ilvl w:val="0"/>
          <w:numId w:val="36"/>
        </w:numPr>
        <w:ind w:left="284" w:hanging="284"/>
        <w:jc w:val="both"/>
        <w:rPr>
          <w:rFonts w:ascii="Garamond" w:hAnsi="Garamond" w:cs="Arial"/>
        </w:rPr>
      </w:pPr>
      <w:r w:rsidRPr="00940D69">
        <w:rPr>
          <w:rFonts w:ascii="Garamond" w:hAnsi="Garamond" w:cs="Arial"/>
        </w:rPr>
        <w:t>Pojištění bude možno sjednat do:</w:t>
      </w:r>
    </w:p>
    <w:p w:rsidR="00744042" w:rsidRPr="00940D69" w:rsidRDefault="00744042" w:rsidP="00BF0EE5">
      <w:pPr>
        <w:pStyle w:val="Bezmezer"/>
        <w:numPr>
          <w:ilvl w:val="0"/>
          <w:numId w:val="30"/>
        </w:numPr>
        <w:ind w:left="993" w:hanging="426"/>
        <w:jc w:val="both"/>
        <w:rPr>
          <w:rFonts w:ascii="Garamond" w:hAnsi="Garamond" w:cs="Arial"/>
        </w:rPr>
      </w:pPr>
      <w:r w:rsidRPr="00940D69">
        <w:rPr>
          <w:rFonts w:ascii="Garamond" w:hAnsi="Garamond" w:cs="Arial"/>
        </w:rPr>
        <w:t>zemí se standardní vnitropolitickou situací</w:t>
      </w:r>
    </w:p>
    <w:p w:rsidR="009E4172" w:rsidRPr="00940D69" w:rsidRDefault="009E4172" w:rsidP="00BF0EE5">
      <w:pPr>
        <w:pStyle w:val="Bezmezer"/>
        <w:numPr>
          <w:ilvl w:val="0"/>
          <w:numId w:val="30"/>
        </w:numPr>
        <w:ind w:left="993" w:hanging="426"/>
        <w:jc w:val="both"/>
        <w:rPr>
          <w:rFonts w:ascii="Garamond" w:hAnsi="Garamond" w:cs="Arial"/>
        </w:rPr>
      </w:pPr>
      <w:r w:rsidRPr="00940D69">
        <w:rPr>
          <w:rFonts w:ascii="Garamond" w:hAnsi="Garamond" w:cs="Arial"/>
        </w:rPr>
        <w:t>oblastí se zvýšeným bezpečnostním rizikem</w:t>
      </w:r>
      <w:r w:rsidR="00811B58" w:rsidRPr="00940D69">
        <w:rPr>
          <w:rFonts w:ascii="Garamond" w:hAnsi="Garamond" w:cs="Arial"/>
        </w:rPr>
        <w:t xml:space="preserve"> (např. Irán, </w:t>
      </w:r>
      <w:r w:rsidRPr="00940D69">
        <w:rPr>
          <w:rFonts w:ascii="Garamond" w:hAnsi="Garamond" w:cs="Arial"/>
        </w:rPr>
        <w:t>Etiopie, Kolumbie)</w:t>
      </w:r>
    </w:p>
    <w:p w:rsidR="00475669" w:rsidRDefault="00475669" w:rsidP="00170866">
      <w:pPr>
        <w:jc w:val="both"/>
        <w:rPr>
          <w:rFonts w:ascii="Garamond" w:hAnsi="Garamond"/>
          <w:b/>
          <w:sz w:val="22"/>
          <w:szCs w:val="22"/>
        </w:rPr>
      </w:pPr>
    </w:p>
    <w:p w:rsidR="00BF0EE5" w:rsidRPr="00940D69" w:rsidRDefault="00BF0EE5" w:rsidP="00170866">
      <w:pPr>
        <w:jc w:val="both"/>
        <w:rPr>
          <w:rFonts w:ascii="Garamond" w:hAnsi="Garamond"/>
          <w:b/>
          <w:sz w:val="22"/>
          <w:szCs w:val="22"/>
        </w:rPr>
      </w:pPr>
    </w:p>
    <w:p w:rsidR="00D15966" w:rsidRPr="00940D69" w:rsidRDefault="00573715" w:rsidP="00170866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940D69">
        <w:rPr>
          <w:rFonts w:ascii="Garamond" w:hAnsi="Garamond"/>
          <w:b/>
          <w:sz w:val="22"/>
          <w:szCs w:val="22"/>
          <w:u w:val="single"/>
        </w:rPr>
        <w:t>INFORMACE O USKUTEČNĚNÝCH ZAHRANIČNÍCH CESTÁCH V ROCE 2015:</w:t>
      </w:r>
    </w:p>
    <w:p w:rsidR="003B1EDF" w:rsidRPr="00940D69" w:rsidRDefault="003B1EDF" w:rsidP="00170866">
      <w:pPr>
        <w:jc w:val="both"/>
        <w:rPr>
          <w:rFonts w:ascii="Garamond" w:hAnsi="Garamond"/>
          <w:sz w:val="22"/>
          <w:szCs w:val="22"/>
        </w:rPr>
      </w:pPr>
    </w:p>
    <w:p w:rsidR="00E260B8" w:rsidRPr="00940D69" w:rsidRDefault="00D15966" w:rsidP="00170866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V roce 2015 b</w:t>
      </w:r>
      <w:r w:rsidR="003B1EDF" w:rsidRPr="00940D69">
        <w:rPr>
          <w:rFonts w:ascii="Garamond" w:hAnsi="Garamond"/>
          <w:sz w:val="22"/>
          <w:szCs w:val="22"/>
        </w:rPr>
        <w:t>y</w:t>
      </w:r>
      <w:r w:rsidRPr="00940D69">
        <w:rPr>
          <w:rFonts w:ascii="Garamond" w:hAnsi="Garamond"/>
          <w:sz w:val="22"/>
          <w:szCs w:val="22"/>
        </w:rPr>
        <w:t>lo uskutečněno 1 600 zahraničních cest</w:t>
      </w:r>
      <w:r w:rsidR="00213D9A">
        <w:rPr>
          <w:rFonts w:ascii="Garamond" w:hAnsi="Garamond"/>
          <w:sz w:val="22"/>
          <w:szCs w:val="22"/>
        </w:rPr>
        <w:t>, p</w:t>
      </w:r>
      <w:r w:rsidR="00E260B8" w:rsidRPr="00940D69">
        <w:rPr>
          <w:rFonts w:ascii="Garamond" w:hAnsi="Garamond"/>
          <w:sz w:val="22"/>
          <w:szCs w:val="22"/>
        </w:rPr>
        <w:t xml:space="preserve">řičemž do Evropy cca 4100 dní </w:t>
      </w:r>
      <w:r w:rsidR="00213D9A">
        <w:rPr>
          <w:rFonts w:ascii="Garamond" w:hAnsi="Garamond"/>
          <w:sz w:val="22"/>
          <w:szCs w:val="22"/>
        </w:rPr>
        <w:t>a S</w:t>
      </w:r>
      <w:r w:rsidR="00E260B8" w:rsidRPr="00940D69">
        <w:rPr>
          <w:rFonts w:ascii="Garamond" w:hAnsi="Garamond"/>
          <w:sz w:val="22"/>
          <w:szCs w:val="22"/>
        </w:rPr>
        <w:t>vět 4700 dní</w:t>
      </w:r>
    </w:p>
    <w:p w:rsidR="007A4D23" w:rsidRPr="00940D69" w:rsidRDefault="007A4D23" w:rsidP="00170866">
      <w:pPr>
        <w:jc w:val="both"/>
        <w:rPr>
          <w:rFonts w:ascii="Garamond" w:hAnsi="Garamond"/>
          <w:sz w:val="22"/>
          <w:szCs w:val="22"/>
        </w:rPr>
      </w:pPr>
    </w:p>
    <w:p w:rsidR="007A4D23" w:rsidRPr="00940D69" w:rsidRDefault="002E4450" w:rsidP="00170866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Zadavatel upozorňuje</w:t>
      </w:r>
      <w:r w:rsidR="007A4D23" w:rsidRPr="00940D69">
        <w:rPr>
          <w:rFonts w:ascii="Garamond" w:hAnsi="Garamond"/>
          <w:sz w:val="22"/>
          <w:szCs w:val="22"/>
        </w:rPr>
        <w:t>, že počet cest je pouze orientační</w:t>
      </w:r>
      <w:r w:rsidR="00213D9A">
        <w:rPr>
          <w:rFonts w:ascii="Garamond" w:hAnsi="Garamond"/>
          <w:sz w:val="22"/>
          <w:szCs w:val="22"/>
        </w:rPr>
        <w:t>,</w:t>
      </w:r>
      <w:r w:rsidR="007A4D23" w:rsidRPr="00940D69">
        <w:rPr>
          <w:rFonts w:ascii="Garamond" w:hAnsi="Garamond"/>
          <w:sz w:val="22"/>
          <w:szCs w:val="22"/>
        </w:rPr>
        <w:t xml:space="preserve"> uvedený na základě požadavků z minulých let. Jednotlivé počty představují předpokládané výjezdy z předchozího kalendářního roku.</w:t>
      </w:r>
    </w:p>
    <w:p w:rsidR="003B1EDF" w:rsidRPr="00940D69" w:rsidRDefault="003B1EDF" w:rsidP="00170866">
      <w:pPr>
        <w:jc w:val="both"/>
        <w:rPr>
          <w:rFonts w:ascii="Garamond" w:hAnsi="Garamond"/>
          <w:sz w:val="22"/>
          <w:szCs w:val="22"/>
        </w:rPr>
      </w:pPr>
    </w:p>
    <w:p w:rsidR="003B1EDF" w:rsidRPr="00940D69" w:rsidRDefault="003B1EDF" w:rsidP="00170866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Minimálně 2/3 cest </w:t>
      </w:r>
      <w:r w:rsidR="00853E2B" w:rsidRPr="00940D69">
        <w:rPr>
          <w:rFonts w:ascii="Garamond" w:hAnsi="Garamond"/>
          <w:sz w:val="22"/>
          <w:szCs w:val="22"/>
        </w:rPr>
        <w:t xml:space="preserve">je </w:t>
      </w:r>
      <w:r w:rsidR="00213D9A">
        <w:rPr>
          <w:rFonts w:ascii="Garamond" w:hAnsi="Garamond"/>
          <w:sz w:val="22"/>
          <w:szCs w:val="22"/>
        </w:rPr>
        <w:t xml:space="preserve">na území EVROPY - </w:t>
      </w:r>
      <w:r w:rsidRPr="00940D69">
        <w:rPr>
          <w:rFonts w:ascii="Garamond" w:hAnsi="Garamond"/>
          <w:sz w:val="22"/>
          <w:szCs w:val="22"/>
        </w:rPr>
        <w:t>65% cest po Evropě je s délkou do dvou dnů</w:t>
      </w:r>
      <w:r w:rsidR="00213D9A">
        <w:rPr>
          <w:rFonts w:ascii="Garamond" w:hAnsi="Garamond"/>
          <w:sz w:val="22"/>
          <w:szCs w:val="22"/>
        </w:rPr>
        <w:t>,</w:t>
      </w:r>
      <w:r w:rsidRPr="00940D69">
        <w:rPr>
          <w:rFonts w:ascii="Garamond" w:hAnsi="Garamond"/>
          <w:sz w:val="22"/>
          <w:szCs w:val="22"/>
        </w:rPr>
        <w:t xml:space="preserve"> 30% cest je s délkou do týdne</w:t>
      </w:r>
      <w:r w:rsidR="00213D9A">
        <w:rPr>
          <w:rFonts w:ascii="Garamond" w:hAnsi="Garamond"/>
          <w:sz w:val="22"/>
          <w:szCs w:val="22"/>
        </w:rPr>
        <w:t xml:space="preserve"> a</w:t>
      </w:r>
      <w:r w:rsidRPr="00940D69">
        <w:rPr>
          <w:rFonts w:ascii="Garamond" w:hAnsi="Garamond"/>
          <w:sz w:val="22"/>
          <w:szCs w:val="22"/>
        </w:rPr>
        <w:t xml:space="preserve"> 5% nad týden.</w:t>
      </w:r>
    </w:p>
    <w:p w:rsidR="003B1EDF" w:rsidRPr="00940D69" w:rsidRDefault="003B1EDF" w:rsidP="00170866">
      <w:pPr>
        <w:jc w:val="both"/>
        <w:rPr>
          <w:rFonts w:ascii="Garamond" w:hAnsi="Garamond"/>
          <w:sz w:val="22"/>
          <w:szCs w:val="22"/>
        </w:rPr>
      </w:pPr>
    </w:p>
    <w:p w:rsidR="003B1EDF" w:rsidRPr="00940D69" w:rsidRDefault="003B1EDF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1/3 cest je na území celého světa</w:t>
      </w:r>
      <w:r w:rsidR="009D4C1D">
        <w:rPr>
          <w:rFonts w:ascii="Garamond" w:hAnsi="Garamond"/>
          <w:sz w:val="22"/>
          <w:szCs w:val="22"/>
        </w:rPr>
        <w:t xml:space="preserve"> -</w:t>
      </w:r>
      <w:r w:rsidRPr="00940D69">
        <w:rPr>
          <w:rFonts w:ascii="Garamond" w:hAnsi="Garamond"/>
          <w:sz w:val="22"/>
          <w:szCs w:val="22"/>
        </w:rPr>
        <w:t xml:space="preserve"> 5% těchto cest je s délkou do dvou dnů</w:t>
      </w:r>
      <w:r w:rsidR="009D4C1D">
        <w:rPr>
          <w:rFonts w:ascii="Garamond" w:hAnsi="Garamond"/>
          <w:sz w:val="22"/>
          <w:szCs w:val="22"/>
        </w:rPr>
        <w:t>,</w:t>
      </w:r>
      <w:r w:rsidRPr="00940D69">
        <w:rPr>
          <w:rFonts w:ascii="Garamond" w:hAnsi="Garamond"/>
          <w:sz w:val="22"/>
          <w:szCs w:val="22"/>
        </w:rPr>
        <w:t xml:space="preserve"> 30% cest je s délkou do týdne</w:t>
      </w:r>
      <w:r w:rsidR="009D4C1D">
        <w:rPr>
          <w:rFonts w:ascii="Garamond" w:hAnsi="Garamond"/>
          <w:sz w:val="22"/>
          <w:szCs w:val="22"/>
        </w:rPr>
        <w:t xml:space="preserve"> a</w:t>
      </w:r>
      <w:r w:rsidRPr="00940D69">
        <w:rPr>
          <w:rFonts w:ascii="Garamond" w:hAnsi="Garamond"/>
          <w:sz w:val="22"/>
          <w:szCs w:val="22"/>
        </w:rPr>
        <w:t xml:space="preserve"> 65% nad týden. </w:t>
      </w:r>
      <w:r w:rsidR="00433085" w:rsidRPr="00940D69">
        <w:rPr>
          <w:rFonts w:ascii="Garamond" w:hAnsi="Garamond"/>
          <w:sz w:val="22"/>
          <w:szCs w:val="22"/>
        </w:rPr>
        <w:t>V</w:t>
      </w:r>
      <w:r w:rsidRPr="00940D69">
        <w:rPr>
          <w:rFonts w:ascii="Garamond" w:hAnsi="Garamond"/>
          <w:sz w:val="22"/>
          <w:szCs w:val="22"/>
        </w:rPr>
        <w:t xml:space="preserve"> roce 2015 </w:t>
      </w:r>
      <w:r w:rsidR="00433085" w:rsidRPr="00940D69">
        <w:rPr>
          <w:rFonts w:ascii="Garamond" w:hAnsi="Garamond"/>
          <w:sz w:val="22"/>
          <w:szCs w:val="22"/>
        </w:rPr>
        <w:t xml:space="preserve">bylo </w:t>
      </w:r>
      <w:r w:rsidRPr="00940D69">
        <w:rPr>
          <w:rFonts w:ascii="Garamond" w:hAnsi="Garamond"/>
          <w:sz w:val="22"/>
          <w:szCs w:val="22"/>
        </w:rPr>
        <w:t xml:space="preserve">uskutečněno </w:t>
      </w:r>
      <w:r w:rsidR="00433085" w:rsidRPr="00940D69">
        <w:rPr>
          <w:rFonts w:ascii="Garamond" w:hAnsi="Garamond"/>
          <w:sz w:val="22"/>
          <w:szCs w:val="22"/>
        </w:rPr>
        <w:t xml:space="preserve">10 cest (vždy s délkou nad týden) </w:t>
      </w:r>
      <w:r w:rsidRPr="00940D69">
        <w:rPr>
          <w:rFonts w:ascii="Garamond" w:hAnsi="Garamond"/>
          <w:sz w:val="22"/>
          <w:szCs w:val="22"/>
        </w:rPr>
        <w:t>do rizikových oblastí (Kolumbie, Irák, Irán, Etiopie)</w:t>
      </w:r>
      <w:r w:rsidR="009D4C1D">
        <w:rPr>
          <w:rFonts w:ascii="Garamond" w:hAnsi="Garamond"/>
          <w:sz w:val="22"/>
          <w:szCs w:val="22"/>
        </w:rPr>
        <w:t>; n</w:t>
      </w:r>
      <w:r w:rsidR="00433085" w:rsidRPr="00940D69">
        <w:rPr>
          <w:rFonts w:ascii="Garamond" w:hAnsi="Garamond"/>
          <w:sz w:val="22"/>
          <w:szCs w:val="22"/>
        </w:rPr>
        <w:t xml:space="preserve">ikdy ne do válečných oblastí. </w:t>
      </w:r>
    </w:p>
    <w:p w:rsidR="003B1EDF" w:rsidRPr="00940D69" w:rsidRDefault="003B1EDF" w:rsidP="003B1EDF">
      <w:pPr>
        <w:jc w:val="both"/>
        <w:rPr>
          <w:rFonts w:ascii="Garamond" w:hAnsi="Garamond"/>
          <w:sz w:val="22"/>
          <w:szCs w:val="22"/>
        </w:rPr>
      </w:pPr>
    </w:p>
    <w:p w:rsidR="003B1EDF" w:rsidRPr="00940D69" w:rsidRDefault="003B1EDF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V roce 2015 uskutečnilo zahraniční cestu 43 zaměstnanců ve věku nad 70 let. </w:t>
      </w:r>
    </w:p>
    <w:p w:rsidR="00853E2B" w:rsidRDefault="00853E2B" w:rsidP="003B1EDF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D4C1D" w:rsidRPr="00940D69" w:rsidRDefault="009D4C1D" w:rsidP="003B1EDF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53E2B" w:rsidRPr="009D4C1D" w:rsidRDefault="00853E2B" w:rsidP="003B1EDF">
      <w:pPr>
        <w:jc w:val="both"/>
        <w:rPr>
          <w:rFonts w:ascii="Garamond" w:hAnsi="Garamond"/>
          <w:b/>
          <w:caps/>
          <w:sz w:val="22"/>
          <w:szCs w:val="22"/>
          <w:u w:val="single"/>
        </w:rPr>
      </w:pPr>
      <w:r w:rsidRPr="009D4C1D">
        <w:rPr>
          <w:rFonts w:ascii="Garamond" w:hAnsi="Garamond"/>
          <w:b/>
          <w:caps/>
          <w:sz w:val="22"/>
          <w:szCs w:val="22"/>
          <w:u w:val="single"/>
        </w:rPr>
        <w:t>Obchodní podmínky</w:t>
      </w:r>
    </w:p>
    <w:p w:rsidR="00853E2B" w:rsidRPr="00940D69" w:rsidRDefault="00853E2B" w:rsidP="003B1EDF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786A7F" w:rsidRPr="00940D69" w:rsidRDefault="00786A7F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V případě sjednání územního rozsahu EVROPA se pojištění sjednává na geografické území Evropy bez omezení. V případě sjednání pojištění na územní rozsah SVĚT se pojištění vztahuje na celý svět bez omezení.</w:t>
      </w:r>
    </w:p>
    <w:p w:rsidR="00786A7F" w:rsidRPr="00940D69" w:rsidRDefault="00786A7F" w:rsidP="003B1EDF">
      <w:pPr>
        <w:jc w:val="both"/>
        <w:rPr>
          <w:rFonts w:ascii="Garamond" w:hAnsi="Garamond"/>
          <w:sz w:val="22"/>
          <w:szCs w:val="22"/>
        </w:rPr>
      </w:pPr>
    </w:p>
    <w:p w:rsidR="00853E2B" w:rsidRPr="00940D69" w:rsidRDefault="00853E2B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Pojištění </w:t>
      </w:r>
      <w:r w:rsidR="007B30E9" w:rsidRPr="00940D69">
        <w:rPr>
          <w:rFonts w:ascii="Garamond" w:hAnsi="Garamond"/>
          <w:sz w:val="22"/>
          <w:szCs w:val="22"/>
        </w:rPr>
        <w:t>se m</w:t>
      </w:r>
      <w:r w:rsidR="002E4450" w:rsidRPr="00940D69">
        <w:rPr>
          <w:rFonts w:ascii="Garamond" w:hAnsi="Garamond"/>
          <w:sz w:val="22"/>
          <w:szCs w:val="22"/>
        </w:rPr>
        <w:t>usí</w:t>
      </w:r>
      <w:r w:rsidR="007B30E9" w:rsidRPr="00940D69">
        <w:rPr>
          <w:rFonts w:ascii="Garamond" w:hAnsi="Garamond"/>
          <w:sz w:val="22"/>
          <w:szCs w:val="22"/>
        </w:rPr>
        <w:t xml:space="preserve"> týkat</w:t>
      </w:r>
      <w:r w:rsidR="002E4450" w:rsidRPr="00940D69">
        <w:rPr>
          <w:rFonts w:ascii="Garamond" w:hAnsi="Garamond"/>
          <w:sz w:val="22"/>
          <w:szCs w:val="22"/>
        </w:rPr>
        <w:t xml:space="preserve"> i teroristického činu, včetně </w:t>
      </w:r>
      <w:r w:rsidRPr="00940D69">
        <w:rPr>
          <w:rFonts w:ascii="Garamond" w:hAnsi="Garamond"/>
          <w:sz w:val="22"/>
          <w:szCs w:val="22"/>
        </w:rPr>
        <w:t>zadržení pojištěné osoby bez nutnosti unesení dopravního prostředku.</w:t>
      </w:r>
    </w:p>
    <w:p w:rsidR="00853E2B" w:rsidRPr="00940D69" w:rsidRDefault="00853E2B" w:rsidP="003B1EDF">
      <w:pPr>
        <w:jc w:val="both"/>
        <w:rPr>
          <w:rFonts w:ascii="Garamond" w:hAnsi="Garamond"/>
          <w:sz w:val="22"/>
          <w:szCs w:val="22"/>
        </w:rPr>
      </w:pPr>
    </w:p>
    <w:p w:rsidR="00853E2B" w:rsidRPr="00940D69" w:rsidRDefault="00853E2B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Délka jedné </w:t>
      </w:r>
      <w:r w:rsidR="002E4450" w:rsidRPr="00940D69">
        <w:rPr>
          <w:rFonts w:ascii="Garamond" w:hAnsi="Garamond"/>
          <w:sz w:val="22"/>
          <w:szCs w:val="22"/>
        </w:rPr>
        <w:t xml:space="preserve">pojištěné </w:t>
      </w:r>
      <w:r w:rsidRPr="00940D69">
        <w:rPr>
          <w:rFonts w:ascii="Garamond" w:hAnsi="Garamond"/>
          <w:sz w:val="22"/>
          <w:szCs w:val="22"/>
        </w:rPr>
        <w:t>cesty</w:t>
      </w:r>
      <w:r w:rsidR="002E4450" w:rsidRPr="00940D69">
        <w:rPr>
          <w:rFonts w:ascii="Garamond" w:hAnsi="Garamond"/>
          <w:sz w:val="22"/>
          <w:szCs w:val="22"/>
        </w:rPr>
        <w:t xml:space="preserve"> nesmí být</w:t>
      </w:r>
      <w:r w:rsidRPr="00940D69">
        <w:rPr>
          <w:rFonts w:ascii="Garamond" w:hAnsi="Garamond"/>
          <w:sz w:val="22"/>
          <w:szCs w:val="22"/>
        </w:rPr>
        <w:t xml:space="preserve"> </w:t>
      </w:r>
      <w:r w:rsidR="002E4450" w:rsidRPr="00940D69">
        <w:rPr>
          <w:rFonts w:ascii="Garamond" w:hAnsi="Garamond"/>
          <w:sz w:val="22"/>
          <w:szCs w:val="22"/>
        </w:rPr>
        <w:t>časově</w:t>
      </w:r>
      <w:r w:rsidRPr="00940D69">
        <w:rPr>
          <w:rFonts w:ascii="Garamond" w:hAnsi="Garamond"/>
          <w:sz w:val="22"/>
          <w:szCs w:val="22"/>
        </w:rPr>
        <w:t xml:space="preserve"> omezena.</w:t>
      </w:r>
    </w:p>
    <w:p w:rsidR="00853E2B" w:rsidRPr="00940D69" w:rsidRDefault="00853E2B" w:rsidP="003B1EDF">
      <w:pPr>
        <w:jc w:val="both"/>
        <w:rPr>
          <w:rFonts w:ascii="Garamond" w:hAnsi="Garamond"/>
          <w:sz w:val="22"/>
          <w:szCs w:val="22"/>
        </w:rPr>
      </w:pPr>
    </w:p>
    <w:p w:rsidR="00853E2B" w:rsidRPr="00940D69" w:rsidRDefault="00853E2B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 xml:space="preserve">Pojistitel </w:t>
      </w:r>
      <w:r w:rsidR="007B30E9" w:rsidRPr="00940D69">
        <w:rPr>
          <w:rFonts w:ascii="Garamond" w:hAnsi="Garamond"/>
          <w:sz w:val="22"/>
          <w:szCs w:val="22"/>
        </w:rPr>
        <w:t xml:space="preserve">musí </w:t>
      </w:r>
      <w:r w:rsidRPr="00940D69">
        <w:rPr>
          <w:rFonts w:ascii="Garamond" w:hAnsi="Garamond"/>
          <w:sz w:val="22"/>
          <w:szCs w:val="22"/>
        </w:rPr>
        <w:t>zajist</w:t>
      </w:r>
      <w:r w:rsidR="002E4450" w:rsidRPr="00940D69">
        <w:rPr>
          <w:rFonts w:ascii="Garamond" w:hAnsi="Garamond"/>
          <w:sz w:val="22"/>
          <w:szCs w:val="22"/>
        </w:rPr>
        <w:t>it dostupnost</w:t>
      </w:r>
      <w:r w:rsidRPr="00940D69">
        <w:rPr>
          <w:rFonts w:ascii="Garamond" w:hAnsi="Garamond"/>
          <w:sz w:val="22"/>
          <w:szCs w:val="22"/>
        </w:rPr>
        <w:t xml:space="preserve"> </w:t>
      </w:r>
      <w:r w:rsidR="004E15A0" w:rsidRPr="00940D69">
        <w:rPr>
          <w:rFonts w:ascii="Garamond" w:hAnsi="Garamond"/>
          <w:sz w:val="22"/>
          <w:szCs w:val="22"/>
        </w:rPr>
        <w:t>asistenčních s</w:t>
      </w:r>
      <w:r w:rsidR="007B30E9" w:rsidRPr="00940D69">
        <w:rPr>
          <w:rFonts w:ascii="Garamond" w:hAnsi="Garamond"/>
          <w:sz w:val="22"/>
          <w:szCs w:val="22"/>
        </w:rPr>
        <w:t>lužeb 24 h denně, 7 dní v</w:t>
      </w:r>
      <w:r w:rsidR="002E4450" w:rsidRPr="00940D69">
        <w:rPr>
          <w:rFonts w:ascii="Garamond" w:hAnsi="Garamond"/>
          <w:sz w:val="22"/>
          <w:szCs w:val="22"/>
        </w:rPr>
        <w:t> </w:t>
      </w:r>
      <w:r w:rsidR="007B30E9" w:rsidRPr="00940D69">
        <w:rPr>
          <w:rFonts w:ascii="Garamond" w:hAnsi="Garamond"/>
          <w:sz w:val="22"/>
          <w:szCs w:val="22"/>
        </w:rPr>
        <w:t>týdnu</w:t>
      </w:r>
      <w:r w:rsidR="002E4450" w:rsidRPr="00940D69">
        <w:rPr>
          <w:rFonts w:ascii="Garamond" w:hAnsi="Garamond"/>
          <w:sz w:val="22"/>
          <w:szCs w:val="22"/>
        </w:rPr>
        <w:t xml:space="preserve"> na území celého světa</w:t>
      </w:r>
      <w:r w:rsidR="007B30E9" w:rsidRPr="00940D69">
        <w:rPr>
          <w:rFonts w:ascii="Garamond" w:hAnsi="Garamond"/>
          <w:sz w:val="22"/>
          <w:szCs w:val="22"/>
        </w:rPr>
        <w:t>.</w:t>
      </w:r>
    </w:p>
    <w:p w:rsidR="004E15A0" w:rsidRPr="00940D69" w:rsidRDefault="004E15A0" w:rsidP="003B1EDF">
      <w:pPr>
        <w:jc w:val="both"/>
        <w:rPr>
          <w:rFonts w:ascii="Garamond" w:hAnsi="Garamond"/>
          <w:sz w:val="22"/>
          <w:szCs w:val="22"/>
        </w:rPr>
      </w:pPr>
    </w:p>
    <w:p w:rsidR="004E15A0" w:rsidRPr="00940D69" w:rsidRDefault="004E15A0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Délka lhůty pro vyřízení pojistné události může být max. 3 měsíce</w:t>
      </w:r>
    </w:p>
    <w:p w:rsidR="004E15A0" w:rsidRPr="00940D69" w:rsidRDefault="004E15A0" w:rsidP="003B1EDF">
      <w:pPr>
        <w:jc w:val="both"/>
        <w:rPr>
          <w:rFonts w:ascii="Garamond" w:hAnsi="Garamond"/>
          <w:sz w:val="22"/>
          <w:szCs w:val="22"/>
        </w:rPr>
      </w:pPr>
    </w:p>
    <w:p w:rsidR="004E15A0" w:rsidRPr="00940D69" w:rsidRDefault="004E15A0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Řešení pojistný událostí je kompletně řešeno elektronickou formou – nahlášení, komunikace a vyřízení pojistné události.</w:t>
      </w:r>
    </w:p>
    <w:p w:rsidR="002E4450" w:rsidRPr="00940D69" w:rsidRDefault="002E4450" w:rsidP="003B1EDF">
      <w:pPr>
        <w:jc w:val="both"/>
        <w:rPr>
          <w:rFonts w:ascii="Garamond" w:hAnsi="Garamond"/>
          <w:sz w:val="22"/>
          <w:szCs w:val="22"/>
        </w:rPr>
      </w:pPr>
    </w:p>
    <w:p w:rsidR="004E15A0" w:rsidRPr="00940D69" w:rsidRDefault="002E4450" w:rsidP="003B1EDF">
      <w:pPr>
        <w:jc w:val="both"/>
        <w:rPr>
          <w:rFonts w:ascii="Garamond" w:hAnsi="Garamond"/>
          <w:sz w:val="22"/>
          <w:szCs w:val="22"/>
        </w:rPr>
      </w:pPr>
      <w:r w:rsidRPr="00940D69">
        <w:rPr>
          <w:rFonts w:ascii="Garamond" w:hAnsi="Garamond"/>
          <w:sz w:val="22"/>
          <w:szCs w:val="22"/>
        </w:rPr>
        <w:t>Uchazeč</w:t>
      </w:r>
      <w:r w:rsidR="004E15A0" w:rsidRPr="00940D69">
        <w:rPr>
          <w:rFonts w:ascii="Garamond" w:hAnsi="Garamond"/>
          <w:sz w:val="22"/>
          <w:szCs w:val="22"/>
        </w:rPr>
        <w:t xml:space="preserve"> detailně popíše způsob nahlašování pojistných událostí.</w:t>
      </w:r>
    </w:p>
    <w:p w:rsidR="003B1EDF" w:rsidRPr="00940D69" w:rsidRDefault="003B1EDF" w:rsidP="00170866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D15966" w:rsidRPr="00940D69" w:rsidRDefault="003B1EDF" w:rsidP="00170866">
      <w:pPr>
        <w:jc w:val="both"/>
        <w:rPr>
          <w:rFonts w:ascii="Garamond" w:hAnsi="Garamond"/>
          <w:color w:val="FF0000"/>
          <w:sz w:val="22"/>
          <w:szCs w:val="22"/>
        </w:rPr>
      </w:pPr>
      <w:r w:rsidRPr="00940D69">
        <w:rPr>
          <w:rFonts w:ascii="Garamond" w:hAnsi="Garamond"/>
          <w:color w:val="FF0000"/>
          <w:sz w:val="22"/>
          <w:szCs w:val="22"/>
        </w:rPr>
        <w:t xml:space="preserve">  </w:t>
      </w:r>
    </w:p>
    <w:sectPr w:rsidR="00D15966" w:rsidRPr="00940D69" w:rsidSect="00565ACA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96" w:rsidRDefault="00AD0796" w:rsidP="00565ACA">
      <w:r>
        <w:separator/>
      </w:r>
    </w:p>
  </w:endnote>
  <w:endnote w:type="continuationSeparator" w:id="0">
    <w:p w:rsidR="00AD0796" w:rsidRDefault="00AD0796" w:rsidP="005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eoSans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4465"/>
      <w:docPartObj>
        <w:docPartGallery w:val="Page Numbers (Bottom of Page)"/>
        <w:docPartUnique/>
      </w:docPartObj>
    </w:sdtPr>
    <w:sdtEndPr/>
    <w:sdtContent>
      <w:p w:rsidR="003D208D" w:rsidRDefault="003D20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AC">
          <w:rPr>
            <w:noProof/>
          </w:rPr>
          <w:t>2</w:t>
        </w:r>
        <w:r>
          <w:fldChar w:fldCharType="end"/>
        </w:r>
      </w:p>
    </w:sdtContent>
  </w:sdt>
  <w:p w:rsidR="003D208D" w:rsidRDefault="003D20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132864"/>
      <w:docPartObj>
        <w:docPartGallery w:val="Page Numbers (Bottom of Page)"/>
        <w:docPartUnique/>
      </w:docPartObj>
    </w:sdtPr>
    <w:sdtEndPr/>
    <w:sdtContent>
      <w:p w:rsidR="003D208D" w:rsidRDefault="003D208D">
        <w:pPr>
          <w:pStyle w:val="Zpat"/>
          <w:jc w:val="center"/>
        </w:pPr>
      </w:p>
      <w:p w:rsidR="003D208D" w:rsidRDefault="00AD0796">
        <w:pPr>
          <w:pStyle w:val="Zpat"/>
          <w:jc w:val="center"/>
        </w:pPr>
      </w:p>
    </w:sdtContent>
  </w:sdt>
  <w:p w:rsidR="003D208D" w:rsidRDefault="003D2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96" w:rsidRDefault="00AD0796" w:rsidP="00565ACA">
      <w:r>
        <w:separator/>
      </w:r>
    </w:p>
  </w:footnote>
  <w:footnote w:type="continuationSeparator" w:id="0">
    <w:p w:rsidR="00AD0796" w:rsidRDefault="00AD0796" w:rsidP="0056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624"/>
    <w:multiLevelType w:val="multilevel"/>
    <w:tmpl w:val="FD2E74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756F47"/>
    <w:multiLevelType w:val="hybridMultilevel"/>
    <w:tmpl w:val="12BE7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991"/>
    <w:multiLevelType w:val="hybridMultilevel"/>
    <w:tmpl w:val="A128ED18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5C26"/>
    <w:multiLevelType w:val="hybridMultilevel"/>
    <w:tmpl w:val="C8DA1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707"/>
    <w:multiLevelType w:val="hybridMultilevel"/>
    <w:tmpl w:val="1EAE5F0A"/>
    <w:lvl w:ilvl="0" w:tplc="3070B8C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F5726FF"/>
    <w:multiLevelType w:val="hybridMultilevel"/>
    <w:tmpl w:val="661CB068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253BB"/>
    <w:multiLevelType w:val="hybridMultilevel"/>
    <w:tmpl w:val="4F62D576"/>
    <w:lvl w:ilvl="0" w:tplc="FAA8B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9285E"/>
    <w:multiLevelType w:val="hybridMultilevel"/>
    <w:tmpl w:val="12803BDE"/>
    <w:lvl w:ilvl="0" w:tplc="67824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6363"/>
    <w:multiLevelType w:val="hybridMultilevel"/>
    <w:tmpl w:val="4C108CF6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444E3"/>
    <w:multiLevelType w:val="hybridMultilevel"/>
    <w:tmpl w:val="A77A6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34410"/>
    <w:multiLevelType w:val="hybridMultilevel"/>
    <w:tmpl w:val="A5E81E68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553F4"/>
    <w:multiLevelType w:val="hybridMultilevel"/>
    <w:tmpl w:val="B6266648"/>
    <w:lvl w:ilvl="0" w:tplc="8C7CE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B5DAE"/>
    <w:multiLevelType w:val="hybridMultilevel"/>
    <w:tmpl w:val="AB4AD878"/>
    <w:lvl w:ilvl="0" w:tplc="2460FDE4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C45AF0"/>
    <w:multiLevelType w:val="hybridMultilevel"/>
    <w:tmpl w:val="82C66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2508C"/>
    <w:multiLevelType w:val="hybridMultilevel"/>
    <w:tmpl w:val="766A3DA8"/>
    <w:lvl w:ilvl="0" w:tplc="A41C5B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7FCD"/>
    <w:multiLevelType w:val="hybridMultilevel"/>
    <w:tmpl w:val="B6D22966"/>
    <w:lvl w:ilvl="0" w:tplc="F02C73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275A23"/>
    <w:multiLevelType w:val="hybridMultilevel"/>
    <w:tmpl w:val="673257C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733639"/>
    <w:multiLevelType w:val="hybridMultilevel"/>
    <w:tmpl w:val="3DC29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7C80"/>
    <w:multiLevelType w:val="hybridMultilevel"/>
    <w:tmpl w:val="FADA3C38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478C6"/>
    <w:multiLevelType w:val="hybridMultilevel"/>
    <w:tmpl w:val="EEB2D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543B8"/>
    <w:multiLevelType w:val="hybridMultilevel"/>
    <w:tmpl w:val="A562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64179"/>
    <w:multiLevelType w:val="hybridMultilevel"/>
    <w:tmpl w:val="4992C98E"/>
    <w:lvl w:ilvl="0" w:tplc="3070B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CB3DEE"/>
    <w:multiLevelType w:val="hybridMultilevel"/>
    <w:tmpl w:val="F4725536"/>
    <w:lvl w:ilvl="0" w:tplc="144C2DC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B314A24"/>
    <w:multiLevelType w:val="hybridMultilevel"/>
    <w:tmpl w:val="FDE86F8C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92638"/>
    <w:multiLevelType w:val="multilevel"/>
    <w:tmpl w:val="8680580A"/>
    <w:lvl w:ilvl="0">
      <w:start w:val="6"/>
      <w:numFmt w:val="decimal"/>
      <w:lvlText w:val="%1/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F820360"/>
    <w:multiLevelType w:val="hybridMultilevel"/>
    <w:tmpl w:val="020283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4334D"/>
    <w:multiLevelType w:val="hybridMultilevel"/>
    <w:tmpl w:val="8A348B0C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24AC7"/>
    <w:multiLevelType w:val="hybridMultilevel"/>
    <w:tmpl w:val="15FEF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91612"/>
    <w:multiLevelType w:val="hybridMultilevel"/>
    <w:tmpl w:val="E54C2066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167EE"/>
    <w:multiLevelType w:val="hybridMultilevel"/>
    <w:tmpl w:val="3E6AFABE"/>
    <w:lvl w:ilvl="0" w:tplc="1388CD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85879"/>
    <w:multiLevelType w:val="hybridMultilevel"/>
    <w:tmpl w:val="8A348B0C"/>
    <w:lvl w:ilvl="0" w:tplc="3070B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859B2"/>
    <w:multiLevelType w:val="hybridMultilevel"/>
    <w:tmpl w:val="18F4867C"/>
    <w:lvl w:ilvl="0" w:tplc="D6368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B266D"/>
    <w:multiLevelType w:val="hybridMultilevel"/>
    <w:tmpl w:val="9CAE37C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0E6E83"/>
    <w:multiLevelType w:val="hybridMultilevel"/>
    <w:tmpl w:val="D006F2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1531C"/>
    <w:multiLevelType w:val="hybridMultilevel"/>
    <w:tmpl w:val="544C5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609DF"/>
    <w:multiLevelType w:val="hybridMultilevel"/>
    <w:tmpl w:val="20EE8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9"/>
  </w:num>
  <w:num w:numId="4">
    <w:abstractNumId w:val="21"/>
  </w:num>
  <w:num w:numId="5">
    <w:abstractNumId w:val="1"/>
  </w:num>
  <w:num w:numId="6">
    <w:abstractNumId w:val="11"/>
  </w:num>
  <w:num w:numId="7">
    <w:abstractNumId w:val="12"/>
  </w:num>
  <w:num w:numId="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0"/>
  </w:num>
  <w:num w:numId="12">
    <w:abstractNumId w:val="18"/>
  </w:num>
  <w:num w:numId="13">
    <w:abstractNumId w:val="29"/>
  </w:num>
  <w:num w:numId="14">
    <w:abstractNumId w:val="32"/>
  </w:num>
  <w:num w:numId="15">
    <w:abstractNumId w:val="25"/>
  </w:num>
  <w:num w:numId="16">
    <w:abstractNumId w:val="4"/>
  </w:num>
  <w:num w:numId="17">
    <w:abstractNumId w:val="2"/>
  </w:num>
  <w:num w:numId="18">
    <w:abstractNumId w:val="5"/>
  </w:num>
  <w:num w:numId="19">
    <w:abstractNumId w:val="28"/>
  </w:num>
  <w:num w:numId="20">
    <w:abstractNumId w:val="14"/>
  </w:num>
  <w:num w:numId="21">
    <w:abstractNumId w:val="30"/>
  </w:num>
  <w:num w:numId="22">
    <w:abstractNumId w:val="16"/>
  </w:num>
  <w:num w:numId="23">
    <w:abstractNumId w:val="7"/>
  </w:num>
  <w:num w:numId="24">
    <w:abstractNumId w:val="23"/>
  </w:num>
  <w:num w:numId="25">
    <w:abstractNumId w:val="26"/>
  </w:num>
  <w:num w:numId="26">
    <w:abstractNumId w:val="8"/>
  </w:num>
  <w:num w:numId="27">
    <w:abstractNumId w:val="35"/>
  </w:num>
  <w:num w:numId="28">
    <w:abstractNumId w:val="19"/>
  </w:num>
  <w:num w:numId="29">
    <w:abstractNumId w:val="13"/>
  </w:num>
  <w:num w:numId="30">
    <w:abstractNumId w:val="22"/>
  </w:num>
  <w:num w:numId="31">
    <w:abstractNumId w:val="27"/>
  </w:num>
  <w:num w:numId="32">
    <w:abstractNumId w:val="31"/>
  </w:num>
  <w:num w:numId="33">
    <w:abstractNumId w:val="6"/>
  </w:num>
  <w:num w:numId="34">
    <w:abstractNumId w:val="3"/>
  </w:num>
  <w:num w:numId="35">
    <w:abstractNumId w:val="3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4"/>
    <w:rsid w:val="00013246"/>
    <w:rsid w:val="0001631A"/>
    <w:rsid w:val="00023501"/>
    <w:rsid w:val="00041C83"/>
    <w:rsid w:val="000503ED"/>
    <w:rsid w:val="00062777"/>
    <w:rsid w:val="000711E7"/>
    <w:rsid w:val="0008287F"/>
    <w:rsid w:val="0009146C"/>
    <w:rsid w:val="000A2EDA"/>
    <w:rsid w:val="000A62B5"/>
    <w:rsid w:val="000B121F"/>
    <w:rsid w:val="000B6326"/>
    <w:rsid w:val="000C00C5"/>
    <w:rsid w:val="000C3447"/>
    <w:rsid w:val="000C43CB"/>
    <w:rsid w:val="000C5556"/>
    <w:rsid w:val="000C69E8"/>
    <w:rsid w:val="000D11AE"/>
    <w:rsid w:val="000D4BAE"/>
    <w:rsid w:val="000E5D84"/>
    <w:rsid w:val="000E66A1"/>
    <w:rsid w:val="0010793B"/>
    <w:rsid w:val="0011199B"/>
    <w:rsid w:val="00114EE9"/>
    <w:rsid w:val="001372AA"/>
    <w:rsid w:val="00140107"/>
    <w:rsid w:val="00143A4B"/>
    <w:rsid w:val="0015144E"/>
    <w:rsid w:val="00155113"/>
    <w:rsid w:val="00170866"/>
    <w:rsid w:val="001A0A2A"/>
    <w:rsid w:val="001B0352"/>
    <w:rsid w:val="001B17E3"/>
    <w:rsid w:val="001B4E88"/>
    <w:rsid w:val="001C1464"/>
    <w:rsid w:val="001D098E"/>
    <w:rsid w:val="001D189C"/>
    <w:rsid w:val="001D3B00"/>
    <w:rsid w:val="001D5AEE"/>
    <w:rsid w:val="001D6CBA"/>
    <w:rsid w:val="001E6463"/>
    <w:rsid w:val="001F1250"/>
    <w:rsid w:val="001F134D"/>
    <w:rsid w:val="002041E5"/>
    <w:rsid w:val="002066D3"/>
    <w:rsid w:val="00213D9A"/>
    <w:rsid w:val="002307DE"/>
    <w:rsid w:val="00236EE7"/>
    <w:rsid w:val="002514D0"/>
    <w:rsid w:val="0025162D"/>
    <w:rsid w:val="00251CC8"/>
    <w:rsid w:val="002554E3"/>
    <w:rsid w:val="0025799A"/>
    <w:rsid w:val="002654EA"/>
    <w:rsid w:val="0026710B"/>
    <w:rsid w:val="00270DCC"/>
    <w:rsid w:val="00271393"/>
    <w:rsid w:val="00272686"/>
    <w:rsid w:val="00277453"/>
    <w:rsid w:val="002954B7"/>
    <w:rsid w:val="00295D73"/>
    <w:rsid w:val="00297217"/>
    <w:rsid w:val="002A5A3D"/>
    <w:rsid w:val="002B03F2"/>
    <w:rsid w:val="002B589C"/>
    <w:rsid w:val="002B5950"/>
    <w:rsid w:val="002B6CFD"/>
    <w:rsid w:val="002D5148"/>
    <w:rsid w:val="002D5CFD"/>
    <w:rsid w:val="002D6396"/>
    <w:rsid w:val="002E4450"/>
    <w:rsid w:val="00301ED9"/>
    <w:rsid w:val="0030290A"/>
    <w:rsid w:val="00306828"/>
    <w:rsid w:val="0031702A"/>
    <w:rsid w:val="00317947"/>
    <w:rsid w:val="00321C97"/>
    <w:rsid w:val="00327E06"/>
    <w:rsid w:val="003433FD"/>
    <w:rsid w:val="00353C9B"/>
    <w:rsid w:val="00366C0D"/>
    <w:rsid w:val="00367795"/>
    <w:rsid w:val="00370D16"/>
    <w:rsid w:val="003845CC"/>
    <w:rsid w:val="00387D6D"/>
    <w:rsid w:val="00392D85"/>
    <w:rsid w:val="003A1357"/>
    <w:rsid w:val="003A4627"/>
    <w:rsid w:val="003A7291"/>
    <w:rsid w:val="003B1EDF"/>
    <w:rsid w:val="003C1597"/>
    <w:rsid w:val="003D01B4"/>
    <w:rsid w:val="003D208D"/>
    <w:rsid w:val="003E34FC"/>
    <w:rsid w:val="003E3D1B"/>
    <w:rsid w:val="003F3FE5"/>
    <w:rsid w:val="003F7990"/>
    <w:rsid w:val="00405562"/>
    <w:rsid w:val="00415F3D"/>
    <w:rsid w:val="0042095B"/>
    <w:rsid w:val="00433085"/>
    <w:rsid w:val="0043312A"/>
    <w:rsid w:val="004355B6"/>
    <w:rsid w:val="004472D4"/>
    <w:rsid w:val="004479F7"/>
    <w:rsid w:val="00470766"/>
    <w:rsid w:val="00475669"/>
    <w:rsid w:val="00482E30"/>
    <w:rsid w:val="00484153"/>
    <w:rsid w:val="004857DA"/>
    <w:rsid w:val="004866C3"/>
    <w:rsid w:val="00494451"/>
    <w:rsid w:val="004954D7"/>
    <w:rsid w:val="004A6098"/>
    <w:rsid w:val="004D34D5"/>
    <w:rsid w:val="004E000A"/>
    <w:rsid w:val="004E0109"/>
    <w:rsid w:val="004E133C"/>
    <w:rsid w:val="004E15A0"/>
    <w:rsid w:val="004E3FE7"/>
    <w:rsid w:val="005171E3"/>
    <w:rsid w:val="0053106F"/>
    <w:rsid w:val="005358C1"/>
    <w:rsid w:val="00537AE8"/>
    <w:rsid w:val="00546904"/>
    <w:rsid w:val="00551821"/>
    <w:rsid w:val="0055449F"/>
    <w:rsid w:val="00555D39"/>
    <w:rsid w:val="00565ACA"/>
    <w:rsid w:val="00567ED4"/>
    <w:rsid w:val="00573715"/>
    <w:rsid w:val="00577257"/>
    <w:rsid w:val="00580B9D"/>
    <w:rsid w:val="0058328A"/>
    <w:rsid w:val="0059098A"/>
    <w:rsid w:val="00596D3C"/>
    <w:rsid w:val="00597917"/>
    <w:rsid w:val="005B4ED8"/>
    <w:rsid w:val="005B6015"/>
    <w:rsid w:val="005B7886"/>
    <w:rsid w:val="005C1BB0"/>
    <w:rsid w:val="005E1F70"/>
    <w:rsid w:val="005E75A1"/>
    <w:rsid w:val="005E7AAD"/>
    <w:rsid w:val="005F44E3"/>
    <w:rsid w:val="005F54B3"/>
    <w:rsid w:val="005F551C"/>
    <w:rsid w:val="006025AF"/>
    <w:rsid w:val="00607770"/>
    <w:rsid w:val="0061483A"/>
    <w:rsid w:val="0062177D"/>
    <w:rsid w:val="006217E1"/>
    <w:rsid w:val="00635F51"/>
    <w:rsid w:val="0064018D"/>
    <w:rsid w:val="006416C4"/>
    <w:rsid w:val="00641D36"/>
    <w:rsid w:val="0065396E"/>
    <w:rsid w:val="006553DB"/>
    <w:rsid w:val="00660367"/>
    <w:rsid w:val="0066207C"/>
    <w:rsid w:val="00667700"/>
    <w:rsid w:val="006720C4"/>
    <w:rsid w:val="00677CE7"/>
    <w:rsid w:val="00683370"/>
    <w:rsid w:val="00687C5A"/>
    <w:rsid w:val="0069088D"/>
    <w:rsid w:val="006A2352"/>
    <w:rsid w:val="006B40CD"/>
    <w:rsid w:val="006B6D6F"/>
    <w:rsid w:val="006C1E7E"/>
    <w:rsid w:val="006D2562"/>
    <w:rsid w:val="006E1A18"/>
    <w:rsid w:val="006E6BD6"/>
    <w:rsid w:val="006F1850"/>
    <w:rsid w:val="006F3CAD"/>
    <w:rsid w:val="006F3F19"/>
    <w:rsid w:val="007125F3"/>
    <w:rsid w:val="00714F10"/>
    <w:rsid w:val="00744042"/>
    <w:rsid w:val="00744710"/>
    <w:rsid w:val="00756061"/>
    <w:rsid w:val="00757986"/>
    <w:rsid w:val="00772193"/>
    <w:rsid w:val="007738E1"/>
    <w:rsid w:val="00786098"/>
    <w:rsid w:val="00786A7F"/>
    <w:rsid w:val="00793066"/>
    <w:rsid w:val="007A1284"/>
    <w:rsid w:val="007A4D23"/>
    <w:rsid w:val="007A72E0"/>
    <w:rsid w:val="007B1868"/>
    <w:rsid w:val="007B30E9"/>
    <w:rsid w:val="007C1069"/>
    <w:rsid w:val="007C249B"/>
    <w:rsid w:val="007D0EDA"/>
    <w:rsid w:val="007E2A80"/>
    <w:rsid w:val="007E62A7"/>
    <w:rsid w:val="007F0E8A"/>
    <w:rsid w:val="007F3575"/>
    <w:rsid w:val="007F5BAF"/>
    <w:rsid w:val="00803BDC"/>
    <w:rsid w:val="00811B58"/>
    <w:rsid w:val="0081647B"/>
    <w:rsid w:val="00820DC8"/>
    <w:rsid w:val="00821FB7"/>
    <w:rsid w:val="00836186"/>
    <w:rsid w:val="00845033"/>
    <w:rsid w:val="00853E2B"/>
    <w:rsid w:val="00871186"/>
    <w:rsid w:val="00872F35"/>
    <w:rsid w:val="00874C57"/>
    <w:rsid w:val="0088481C"/>
    <w:rsid w:val="008932CB"/>
    <w:rsid w:val="008A2306"/>
    <w:rsid w:val="008A2843"/>
    <w:rsid w:val="008B0B55"/>
    <w:rsid w:val="008B5F38"/>
    <w:rsid w:val="008D7EE3"/>
    <w:rsid w:val="008E6548"/>
    <w:rsid w:val="008F015B"/>
    <w:rsid w:val="008F0C73"/>
    <w:rsid w:val="0092192A"/>
    <w:rsid w:val="00925D77"/>
    <w:rsid w:val="00937C7D"/>
    <w:rsid w:val="00940D69"/>
    <w:rsid w:val="00940DF7"/>
    <w:rsid w:val="00952F3C"/>
    <w:rsid w:val="00953A54"/>
    <w:rsid w:val="00954A76"/>
    <w:rsid w:val="00970EA0"/>
    <w:rsid w:val="00981F1A"/>
    <w:rsid w:val="00984049"/>
    <w:rsid w:val="00994E45"/>
    <w:rsid w:val="009966D0"/>
    <w:rsid w:val="009B1135"/>
    <w:rsid w:val="009B2AE5"/>
    <w:rsid w:val="009B4153"/>
    <w:rsid w:val="009B635B"/>
    <w:rsid w:val="009C5940"/>
    <w:rsid w:val="009D4C1D"/>
    <w:rsid w:val="009D4C44"/>
    <w:rsid w:val="009E4172"/>
    <w:rsid w:val="009F0EC7"/>
    <w:rsid w:val="00A03102"/>
    <w:rsid w:val="00A04ED5"/>
    <w:rsid w:val="00A05C29"/>
    <w:rsid w:val="00A05F99"/>
    <w:rsid w:val="00A10246"/>
    <w:rsid w:val="00A1558E"/>
    <w:rsid w:val="00A31C91"/>
    <w:rsid w:val="00A6708E"/>
    <w:rsid w:val="00A67373"/>
    <w:rsid w:val="00A841E8"/>
    <w:rsid w:val="00A854C9"/>
    <w:rsid w:val="00A9072A"/>
    <w:rsid w:val="00A951E9"/>
    <w:rsid w:val="00AA6B81"/>
    <w:rsid w:val="00AB0E57"/>
    <w:rsid w:val="00AB763C"/>
    <w:rsid w:val="00AC4EBC"/>
    <w:rsid w:val="00AC562A"/>
    <w:rsid w:val="00AD0796"/>
    <w:rsid w:val="00AE3339"/>
    <w:rsid w:val="00AF162B"/>
    <w:rsid w:val="00AF1DA0"/>
    <w:rsid w:val="00AF2FD3"/>
    <w:rsid w:val="00B04AE2"/>
    <w:rsid w:val="00B203C0"/>
    <w:rsid w:val="00B23A0E"/>
    <w:rsid w:val="00B30959"/>
    <w:rsid w:val="00B400DF"/>
    <w:rsid w:val="00B53826"/>
    <w:rsid w:val="00B5590F"/>
    <w:rsid w:val="00B94CDA"/>
    <w:rsid w:val="00B9578B"/>
    <w:rsid w:val="00BA3969"/>
    <w:rsid w:val="00BA7EC6"/>
    <w:rsid w:val="00BB1E0E"/>
    <w:rsid w:val="00BC7C51"/>
    <w:rsid w:val="00BD023C"/>
    <w:rsid w:val="00BD1655"/>
    <w:rsid w:val="00BF0EE5"/>
    <w:rsid w:val="00BF32B7"/>
    <w:rsid w:val="00C00555"/>
    <w:rsid w:val="00C11B71"/>
    <w:rsid w:val="00C13D1C"/>
    <w:rsid w:val="00C2114A"/>
    <w:rsid w:val="00C230D8"/>
    <w:rsid w:val="00C246AC"/>
    <w:rsid w:val="00C26DBF"/>
    <w:rsid w:val="00C3427A"/>
    <w:rsid w:val="00C35349"/>
    <w:rsid w:val="00C62E54"/>
    <w:rsid w:val="00C63FA6"/>
    <w:rsid w:val="00C6669B"/>
    <w:rsid w:val="00C84188"/>
    <w:rsid w:val="00C90334"/>
    <w:rsid w:val="00CA776E"/>
    <w:rsid w:val="00CB08FD"/>
    <w:rsid w:val="00CB431A"/>
    <w:rsid w:val="00CC0216"/>
    <w:rsid w:val="00CD3E3C"/>
    <w:rsid w:val="00CD733A"/>
    <w:rsid w:val="00CE1A6F"/>
    <w:rsid w:val="00CF069A"/>
    <w:rsid w:val="00D00506"/>
    <w:rsid w:val="00D122C9"/>
    <w:rsid w:val="00D15966"/>
    <w:rsid w:val="00D16FBD"/>
    <w:rsid w:val="00D17E4F"/>
    <w:rsid w:val="00D23A06"/>
    <w:rsid w:val="00D32F69"/>
    <w:rsid w:val="00D34029"/>
    <w:rsid w:val="00D45313"/>
    <w:rsid w:val="00D46EBF"/>
    <w:rsid w:val="00D472CA"/>
    <w:rsid w:val="00D573A8"/>
    <w:rsid w:val="00D639BC"/>
    <w:rsid w:val="00D6465F"/>
    <w:rsid w:val="00D64DD4"/>
    <w:rsid w:val="00D6675D"/>
    <w:rsid w:val="00DA4961"/>
    <w:rsid w:val="00DC10D0"/>
    <w:rsid w:val="00E115EA"/>
    <w:rsid w:val="00E12334"/>
    <w:rsid w:val="00E1385D"/>
    <w:rsid w:val="00E15437"/>
    <w:rsid w:val="00E260B8"/>
    <w:rsid w:val="00E31E4F"/>
    <w:rsid w:val="00E33C68"/>
    <w:rsid w:val="00E35A81"/>
    <w:rsid w:val="00E42024"/>
    <w:rsid w:val="00E51DE1"/>
    <w:rsid w:val="00E615BD"/>
    <w:rsid w:val="00E65891"/>
    <w:rsid w:val="00E90D19"/>
    <w:rsid w:val="00E96048"/>
    <w:rsid w:val="00EB18DC"/>
    <w:rsid w:val="00EC0F34"/>
    <w:rsid w:val="00EF6BCE"/>
    <w:rsid w:val="00F03CAC"/>
    <w:rsid w:val="00F27264"/>
    <w:rsid w:val="00F43D3C"/>
    <w:rsid w:val="00F53830"/>
    <w:rsid w:val="00F65172"/>
    <w:rsid w:val="00F85961"/>
    <w:rsid w:val="00F86B17"/>
    <w:rsid w:val="00F97278"/>
    <w:rsid w:val="00FB3042"/>
    <w:rsid w:val="00FB7B4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A54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link w:val="Nadpis2Char"/>
    <w:qFormat/>
    <w:rsid w:val="00953A54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953A54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A54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3A54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A54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53A54"/>
    <w:pPr>
      <w:jc w:val="center"/>
    </w:pPr>
    <w:rPr>
      <w:rFonts w:ascii="Verdana" w:hAnsi="Verdana"/>
    </w:rPr>
  </w:style>
  <w:style w:type="character" w:customStyle="1" w:styleId="ZkladntextChar">
    <w:name w:val="Základní text Char"/>
    <w:basedOn w:val="Standardnpsmoodstavce"/>
    <w:link w:val="Zkladntext"/>
    <w:rsid w:val="00953A54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rsid w:val="00953A54"/>
    <w:rPr>
      <w:rFonts w:ascii="Verdana" w:hAnsi="Verdana"/>
      <w:b/>
      <w:caps/>
      <w:sz w:val="22"/>
    </w:rPr>
  </w:style>
  <w:style w:type="character" w:customStyle="1" w:styleId="st1">
    <w:name w:val="st1"/>
    <w:rsid w:val="00953A54"/>
  </w:style>
  <w:style w:type="paragraph" w:styleId="Textbubliny">
    <w:name w:val="Balloon Text"/>
    <w:basedOn w:val="Normln"/>
    <w:link w:val="TextbublinyChar"/>
    <w:uiPriority w:val="99"/>
    <w:semiHidden/>
    <w:unhideWhenUsed/>
    <w:rsid w:val="0095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A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A0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03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2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A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3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A54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link w:val="Nadpis2Char"/>
    <w:qFormat/>
    <w:rsid w:val="00953A54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953A54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A54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3A54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A54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53A54"/>
    <w:pPr>
      <w:jc w:val="center"/>
    </w:pPr>
    <w:rPr>
      <w:rFonts w:ascii="Verdana" w:hAnsi="Verdana"/>
    </w:rPr>
  </w:style>
  <w:style w:type="character" w:customStyle="1" w:styleId="ZkladntextChar">
    <w:name w:val="Základní text Char"/>
    <w:basedOn w:val="Standardnpsmoodstavce"/>
    <w:link w:val="Zkladntext"/>
    <w:rsid w:val="00953A54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rsid w:val="00953A54"/>
    <w:rPr>
      <w:rFonts w:ascii="Verdana" w:hAnsi="Verdana"/>
      <w:b/>
      <w:caps/>
      <w:sz w:val="22"/>
    </w:rPr>
  </w:style>
  <w:style w:type="character" w:customStyle="1" w:styleId="st1">
    <w:name w:val="st1"/>
    <w:rsid w:val="00953A54"/>
  </w:style>
  <w:style w:type="paragraph" w:styleId="Textbubliny">
    <w:name w:val="Balloon Text"/>
    <w:basedOn w:val="Normln"/>
    <w:link w:val="TextbublinyChar"/>
    <w:uiPriority w:val="99"/>
    <w:semiHidden/>
    <w:unhideWhenUsed/>
    <w:rsid w:val="0095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A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A0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03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2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A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3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59B7-2ABD-488B-8194-C1EAEF08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3050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michal.fremr</dc:creator>
  <cp:lastModifiedBy>Blanka GREBEŇOVÁ</cp:lastModifiedBy>
  <cp:revision>2</cp:revision>
  <cp:lastPrinted>2016-08-12T09:47:00Z</cp:lastPrinted>
  <dcterms:created xsi:type="dcterms:W3CDTF">2016-12-22T07:49:00Z</dcterms:created>
  <dcterms:modified xsi:type="dcterms:W3CDTF">2016-12-22T07:49:00Z</dcterms:modified>
</cp:coreProperties>
</file>